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700" w:lineRule="exact"/>
        <w:jc w:val="center"/>
        <w:rPr>
          <w:rFonts w:ascii="黑体" w:hAnsi="宋体" w:eastAsia="黑体"/>
          <w:b/>
          <w:color w:val="000000"/>
          <w:spacing w:val="-4"/>
          <w:sz w:val="44"/>
          <w:szCs w:val="44"/>
        </w:rPr>
      </w:pPr>
      <w:r>
        <w:rPr>
          <w:rFonts w:hint="eastAsia" w:ascii="黑体" w:hAnsi="宋体" w:eastAsia="黑体"/>
          <w:b/>
          <w:color w:val="000000"/>
          <w:spacing w:val="-4"/>
          <w:sz w:val="44"/>
          <w:szCs w:val="44"/>
        </w:rPr>
        <w:t>铜仁市公共资源交易中心</w:t>
      </w:r>
    </w:p>
    <w:p>
      <w:pPr>
        <w:pStyle w:val="10"/>
        <w:spacing w:line="700" w:lineRule="exact"/>
        <w:jc w:val="center"/>
        <w:rPr>
          <w:rFonts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10"/>
        <w:spacing w:line="700" w:lineRule="exact"/>
        <w:jc w:val="center"/>
        <w:rPr>
          <w:rFonts w:ascii="黑体" w:hAnsi="宋体" w:eastAsia="黑体"/>
          <w:b/>
          <w:color w:val="000000"/>
          <w:spacing w:val="-4"/>
          <w:sz w:val="44"/>
          <w:szCs w:val="44"/>
        </w:rPr>
      </w:pPr>
    </w:p>
    <w:p>
      <w:pPr>
        <w:pStyle w:val="10"/>
        <w:spacing w:line="700" w:lineRule="exact"/>
        <w:rPr>
          <w:rFonts w:ascii="黑体" w:hAnsi="宋体" w:eastAsia="黑体"/>
          <w:b/>
          <w:color w:val="000000"/>
          <w:spacing w:val="-4"/>
          <w:sz w:val="44"/>
          <w:szCs w:val="44"/>
        </w:rPr>
      </w:pPr>
    </w:p>
    <w:p>
      <w:pPr>
        <w:pStyle w:val="10"/>
        <w:spacing w:line="700" w:lineRule="exact"/>
        <w:rPr>
          <w:rFonts w:ascii="黑体" w:hAnsi="宋体" w:eastAsia="黑体"/>
          <w:b/>
          <w:color w:val="000000"/>
          <w:spacing w:val="-4"/>
          <w:sz w:val="44"/>
          <w:szCs w:val="44"/>
        </w:rPr>
      </w:pPr>
    </w:p>
    <w:p>
      <w:pPr>
        <w:pStyle w:val="10"/>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谈</w:t>
      </w:r>
    </w:p>
    <w:p>
      <w:pPr>
        <w:pStyle w:val="10"/>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判</w:t>
      </w:r>
    </w:p>
    <w:p>
      <w:pPr>
        <w:pStyle w:val="10"/>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文</w:t>
      </w:r>
    </w:p>
    <w:p>
      <w:pPr>
        <w:pStyle w:val="10"/>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件</w:t>
      </w:r>
    </w:p>
    <w:p>
      <w:pPr>
        <w:pStyle w:val="10"/>
        <w:spacing w:line="360" w:lineRule="auto"/>
        <w:ind w:firstLine="1265" w:firstLineChars="450"/>
        <w:rPr>
          <w:rFonts w:asciiTheme="minorEastAsia" w:hAnsiTheme="minorEastAsia" w:cstheme="minorEastAsia"/>
          <w:b/>
          <w:color w:val="000000"/>
          <w:sz w:val="28"/>
          <w:szCs w:val="28"/>
        </w:rPr>
      </w:pPr>
    </w:p>
    <w:p>
      <w:pPr>
        <w:pStyle w:val="10"/>
        <w:spacing w:line="360" w:lineRule="auto"/>
        <w:ind w:firstLine="1265" w:firstLineChars="450"/>
        <w:rPr>
          <w:rFonts w:asciiTheme="minorEastAsia" w:hAnsiTheme="minorEastAsia" w:cstheme="minorEastAsia"/>
          <w:b/>
          <w:color w:val="000000"/>
          <w:sz w:val="28"/>
          <w:szCs w:val="28"/>
        </w:rPr>
      </w:pPr>
    </w:p>
    <w:p>
      <w:pPr>
        <w:pStyle w:val="10"/>
        <w:spacing w:line="360" w:lineRule="auto"/>
        <w:rPr>
          <w:rFonts w:asciiTheme="minorEastAsia" w:hAnsiTheme="minorEastAsia" w:cstheme="minorEastAsia"/>
          <w:b/>
          <w:color w:val="000000"/>
          <w:sz w:val="28"/>
          <w:szCs w:val="28"/>
        </w:rPr>
      </w:pPr>
    </w:p>
    <w:p>
      <w:pPr>
        <w:pStyle w:val="10"/>
        <w:spacing w:line="560" w:lineRule="exact"/>
        <w:ind w:firstLine="562" w:firstLineChars="200"/>
        <w:rPr>
          <w:rFonts w:hint="eastAsia" w:asciiTheme="minorEastAsia" w:hAnsiTheme="minorEastAsia" w:eastAsiaTheme="minorEastAsia" w:cstheme="minorEastAsia"/>
          <w:b/>
          <w:bCs/>
          <w:color w:val="000000"/>
          <w:sz w:val="28"/>
          <w:szCs w:val="28"/>
          <w:lang w:eastAsia="zh-CN"/>
        </w:rPr>
      </w:pPr>
      <w:r>
        <w:rPr>
          <w:rFonts w:hint="eastAsia" w:asciiTheme="minorEastAsia" w:hAnsiTheme="minorEastAsia" w:cstheme="minorEastAsia"/>
          <w:b/>
          <w:color w:val="000000"/>
          <w:sz w:val="28"/>
          <w:szCs w:val="28"/>
        </w:rPr>
        <w:t>招标项目</w:t>
      </w:r>
      <w:r>
        <w:rPr>
          <w:rFonts w:hint="eastAsia" w:asciiTheme="minorEastAsia" w:hAnsiTheme="minorEastAsia" w:cstheme="minorEastAsia"/>
          <w:b/>
          <w:color w:val="000000"/>
          <w:sz w:val="28"/>
          <w:szCs w:val="28"/>
          <w:lang w:eastAsia="zh-CN"/>
        </w:rPr>
        <w:t>：</w:t>
      </w:r>
      <w:r>
        <w:rPr>
          <w:rFonts w:hint="eastAsia" w:asciiTheme="minorEastAsia" w:hAnsiTheme="minorEastAsia" w:cstheme="minorEastAsia"/>
          <w:b/>
          <w:bCs/>
          <w:color w:val="000000"/>
          <w:sz w:val="28"/>
          <w:szCs w:val="28"/>
          <w:lang w:eastAsia="zh-CN"/>
        </w:rPr>
        <w:t>铜仁市红十字会生命健康安全体验馆设备采购项目</w:t>
      </w:r>
    </w:p>
    <w:p>
      <w:pPr>
        <w:pStyle w:val="10"/>
        <w:spacing w:line="560" w:lineRule="exact"/>
        <w:ind w:firstLine="562" w:firstLineChars="200"/>
        <w:rPr>
          <w:rFonts w:hint="eastAsia" w:asciiTheme="minorEastAsia" w:hAnsiTheme="minorEastAsia" w:cstheme="minorEastAsia"/>
          <w:color w:val="000000"/>
          <w:sz w:val="28"/>
          <w:szCs w:val="28"/>
          <w:lang w:eastAsia="zh-CN"/>
        </w:rPr>
      </w:pPr>
      <w:r>
        <w:rPr>
          <w:rFonts w:hint="eastAsia" w:asciiTheme="minorEastAsia" w:hAnsiTheme="minorEastAsia" w:cstheme="minorEastAsia"/>
          <w:b/>
          <w:color w:val="000000"/>
          <w:sz w:val="28"/>
          <w:szCs w:val="28"/>
        </w:rPr>
        <w:t>招标编号：</w:t>
      </w:r>
      <w:r>
        <w:rPr>
          <w:rFonts w:hint="eastAsia" w:asciiTheme="minorEastAsia" w:hAnsiTheme="minorEastAsia" w:cstheme="minorEastAsia"/>
          <w:color w:val="000000"/>
          <w:sz w:val="28"/>
          <w:szCs w:val="28"/>
          <w:lang w:eastAsia="zh-CN"/>
        </w:rPr>
        <w:t>TRZFCG-2020-048</w:t>
      </w:r>
    </w:p>
    <w:p>
      <w:pPr>
        <w:pStyle w:val="10"/>
        <w:spacing w:line="560" w:lineRule="exact"/>
        <w:ind w:firstLine="562" w:firstLineChars="200"/>
        <w:rPr>
          <w:rFonts w:hint="eastAsia"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招标方式：竞争性谈判</w:t>
      </w:r>
    </w:p>
    <w:p>
      <w:pPr>
        <w:pStyle w:val="10"/>
        <w:spacing w:line="560" w:lineRule="exact"/>
        <w:ind w:firstLine="562" w:firstLineChars="200"/>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项目类别：货物类</w:t>
      </w:r>
    </w:p>
    <w:p>
      <w:pPr>
        <w:pStyle w:val="10"/>
        <w:spacing w:line="560" w:lineRule="exact"/>
        <w:rPr>
          <w:rFonts w:asciiTheme="minorEastAsia" w:hAnsiTheme="minorEastAsia" w:cstheme="minorEastAsia"/>
          <w:b/>
          <w:color w:val="000000"/>
          <w:sz w:val="28"/>
          <w:szCs w:val="28"/>
        </w:rPr>
      </w:pPr>
    </w:p>
    <w:p>
      <w:pPr>
        <w:pStyle w:val="10"/>
        <w:spacing w:line="360" w:lineRule="auto"/>
        <w:rPr>
          <w:rFonts w:asciiTheme="minorEastAsia" w:hAnsiTheme="minorEastAsia" w:cstheme="minorEastAsia"/>
          <w:b/>
          <w:color w:val="000000"/>
          <w:sz w:val="28"/>
          <w:szCs w:val="28"/>
        </w:rPr>
      </w:pPr>
    </w:p>
    <w:p>
      <w:pPr>
        <w:pStyle w:val="6"/>
        <w:ind w:firstLine="0"/>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铜仁市公共资源交易中心编制</w:t>
      </w:r>
    </w:p>
    <w:p>
      <w:pPr>
        <w:pStyle w:val="10"/>
        <w:spacing w:line="360" w:lineRule="auto"/>
        <w:jc w:val="left"/>
        <w:rPr>
          <w:rFonts w:hAnsi="宋体"/>
          <w:b/>
          <w:bCs/>
          <w:sz w:val="30"/>
          <w:szCs w:val="30"/>
        </w:rPr>
      </w:pPr>
    </w:p>
    <w:p>
      <w:pPr>
        <w:pStyle w:val="6"/>
        <w:spacing w:line="360" w:lineRule="auto"/>
        <w:ind w:firstLine="0"/>
        <w:jc w:val="center"/>
        <w:rPr>
          <w:rFonts w:cs="Arial"/>
          <w:b/>
          <w:bCs/>
          <w:sz w:val="32"/>
        </w:rPr>
      </w:pPr>
    </w:p>
    <w:p>
      <w:pPr>
        <w:spacing w:line="360" w:lineRule="auto"/>
        <w:jc w:val="center"/>
        <w:rPr>
          <w:rFonts w:ascii="宋体" w:hAnsi="宋体"/>
          <w:b/>
          <w:sz w:val="52"/>
          <w:szCs w:val="52"/>
        </w:rPr>
      </w:pPr>
    </w:p>
    <w:p>
      <w:pPr>
        <w:spacing w:line="360" w:lineRule="auto"/>
        <w:jc w:val="center"/>
        <w:rPr>
          <w:rFonts w:ascii="宋体" w:hAnsi="宋体"/>
          <w:b/>
          <w:sz w:val="36"/>
          <w:szCs w:val="36"/>
        </w:rPr>
      </w:pPr>
      <w:r>
        <w:rPr>
          <w:rFonts w:hint="eastAsia" w:ascii="宋体" w:hAnsi="宋体"/>
          <w:b/>
          <w:sz w:val="36"/>
          <w:szCs w:val="36"/>
        </w:rPr>
        <w:t>目   录</w:t>
      </w:r>
    </w:p>
    <w:p>
      <w:pPr>
        <w:spacing w:line="360" w:lineRule="auto"/>
        <w:jc w:val="center"/>
        <w:rPr>
          <w:rFonts w:ascii="宋体" w:hAnsi="宋体"/>
          <w:b/>
          <w:sz w:val="36"/>
          <w:szCs w:val="36"/>
        </w:rPr>
      </w:pPr>
    </w:p>
    <w:p>
      <w:pPr>
        <w:numPr>
          <w:ilvl w:val="0"/>
          <w:numId w:val="1"/>
        </w:numPr>
        <w:spacing w:line="360" w:lineRule="auto"/>
        <w:rPr>
          <w:rFonts w:ascii="宋体" w:hAnsi="宋体"/>
          <w:b/>
          <w:sz w:val="28"/>
          <w:szCs w:val="28"/>
        </w:rPr>
      </w:pPr>
      <w:r>
        <w:rPr>
          <w:rFonts w:hint="eastAsia" w:ascii="宋体" w:hAnsi="宋体"/>
          <w:b/>
          <w:sz w:val="28"/>
          <w:szCs w:val="28"/>
        </w:rPr>
        <w:t>谈判公告</w:t>
      </w:r>
    </w:p>
    <w:p>
      <w:pPr>
        <w:numPr>
          <w:ilvl w:val="0"/>
          <w:numId w:val="1"/>
        </w:numPr>
        <w:spacing w:line="360" w:lineRule="auto"/>
        <w:rPr>
          <w:rFonts w:ascii="宋体" w:hAnsi="宋体"/>
          <w:b/>
          <w:sz w:val="28"/>
          <w:szCs w:val="28"/>
        </w:rPr>
      </w:pPr>
      <w:r>
        <w:rPr>
          <w:rFonts w:hint="eastAsia" w:ascii="宋体" w:hAnsi="宋体"/>
          <w:b/>
          <w:sz w:val="28"/>
          <w:szCs w:val="28"/>
        </w:rPr>
        <w:t>谈判供应商须知</w:t>
      </w:r>
    </w:p>
    <w:p>
      <w:pPr>
        <w:numPr>
          <w:ilvl w:val="0"/>
          <w:numId w:val="1"/>
        </w:numPr>
        <w:spacing w:line="360" w:lineRule="auto"/>
        <w:ind w:left="0" w:leftChars="0" w:firstLine="0" w:firstLineChars="0"/>
        <w:rPr>
          <w:rFonts w:hint="eastAsia" w:ascii="宋体" w:hAnsi="宋体"/>
          <w:b/>
          <w:sz w:val="28"/>
          <w:szCs w:val="28"/>
        </w:rPr>
      </w:pPr>
      <w:r>
        <w:rPr>
          <w:rFonts w:hint="eastAsia" w:ascii="宋体" w:hAnsi="宋体"/>
          <w:b/>
          <w:sz w:val="28"/>
          <w:szCs w:val="28"/>
        </w:rPr>
        <w:t>谈判供应商须知正文部分</w:t>
      </w:r>
    </w:p>
    <w:p>
      <w:pPr>
        <w:numPr>
          <w:ilvl w:val="0"/>
          <w:numId w:val="1"/>
        </w:numPr>
        <w:spacing w:line="360" w:lineRule="auto"/>
        <w:ind w:left="0" w:leftChars="0" w:firstLine="0" w:firstLineChars="0"/>
        <w:rPr>
          <w:rFonts w:ascii="宋体" w:hAnsi="宋体"/>
          <w:b/>
          <w:sz w:val="28"/>
          <w:szCs w:val="28"/>
        </w:rPr>
      </w:pPr>
      <w:r>
        <w:rPr>
          <w:rFonts w:hint="eastAsia" w:ascii="宋体" w:hAnsi="宋体"/>
          <w:b/>
          <w:bCs/>
          <w:sz w:val="28"/>
          <w:szCs w:val="28"/>
        </w:rPr>
        <w:t>谈判内容及要求</w:t>
      </w:r>
    </w:p>
    <w:p>
      <w:pPr>
        <w:numPr>
          <w:ilvl w:val="0"/>
          <w:numId w:val="1"/>
        </w:numPr>
        <w:spacing w:line="360" w:lineRule="auto"/>
        <w:rPr>
          <w:rFonts w:ascii="宋体" w:hAnsi="宋体"/>
          <w:b/>
          <w:sz w:val="28"/>
          <w:szCs w:val="28"/>
        </w:rPr>
      </w:pPr>
      <w:r>
        <w:rPr>
          <w:rFonts w:hint="eastAsia" w:ascii="宋体" w:hAnsi="宋体"/>
          <w:b/>
          <w:sz w:val="28"/>
          <w:szCs w:val="28"/>
        </w:rPr>
        <w:t>铜仁市政府采购合同（参考文本）</w:t>
      </w:r>
    </w:p>
    <w:p>
      <w:pPr>
        <w:numPr>
          <w:ilvl w:val="0"/>
          <w:numId w:val="1"/>
        </w:numPr>
        <w:spacing w:line="360" w:lineRule="auto"/>
        <w:rPr>
          <w:rFonts w:ascii="宋体" w:hAnsi="宋体"/>
          <w:b/>
          <w:sz w:val="28"/>
          <w:szCs w:val="28"/>
        </w:rPr>
      </w:pPr>
      <w:r>
        <w:rPr>
          <w:rFonts w:hint="eastAsia" w:ascii="宋体" w:hAnsi="宋体"/>
          <w:b/>
          <w:sz w:val="28"/>
          <w:szCs w:val="28"/>
        </w:rPr>
        <w:t>响应文件格式</w:t>
      </w: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outlineLvl w:val="0"/>
        <w:rPr>
          <w:rFonts w:ascii="宋体" w:hAnsi="宋体"/>
          <w:b/>
          <w:bCs/>
          <w:sz w:val="30"/>
          <w:szCs w:val="30"/>
        </w:rPr>
      </w:pPr>
      <w:bookmarkStart w:id="0" w:name="_Toc268599006"/>
    </w:p>
    <w:p>
      <w:pPr>
        <w:spacing w:line="360" w:lineRule="auto"/>
        <w:outlineLvl w:val="0"/>
        <w:rPr>
          <w:rFonts w:ascii="宋体" w:hAnsi="宋体"/>
          <w:b/>
          <w:bCs/>
          <w:sz w:val="30"/>
          <w:szCs w:val="30"/>
        </w:rPr>
      </w:pPr>
    </w:p>
    <w:bookmarkEnd w:id="0"/>
    <w:p>
      <w:pPr>
        <w:jc w:val="center"/>
        <w:rPr>
          <w:rFonts w:ascii="宋体" w:hAnsi="宋体"/>
          <w:b/>
          <w:color w:val="000000"/>
          <w:sz w:val="36"/>
          <w:szCs w:val="36"/>
        </w:rPr>
        <w:sectPr>
          <w:headerReference r:id="rId3" w:type="default"/>
          <w:footerReference r:id="rId4" w:type="default"/>
          <w:pgSz w:w="11906" w:h="16838"/>
          <w:pgMar w:top="1440" w:right="1797" w:bottom="1440" w:left="1797" w:header="851" w:footer="992" w:gutter="0"/>
          <w:cols w:space="720" w:num="1"/>
          <w:docGrid w:linePitch="312" w:charSpace="0"/>
        </w:sectPr>
      </w:pPr>
    </w:p>
    <w:p>
      <w:pPr>
        <w:pStyle w:val="2"/>
      </w:pPr>
    </w:p>
    <w:p>
      <w:pPr>
        <w:jc w:val="center"/>
        <w:rPr>
          <w:color w:val="000000"/>
          <w:sz w:val="36"/>
          <w:szCs w:val="36"/>
        </w:rPr>
      </w:pPr>
      <w:r>
        <w:rPr>
          <w:rFonts w:hint="eastAsia" w:ascii="宋体" w:hAnsi="宋体"/>
          <w:b/>
          <w:color w:val="000000"/>
          <w:sz w:val="36"/>
          <w:szCs w:val="36"/>
        </w:rPr>
        <w:t>第一章  谈判公告</w:t>
      </w:r>
    </w:p>
    <w:p>
      <w:pPr>
        <w:pStyle w:val="10"/>
        <w:keepNext w:val="0"/>
        <w:keepLines w:val="0"/>
        <w:pageBreakBefore w:val="0"/>
        <w:widowControl w:val="0"/>
        <w:kinsoku/>
        <w:wordWrap/>
        <w:overflowPunct/>
        <w:topLinePunct w:val="0"/>
        <w:autoSpaceDE/>
        <w:autoSpaceDN/>
        <w:bidi w:val="0"/>
        <w:spacing w:line="520" w:lineRule="exact"/>
        <w:ind w:firstLine="600" w:firstLineChars="250"/>
        <w:textAlignment w:val="auto"/>
        <w:rPr>
          <w:rFonts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hAnsi="宋体"/>
          <w:b/>
          <w:bCs/>
          <w:color w:val="000000"/>
          <w:sz w:val="24"/>
          <w:szCs w:val="24"/>
          <w:lang w:eastAsia="zh-CN"/>
        </w:rPr>
        <w:t>铜仁市红十字会</w:t>
      </w:r>
      <w:r>
        <w:rPr>
          <w:rFonts w:hint="eastAsia" w:hAnsi="宋体"/>
          <w:color w:val="000000"/>
          <w:sz w:val="24"/>
          <w:szCs w:val="24"/>
        </w:rPr>
        <w:t>委托，对</w:t>
      </w:r>
      <w:r>
        <w:rPr>
          <w:rFonts w:hint="eastAsia" w:hAnsi="宋体"/>
          <w:b/>
          <w:bCs/>
          <w:color w:val="000000"/>
          <w:sz w:val="24"/>
          <w:szCs w:val="24"/>
          <w:lang w:eastAsia="zh-CN"/>
        </w:rPr>
        <w:t>铜仁市红十字会生命健康安全体验馆设备采购项目</w:t>
      </w:r>
      <w:r>
        <w:rPr>
          <w:rFonts w:hint="eastAsia" w:hAnsi="宋体"/>
          <w:color w:val="000000"/>
          <w:sz w:val="24"/>
          <w:szCs w:val="24"/>
        </w:rPr>
        <w:t>采用竞争性谈判的方式进行采购，欢迎具备投标资质条件的供货商参加投标。</w:t>
      </w:r>
    </w:p>
    <w:p>
      <w:pPr>
        <w:pStyle w:val="10"/>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hAnsi="宋体" w:eastAsiaTheme="minorEastAsia"/>
          <w:b/>
          <w:color w:val="000000"/>
          <w:sz w:val="24"/>
          <w:szCs w:val="24"/>
          <w:lang w:eastAsia="zh-CN"/>
        </w:rPr>
      </w:pPr>
      <w:r>
        <w:rPr>
          <w:rFonts w:hint="eastAsia" w:hAnsi="宋体"/>
          <w:b/>
          <w:color w:val="000000"/>
          <w:sz w:val="24"/>
          <w:szCs w:val="24"/>
        </w:rPr>
        <w:t>1、项目名称：</w:t>
      </w:r>
      <w:r>
        <w:rPr>
          <w:rFonts w:hint="eastAsia" w:hAnsi="宋体"/>
          <w:b/>
          <w:color w:val="000000"/>
          <w:sz w:val="24"/>
          <w:szCs w:val="24"/>
          <w:lang w:eastAsia="zh-CN"/>
        </w:rPr>
        <w:t>铜仁市红十字会生命健康安全体验馆设备采购项目</w:t>
      </w:r>
    </w:p>
    <w:p>
      <w:pPr>
        <w:pStyle w:val="10"/>
        <w:keepNext w:val="0"/>
        <w:keepLines w:val="0"/>
        <w:pageBreakBefore w:val="0"/>
        <w:widowControl w:val="0"/>
        <w:kinsoku/>
        <w:wordWrap/>
        <w:overflowPunct/>
        <w:topLinePunct w:val="0"/>
        <w:autoSpaceDE/>
        <w:autoSpaceDN/>
        <w:bidi w:val="0"/>
        <w:spacing w:line="520" w:lineRule="exact"/>
        <w:textAlignment w:val="auto"/>
        <w:rPr>
          <w:rFonts w:hint="eastAsia" w:hAnsi="宋体" w:eastAsiaTheme="minorEastAsia"/>
          <w:color w:val="000000"/>
          <w:sz w:val="24"/>
          <w:szCs w:val="24"/>
          <w:lang w:eastAsia="zh-CN"/>
        </w:rPr>
      </w:pPr>
      <w:r>
        <w:rPr>
          <w:rFonts w:hint="eastAsia" w:hAnsi="宋体"/>
          <w:b/>
          <w:color w:val="000000"/>
          <w:sz w:val="24"/>
          <w:szCs w:val="24"/>
        </w:rPr>
        <w:t xml:space="preserve">    2、项目编号：</w:t>
      </w:r>
      <w:r>
        <w:rPr>
          <w:rFonts w:hint="eastAsia" w:hAnsi="宋体"/>
          <w:b/>
          <w:color w:val="000000"/>
          <w:sz w:val="24"/>
          <w:szCs w:val="24"/>
          <w:lang w:eastAsia="zh-CN"/>
        </w:rPr>
        <w:t>TRZFCG-2020-048</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outlineLvl w:val="0"/>
        <w:rPr>
          <w:rFonts w:ascii="宋体" w:hAnsi="宋体"/>
          <w:b w:val="0"/>
          <w:bCs w:val="0"/>
          <w:color w:val="000000"/>
          <w:sz w:val="24"/>
        </w:rPr>
      </w:pPr>
      <w:r>
        <w:rPr>
          <w:rFonts w:hint="eastAsia" w:ascii="宋体" w:hAnsi="宋体"/>
          <w:b/>
          <w:color w:val="000000"/>
          <w:sz w:val="24"/>
        </w:rPr>
        <w:t>3、报名时间:</w:t>
      </w:r>
      <w:r>
        <w:rPr>
          <w:rFonts w:hint="eastAsia" w:ascii="宋体" w:hAnsi="宋体"/>
          <w:color w:val="0000FF"/>
          <w:sz w:val="24"/>
        </w:rPr>
        <w:t xml:space="preserve"> 20</w:t>
      </w:r>
      <w:r>
        <w:rPr>
          <w:rFonts w:hint="eastAsia" w:ascii="宋体" w:hAnsi="宋体"/>
          <w:color w:val="0000FF"/>
          <w:sz w:val="24"/>
          <w:lang w:val="en-US" w:eastAsia="zh-CN"/>
        </w:rPr>
        <w:t>20</w:t>
      </w:r>
      <w:r>
        <w:rPr>
          <w:rFonts w:hint="eastAsia" w:ascii="宋体" w:hAnsi="宋体"/>
          <w:color w:val="0000FF"/>
          <w:sz w:val="24"/>
        </w:rPr>
        <w:t>年</w:t>
      </w:r>
      <w:r>
        <w:rPr>
          <w:rFonts w:hint="eastAsia" w:ascii="宋体" w:hAnsi="宋体"/>
          <w:color w:val="0000FF"/>
          <w:sz w:val="24"/>
          <w:lang w:val="en-US" w:eastAsia="zh-CN"/>
        </w:rPr>
        <w:t>8</w:t>
      </w:r>
      <w:r>
        <w:rPr>
          <w:rFonts w:hint="eastAsia" w:ascii="宋体" w:hAnsi="宋体"/>
          <w:color w:val="0000FF"/>
          <w:sz w:val="24"/>
        </w:rPr>
        <w:t>月</w:t>
      </w:r>
      <w:r>
        <w:rPr>
          <w:rFonts w:hint="eastAsia" w:ascii="宋体" w:hAnsi="宋体"/>
          <w:color w:val="0000FF"/>
          <w:sz w:val="24"/>
          <w:lang w:val="en-US" w:eastAsia="zh-CN"/>
        </w:rPr>
        <w:t>13</w:t>
      </w:r>
      <w:r>
        <w:rPr>
          <w:rFonts w:hint="eastAsia" w:ascii="宋体" w:hAnsi="宋体"/>
          <w:b w:val="0"/>
          <w:bCs w:val="0"/>
          <w:color w:val="0000FF"/>
          <w:sz w:val="24"/>
        </w:rPr>
        <w:t>日至20</w:t>
      </w:r>
      <w:r>
        <w:rPr>
          <w:rFonts w:hint="eastAsia" w:ascii="宋体" w:hAnsi="宋体"/>
          <w:b w:val="0"/>
          <w:bCs w:val="0"/>
          <w:color w:val="0000FF"/>
          <w:sz w:val="24"/>
          <w:lang w:val="en-US" w:eastAsia="zh-CN"/>
        </w:rPr>
        <w:t>20</w:t>
      </w:r>
      <w:r>
        <w:rPr>
          <w:rFonts w:hint="eastAsia" w:ascii="宋体" w:hAnsi="宋体"/>
          <w:b w:val="0"/>
          <w:bCs w:val="0"/>
          <w:color w:val="0000FF"/>
          <w:sz w:val="24"/>
        </w:rPr>
        <w:t>年</w:t>
      </w:r>
      <w:r>
        <w:rPr>
          <w:rFonts w:hint="eastAsia" w:ascii="宋体" w:hAnsi="宋体"/>
          <w:b w:val="0"/>
          <w:bCs w:val="0"/>
          <w:color w:val="0000FF"/>
          <w:sz w:val="24"/>
          <w:lang w:val="en-US" w:eastAsia="zh-CN"/>
        </w:rPr>
        <w:t>8</w:t>
      </w:r>
      <w:r>
        <w:rPr>
          <w:rFonts w:hint="eastAsia" w:ascii="宋体" w:hAnsi="宋体"/>
          <w:b w:val="0"/>
          <w:bCs w:val="0"/>
          <w:color w:val="0000FF"/>
          <w:sz w:val="24"/>
        </w:rPr>
        <w:t>月</w:t>
      </w:r>
      <w:r>
        <w:rPr>
          <w:rFonts w:hint="eastAsia" w:ascii="宋体" w:hAnsi="宋体"/>
          <w:b w:val="0"/>
          <w:bCs w:val="0"/>
          <w:color w:val="0000FF"/>
          <w:sz w:val="24"/>
          <w:lang w:val="en-US" w:eastAsia="zh-CN"/>
        </w:rPr>
        <w:t>17</w:t>
      </w:r>
      <w:r>
        <w:rPr>
          <w:rFonts w:hint="eastAsia" w:ascii="宋体" w:hAnsi="宋体"/>
          <w:b w:val="0"/>
          <w:bCs w:val="0"/>
          <w:color w:val="0000FF"/>
          <w:sz w:val="24"/>
        </w:rPr>
        <w:t>日</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color w:val="000000"/>
          <w:sz w:val="24"/>
        </w:rPr>
      </w:pPr>
      <w:r>
        <w:rPr>
          <w:rFonts w:hint="eastAsia" w:ascii="宋体" w:hAnsi="宋体"/>
          <w:b/>
          <w:bCs/>
          <w:color w:val="000000"/>
          <w:sz w:val="24"/>
        </w:rPr>
        <w:t>4、报名地点：</w:t>
      </w:r>
      <w:r>
        <w:rPr>
          <w:rFonts w:hint="eastAsia" w:ascii="宋体" w:hAnsi="宋体"/>
          <w:color w:val="000000"/>
          <w:sz w:val="24"/>
        </w:rPr>
        <w:t>铜仁市公共资源交易中心官方网址（http://</w:t>
      </w:r>
      <w:r>
        <w:rPr>
          <w:rFonts w:hint="eastAsia" w:ascii="宋体" w:hAnsi="宋体"/>
          <w:color w:val="000000"/>
          <w:sz w:val="24"/>
          <w:lang w:eastAsia="zh-CN"/>
        </w:rPr>
        <w:t>jyzx.trs.gov.cn</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b/>
          <w:color w:val="000000"/>
          <w:sz w:val="24"/>
        </w:rPr>
      </w:pPr>
      <w:r>
        <w:rPr>
          <w:rFonts w:hint="eastAsia" w:ascii="宋体" w:hAnsi="宋体"/>
          <w:b/>
          <w:color w:val="000000"/>
          <w:sz w:val="24"/>
        </w:rPr>
        <w:t>5、投标有效期：投标截止日算起，90天。</w:t>
      </w:r>
    </w:p>
    <w:p>
      <w:pPr>
        <w:pStyle w:val="10"/>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b/>
          <w:color w:val="000000"/>
          <w:sz w:val="24"/>
          <w:szCs w:val="24"/>
        </w:rPr>
      </w:pPr>
      <w:r>
        <w:rPr>
          <w:rFonts w:hint="eastAsia" w:hAnsi="宋体"/>
          <w:b/>
          <w:color w:val="000000"/>
          <w:sz w:val="24"/>
          <w:szCs w:val="24"/>
        </w:rPr>
        <w:t>6、本项目不接受联合体。</w:t>
      </w:r>
    </w:p>
    <w:p>
      <w:pPr>
        <w:pStyle w:val="10"/>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b/>
          <w:color w:val="000000"/>
          <w:sz w:val="24"/>
          <w:szCs w:val="24"/>
        </w:rPr>
      </w:pPr>
      <w:r>
        <w:rPr>
          <w:rFonts w:hint="eastAsia" w:hAnsi="宋体"/>
          <w:b/>
          <w:color w:val="000000"/>
          <w:sz w:val="24"/>
          <w:szCs w:val="24"/>
        </w:rPr>
        <w:t>7、</w:t>
      </w:r>
      <w:r>
        <w:rPr>
          <w:rFonts w:hint="eastAsia"/>
          <w:b/>
          <w:color w:val="000000"/>
          <w:sz w:val="24"/>
          <w:szCs w:val="24"/>
        </w:rPr>
        <w:t>购买招标文件地点及联系方式</w:t>
      </w:r>
    </w:p>
    <w:p>
      <w:pPr>
        <w:pStyle w:val="10"/>
        <w:keepNext w:val="0"/>
        <w:keepLines w:val="0"/>
        <w:pageBreakBefore w:val="0"/>
        <w:widowControl w:val="0"/>
        <w:kinsoku/>
        <w:wordWrap/>
        <w:overflowPunct/>
        <w:topLinePunct w:val="0"/>
        <w:autoSpaceDE/>
        <w:autoSpaceDN/>
        <w:bidi w:val="0"/>
        <w:spacing w:line="520" w:lineRule="exact"/>
        <w:ind w:firstLine="840" w:firstLineChars="350"/>
        <w:textAlignment w:val="auto"/>
        <w:rPr>
          <w:color w:val="000000"/>
          <w:sz w:val="24"/>
          <w:szCs w:val="24"/>
        </w:rPr>
      </w:pPr>
      <w:r>
        <w:rPr>
          <w:rFonts w:hint="eastAsia"/>
          <w:color w:val="000000"/>
          <w:sz w:val="24"/>
          <w:szCs w:val="24"/>
        </w:rPr>
        <w:t>地址：铜仁市公共资源交易中心官方网址（</w:t>
      </w:r>
      <w:r>
        <w:fldChar w:fldCharType="begin"/>
      </w:r>
      <w:r>
        <w:instrText xml:space="preserve"> HYPERLINK "http://www.trjyzx.cn" </w:instrText>
      </w:r>
      <w:r>
        <w:fldChar w:fldCharType="separate"/>
      </w:r>
      <w:r>
        <w:rPr>
          <w:rStyle w:val="21"/>
          <w:color w:val="000000"/>
          <w:sz w:val="24"/>
          <w:szCs w:val="24"/>
        </w:rPr>
        <w:t>http://</w:t>
      </w:r>
      <w:r>
        <w:rPr>
          <w:rStyle w:val="21"/>
          <w:rFonts w:hint="eastAsia"/>
          <w:color w:val="000000"/>
          <w:sz w:val="24"/>
          <w:szCs w:val="24"/>
          <w:lang w:eastAsia="zh-CN"/>
        </w:rPr>
        <w:t>jyzx.trs.gov.cn</w:t>
      </w:r>
      <w:r>
        <w:rPr>
          <w:rStyle w:val="21"/>
          <w:color w:val="000000"/>
          <w:sz w:val="24"/>
          <w:szCs w:val="24"/>
        </w:rPr>
        <w:fldChar w:fldCharType="end"/>
      </w:r>
      <w:r>
        <w:rPr>
          <w:color w:val="000000"/>
          <w:sz w:val="24"/>
          <w:szCs w:val="24"/>
        </w:rPr>
        <w:t>）</w:t>
      </w:r>
    </w:p>
    <w:p>
      <w:pPr>
        <w:pStyle w:val="10"/>
        <w:keepNext w:val="0"/>
        <w:keepLines w:val="0"/>
        <w:pageBreakBefore w:val="0"/>
        <w:widowControl w:val="0"/>
        <w:kinsoku/>
        <w:wordWrap/>
        <w:overflowPunct/>
        <w:topLinePunct w:val="0"/>
        <w:autoSpaceDE/>
        <w:autoSpaceDN/>
        <w:bidi w:val="0"/>
        <w:spacing w:line="520" w:lineRule="exact"/>
        <w:ind w:firstLine="840" w:firstLineChars="350"/>
        <w:textAlignment w:val="auto"/>
        <w:rPr>
          <w:rFonts w:hint="default" w:eastAsiaTheme="minorEastAsia"/>
          <w:color w:val="000000"/>
          <w:sz w:val="24"/>
          <w:szCs w:val="24"/>
          <w:lang w:val="en-US" w:eastAsia="zh-CN"/>
        </w:rPr>
      </w:pPr>
      <w:r>
        <w:rPr>
          <w:rFonts w:hint="eastAsia" w:hAnsi="宋体"/>
          <w:color w:val="000000"/>
          <w:sz w:val="24"/>
        </w:rPr>
        <w:t>联系电话：0856-39129</w:t>
      </w:r>
      <w:r>
        <w:rPr>
          <w:rFonts w:hint="eastAsia" w:hAnsi="宋体"/>
          <w:color w:val="000000"/>
          <w:sz w:val="24"/>
          <w:lang w:val="en-US" w:eastAsia="zh-CN"/>
        </w:rPr>
        <w:t>22</w:t>
      </w:r>
    </w:p>
    <w:p>
      <w:pPr>
        <w:pStyle w:val="10"/>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color w:val="000000"/>
          <w:sz w:val="24"/>
          <w:szCs w:val="24"/>
        </w:rPr>
      </w:pPr>
      <w:r>
        <w:rPr>
          <w:rFonts w:hint="eastAsia" w:hAnsi="宋体"/>
          <w:b/>
          <w:color w:val="000000"/>
          <w:sz w:val="24"/>
          <w:szCs w:val="24"/>
        </w:rPr>
        <w:t>8、招标文件售价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人民币</w:t>
      </w:r>
      <w:r>
        <w:rPr>
          <w:rFonts w:hint="eastAsia" w:hAnsi="宋体"/>
          <w:color w:val="000000"/>
          <w:sz w:val="24"/>
          <w:szCs w:val="24"/>
          <w:lang w:val="en-US" w:eastAsia="zh-CN"/>
        </w:rPr>
        <w:t>0</w:t>
      </w:r>
      <w:r>
        <w:rPr>
          <w:rFonts w:hint="eastAsia" w:hAnsi="宋体"/>
          <w:color w:val="000000"/>
          <w:sz w:val="24"/>
          <w:szCs w:val="24"/>
        </w:rPr>
        <w:t>元/套</w:t>
      </w:r>
    </w:p>
    <w:p>
      <w:pPr>
        <w:pStyle w:val="8"/>
        <w:keepNext w:val="0"/>
        <w:keepLines w:val="0"/>
        <w:pageBreakBefore w:val="0"/>
        <w:widowControl w:val="0"/>
        <w:kinsoku/>
        <w:wordWrap/>
        <w:overflowPunct/>
        <w:topLinePunct w:val="0"/>
        <w:autoSpaceDE/>
        <w:autoSpaceDN/>
        <w:bidi w:val="0"/>
        <w:spacing w:line="520" w:lineRule="exact"/>
        <w:ind w:firstLine="241" w:firstLineChars="100"/>
        <w:textAlignment w:val="auto"/>
        <w:rPr>
          <w:rFonts w:asciiTheme="minorEastAsia" w:hAnsiTheme="minorEastAsia" w:cstheme="minorEastAsia"/>
          <w:sz w:val="24"/>
          <w:szCs w:val="24"/>
        </w:rPr>
      </w:pPr>
      <w:r>
        <w:rPr>
          <w:rFonts w:hint="eastAsia" w:asciiTheme="majorEastAsia" w:hAnsiTheme="majorEastAsia" w:eastAsiaTheme="majorEastAsia" w:cstheme="majorEastAsia"/>
          <w:b/>
          <w:bCs/>
          <w:sz w:val="24"/>
          <w:szCs w:val="24"/>
        </w:rPr>
        <w:t>注：</w:t>
      </w:r>
      <w:r>
        <w:rPr>
          <w:rFonts w:hint="eastAsia" w:asciiTheme="majorEastAsia" w:hAnsiTheme="majorEastAsia" w:eastAsiaTheme="majorEastAsia" w:cstheme="majorEastAsia"/>
          <w:sz w:val="24"/>
          <w:szCs w:val="24"/>
        </w:rPr>
        <w:t>投标人应随时登录贵州省政府采</w:t>
      </w:r>
      <w:r>
        <w:rPr>
          <w:rFonts w:hint="eastAsia" w:asciiTheme="minorEastAsia" w:hAnsiTheme="minorEastAsia" w:cstheme="minorEastAsia"/>
          <w:sz w:val="24"/>
          <w:szCs w:val="24"/>
        </w:rPr>
        <w:t>（http://www.ccgp-guizhou.gov.cn/ ）或铜仁市公共资源交易中心网（http://jyzx.trs.gov.cn/）“交易平台”查看、处理采购人发出的文件澄清、补充、更正等通知内容，如因投标人未及时上网查询导致的后果，由投标人自己承担。</w:t>
      </w:r>
    </w:p>
    <w:p>
      <w:pPr>
        <w:pStyle w:val="10"/>
        <w:keepNext w:val="0"/>
        <w:keepLines w:val="0"/>
        <w:pageBreakBefore w:val="0"/>
        <w:widowControl w:val="0"/>
        <w:kinsoku/>
        <w:wordWrap/>
        <w:overflowPunct/>
        <w:topLinePunct w:val="0"/>
        <w:autoSpaceDE/>
        <w:autoSpaceDN/>
        <w:bidi w:val="0"/>
        <w:spacing w:line="520" w:lineRule="exact"/>
        <w:ind w:firstLine="361" w:firstLineChars="150"/>
        <w:jc w:val="left"/>
        <w:textAlignment w:val="auto"/>
        <w:rPr>
          <w:rFonts w:hAnsi="宋体"/>
          <w:color w:val="000000"/>
          <w:sz w:val="24"/>
          <w:szCs w:val="24"/>
        </w:rPr>
      </w:pPr>
      <w:r>
        <w:rPr>
          <w:rFonts w:hint="eastAsia" w:hAnsi="宋体"/>
          <w:b/>
          <w:color w:val="000000"/>
          <w:sz w:val="24"/>
          <w:szCs w:val="24"/>
        </w:rPr>
        <w:t xml:space="preserve"> 9、开评标时须提供的资质</w:t>
      </w:r>
      <w:r>
        <w:rPr>
          <w:rFonts w:hint="eastAsia" w:hAnsi="宋体"/>
          <w:b/>
          <w:color w:val="000000"/>
          <w:sz w:val="24"/>
          <w:szCs w:val="24"/>
          <w:lang w:eastAsia="zh-CN"/>
        </w:rPr>
        <w:t>材料</w:t>
      </w:r>
      <w:r>
        <w:rPr>
          <w:rFonts w:hint="eastAsia" w:hAnsi="宋体"/>
          <w:b/>
          <w:color w:val="000000"/>
          <w:sz w:val="24"/>
          <w:szCs w:val="24"/>
          <w:lang w:val="en-US" w:eastAsia="zh-CN"/>
        </w:rPr>
        <w:t>(原件或者复印件加盖鲜章)</w:t>
      </w:r>
      <w:r>
        <w:rPr>
          <w:rFonts w:hint="eastAsia" w:hAnsi="宋体"/>
          <w:b/>
          <w:color w:val="000000"/>
          <w:sz w:val="24"/>
          <w:szCs w:val="24"/>
        </w:rPr>
        <w:t>：</w:t>
      </w:r>
    </w:p>
    <w:p>
      <w:pPr>
        <w:pStyle w:val="10"/>
        <w:keepNext w:val="0"/>
        <w:keepLines w:val="0"/>
        <w:pageBreakBefore w:val="0"/>
        <w:widowControl w:val="0"/>
        <w:kinsoku/>
        <w:wordWrap/>
        <w:overflowPunct/>
        <w:topLinePunct w:val="0"/>
        <w:autoSpaceDE/>
        <w:autoSpaceDN/>
        <w:bidi w:val="0"/>
        <w:spacing w:line="520" w:lineRule="exact"/>
        <w:ind w:firstLine="600" w:firstLineChars="250"/>
        <w:jc w:val="left"/>
        <w:textAlignment w:val="auto"/>
        <w:rPr>
          <w:rFonts w:hAnsi="宋体"/>
          <w:color w:val="000000"/>
          <w:sz w:val="24"/>
          <w:szCs w:val="24"/>
        </w:rPr>
      </w:pPr>
      <w:r>
        <w:rPr>
          <w:rFonts w:hint="eastAsia" w:hAnsi="宋体"/>
          <w:color w:val="000000"/>
          <w:sz w:val="24"/>
          <w:szCs w:val="24"/>
        </w:rPr>
        <w:t>（1）工商营业执照副本；</w:t>
      </w:r>
    </w:p>
    <w:p>
      <w:pPr>
        <w:pStyle w:val="10"/>
        <w:keepNext w:val="0"/>
        <w:keepLines w:val="0"/>
        <w:pageBreakBefore w:val="0"/>
        <w:widowControl w:val="0"/>
        <w:kinsoku/>
        <w:wordWrap/>
        <w:overflowPunct/>
        <w:topLinePunct w:val="0"/>
        <w:autoSpaceDE/>
        <w:autoSpaceDN/>
        <w:bidi w:val="0"/>
        <w:spacing w:line="520" w:lineRule="exact"/>
        <w:ind w:firstLine="600" w:firstLineChars="250"/>
        <w:jc w:val="left"/>
        <w:textAlignment w:val="auto"/>
        <w:outlineLvl w:val="0"/>
        <w:rPr>
          <w:rFonts w:hAnsi="宋体"/>
          <w:color w:val="000000"/>
          <w:sz w:val="24"/>
          <w:szCs w:val="24"/>
        </w:rPr>
      </w:pPr>
      <w:r>
        <w:rPr>
          <w:rFonts w:hint="eastAsia" w:hAnsi="宋体"/>
          <w:color w:val="000000"/>
          <w:sz w:val="24"/>
          <w:szCs w:val="24"/>
        </w:rPr>
        <w:t>（2）税务登记证；</w:t>
      </w:r>
    </w:p>
    <w:p>
      <w:pPr>
        <w:pStyle w:val="10"/>
        <w:keepNext w:val="0"/>
        <w:keepLines w:val="0"/>
        <w:pageBreakBefore w:val="0"/>
        <w:widowControl w:val="0"/>
        <w:kinsoku/>
        <w:wordWrap/>
        <w:overflowPunct/>
        <w:topLinePunct w:val="0"/>
        <w:autoSpaceDE/>
        <w:autoSpaceDN/>
        <w:bidi w:val="0"/>
        <w:spacing w:line="520" w:lineRule="exact"/>
        <w:ind w:firstLine="600" w:firstLineChars="250"/>
        <w:jc w:val="left"/>
        <w:textAlignment w:val="auto"/>
        <w:rPr>
          <w:rFonts w:hAnsi="宋体"/>
          <w:color w:val="000000"/>
          <w:sz w:val="24"/>
          <w:szCs w:val="24"/>
        </w:rPr>
      </w:pPr>
      <w:r>
        <w:rPr>
          <w:rFonts w:hint="eastAsia" w:hAnsi="宋体"/>
          <w:color w:val="000000"/>
          <w:sz w:val="24"/>
          <w:szCs w:val="24"/>
        </w:rPr>
        <w:t>（3）组织机构代码证；</w:t>
      </w:r>
    </w:p>
    <w:p>
      <w:pPr>
        <w:pStyle w:val="10"/>
        <w:keepNext w:val="0"/>
        <w:keepLines w:val="0"/>
        <w:pageBreakBefore w:val="0"/>
        <w:widowControl w:val="0"/>
        <w:kinsoku/>
        <w:wordWrap/>
        <w:overflowPunct/>
        <w:topLinePunct w:val="0"/>
        <w:autoSpaceDE/>
        <w:autoSpaceDN/>
        <w:bidi w:val="0"/>
        <w:spacing w:line="520" w:lineRule="exact"/>
        <w:ind w:firstLine="720" w:firstLineChars="300"/>
        <w:jc w:val="left"/>
        <w:textAlignment w:val="auto"/>
        <w:rPr>
          <w:rFonts w:hAnsi="宋体"/>
          <w:color w:val="000000"/>
          <w:sz w:val="24"/>
          <w:szCs w:val="24"/>
        </w:rPr>
      </w:pPr>
      <w:r>
        <w:rPr>
          <w:rFonts w:hint="eastAsia" w:hAnsi="宋体"/>
          <w:color w:val="FF0000"/>
          <w:sz w:val="24"/>
          <w:szCs w:val="24"/>
        </w:rPr>
        <w:t>（注：三证合一、五证合一的只提工商供营业执照副本）</w:t>
      </w:r>
    </w:p>
    <w:p>
      <w:pPr>
        <w:pStyle w:val="10"/>
        <w:keepNext w:val="0"/>
        <w:keepLines w:val="0"/>
        <w:pageBreakBefore w:val="0"/>
        <w:widowControl w:val="0"/>
        <w:kinsoku/>
        <w:wordWrap/>
        <w:overflowPunct/>
        <w:topLinePunct w:val="0"/>
        <w:autoSpaceDE/>
        <w:autoSpaceDN/>
        <w:bidi w:val="0"/>
        <w:spacing w:line="520" w:lineRule="exact"/>
        <w:ind w:firstLine="600" w:firstLineChars="250"/>
        <w:jc w:val="left"/>
        <w:textAlignment w:val="auto"/>
        <w:outlineLvl w:val="0"/>
        <w:rPr>
          <w:rFonts w:hAnsi="宋体"/>
          <w:color w:val="000000"/>
          <w:sz w:val="24"/>
          <w:szCs w:val="24"/>
        </w:rPr>
      </w:pPr>
      <w:r>
        <w:rPr>
          <w:rFonts w:hint="eastAsia" w:hAnsi="宋体"/>
          <w:color w:val="000000"/>
          <w:sz w:val="24"/>
          <w:szCs w:val="24"/>
        </w:rPr>
        <w:t>（4）法人代表身份证或委托代理人持法人授权委托书及代理人身份证件；</w:t>
      </w:r>
    </w:p>
    <w:p>
      <w:pPr>
        <w:pStyle w:val="10"/>
        <w:keepNext w:val="0"/>
        <w:keepLines w:val="0"/>
        <w:pageBreakBefore w:val="0"/>
        <w:widowControl w:val="0"/>
        <w:kinsoku/>
        <w:wordWrap/>
        <w:overflowPunct/>
        <w:topLinePunct w:val="0"/>
        <w:autoSpaceDE/>
        <w:autoSpaceDN/>
        <w:bidi w:val="0"/>
        <w:spacing w:line="520" w:lineRule="exact"/>
        <w:ind w:firstLine="590" w:firstLineChars="246"/>
        <w:textAlignment w:val="auto"/>
        <w:rPr>
          <w:rFonts w:hint="eastAsia" w:hAnsi="宋体" w:cs="宋体"/>
          <w:bCs/>
          <w:color w:val="000000"/>
          <w:sz w:val="24"/>
          <w:szCs w:val="24"/>
          <w:lang w:val="en-US" w:eastAsia="zh-CN"/>
        </w:rPr>
      </w:pPr>
      <w:r>
        <w:rPr>
          <w:rFonts w:hint="eastAsia" w:hAnsi="宋体" w:cs="宋体"/>
          <w:bCs/>
          <w:color w:val="000000"/>
          <w:sz w:val="24"/>
          <w:szCs w:val="24"/>
        </w:rPr>
        <w:t>（5）“信用中国”网站（www.creditchina.gov.cn）</w:t>
      </w:r>
      <w:r>
        <w:rPr>
          <w:rFonts w:hint="eastAsia" w:hAnsi="宋体" w:cs="宋体"/>
          <w:bCs/>
          <w:color w:val="000000"/>
          <w:sz w:val="24"/>
          <w:szCs w:val="24"/>
          <w:lang w:eastAsia="zh-CN"/>
        </w:rPr>
        <w:t>和</w:t>
      </w:r>
      <w:r>
        <w:rPr>
          <w:rFonts w:hint="eastAsia" w:hAnsi="宋体" w:cs="宋体"/>
          <w:bCs/>
          <w:color w:val="000000"/>
          <w:sz w:val="24"/>
          <w:szCs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三类不良信用记录。）查询截止时间：项目报名时间开始至开标前；信用信息查询记录和证据留存方式：投标人提供查询记录截图（制作于标书内</w:t>
      </w:r>
      <w:r>
        <w:rPr>
          <w:rFonts w:hint="eastAsia" w:hAnsi="宋体" w:cs="宋体"/>
          <w:bCs/>
          <w:color w:val="000000"/>
          <w:sz w:val="24"/>
          <w:szCs w:val="24"/>
          <w:lang w:eastAsia="zh-CN"/>
        </w:rPr>
        <w:t>，两个网站均需查询）</w:t>
      </w:r>
      <w:r>
        <w:rPr>
          <w:rFonts w:hint="eastAsia" w:hAnsi="宋体" w:cs="宋体"/>
          <w:bCs/>
          <w:color w:val="000000"/>
          <w:sz w:val="24"/>
          <w:szCs w:val="24"/>
          <w:lang w:val="en-US" w:eastAsia="zh-CN"/>
        </w:rPr>
        <w:t>。</w:t>
      </w:r>
    </w:p>
    <w:p>
      <w:pPr>
        <w:pStyle w:val="10"/>
        <w:keepNext w:val="0"/>
        <w:keepLines w:val="0"/>
        <w:pageBreakBefore w:val="0"/>
        <w:widowControl w:val="0"/>
        <w:kinsoku/>
        <w:wordWrap/>
        <w:overflowPunct/>
        <w:topLinePunct w:val="0"/>
        <w:autoSpaceDE/>
        <w:autoSpaceDN/>
        <w:bidi w:val="0"/>
        <w:spacing w:line="520" w:lineRule="exact"/>
        <w:ind w:firstLine="481"/>
        <w:jc w:val="left"/>
        <w:textAlignment w:val="auto"/>
        <w:rPr>
          <w:rFonts w:hAnsi="宋体"/>
          <w:color w:val="000000"/>
          <w:sz w:val="24"/>
          <w:szCs w:val="24"/>
        </w:rPr>
      </w:pPr>
      <w:r>
        <w:rPr>
          <w:rFonts w:hint="eastAsia" w:hAnsi="宋体"/>
          <w:b/>
          <w:color w:val="000000"/>
          <w:sz w:val="24"/>
          <w:szCs w:val="24"/>
        </w:rPr>
        <w:t>10、投标保证金：</w:t>
      </w:r>
      <w:r>
        <w:rPr>
          <w:rFonts w:hint="eastAsia"/>
          <w:kern w:val="0"/>
          <w:sz w:val="24"/>
          <w:lang w:val="en-US" w:eastAsia="zh-CN"/>
        </w:rPr>
        <w:t>10000</w:t>
      </w:r>
      <w:r>
        <w:rPr>
          <w:rFonts w:hint="eastAsia"/>
          <w:kern w:val="0"/>
          <w:sz w:val="24"/>
        </w:rPr>
        <w:t>元人民币</w:t>
      </w:r>
    </w:p>
    <w:p>
      <w:pPr>
        <w:pStyle w:val="10"/>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hAnsi="宋体"/>
          <w:color w:val="000000"/>
          <w:sz w:val="24"/>
          <w:szCs w:val="24"/>
        </w:rPr>
      </w:pPr>
      <w:r>
        <w:rPr>
          <w:rFonts w:hint="eastAsia" w:hAnsi="宋体"/>
          <w:color w:val="000000"/>
          <w:sz w:val="24"/>
          <w:szCs w:val="24"/>
          <w:lang w:eastAsia="zh-CN"/>
        </w:rPr>
        <w:t>（</w:t>
      </w:r>
      <w:r>
        <w:rPr>
          <w:rFonts w:hint="eastAsia" w:hAnsi="宋体"/>
          <w:color w:val="000000"/>
          <w:sz w:val="24"/>
          <w:szCs w:val="24"/>
          <w:lang w:val="en-US" w:eastAsia="zh-CN"/>
        </w:rPr>
        <w:t>1</w:t>
      </w:r>
      <w:r>
        <w:rPr>
          <w:rFonts w:hint="eastAsia" w:hAnsi="宋体"/>
          <w:color w:val="000000"/>
          <w:sz w:val="24"/>
          <w:szCs w:val="24"/>
          <w:lang w:eastAsia="zh-CN"/>
        </w:rPr>
        <w:t>）</w:t>
      </w:r>
      <w:r>
        <w:rPr>
          <w:rFonts w:hint="eastAsia" w:hAnsi="宋体"/>
          <w:color w:val="000000"/>
          <w:sz w:val="24"/>
          <w:szCs w:val="24"/>
        </w:rPr>
        <w:t>收款单位：铜仁市公共资源交易中心</w:t>
      </w:r>
    </w:p>
    <w:p>
      <w:pPr>
        <w:pStyle w:val="10"/>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color w:val="000000"/>
          <w:sz w:val="24"/>
        </w:rPr>
      </w:pPr>
      <w:r>
        <w:rPr>
          <w:rFonts w:hint="eastAsia" w:hAnsi="宋体"/>
          <w:color w:val="000000"/>
          <w:sz w:val="24"/>
          <w:lang w:eastAsia="zh-CN"/>
        </w:rPr>
        <w:t>（</w:t>
      </w:r>
      <w:r>
        <w:rPr>
          <w:rFonts w:hint="eastAsia" w:hAnsi="宋体"/>
          <w:color w:val="000000"/>
          <w:sz w:val="24"/>
          <w:lang w:val="en-US" w:eastAsia="zh-CN"/>
        </w:rPr>
        <w:t>2</w:t>
      </w:r>
      <w:r>
        <w:rPr>
          <w:rFonts w:hint="eastAsia" w:hAnsi="宋体"/>
          <w:color w:val="000000"/>
          <w:sz w:val="24"/>
          <w:lang w:eastAsia="zh-CN"/>
        </w:rPr>
        <w:t>）</w:t>
      </w:r>
      <w:r>
        <w:rPr>
          <w:rFonts w:hint="eastAsia" w:ascii="宋体" w:hAnsi="宋体"/>
          <w:color w:val="000000"/>
          <w:sz w:val="24"/>
        </w:rPr>
        <w:t>开 户 行：贵州银行股份有限公司铜仁分行</w:t>
      </w:r>
    </w:p>
    <w:p>
      <w:pPr>
        <w:pStyle w:val="10"/>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color w:val="000000"/>
          <w:sz w:val="24"/>
        </w:rPr>
      </w:pPr>
      <w:r>
        <w:rPr>
          <w:rFonts w:hint="eastAsia" w:hAnsi="宋体"/>
          <w:color w:val="000000"/>
          <w:sz w:val="24"/>
          <w:lang w:eastAsia="zh-CN"/>
        </w:rPr>
        <w:t>（</w:t>
      </w:r>
      <w:r>
        <w:rPr>
          <w:rFonts w:hint="eastAsia" w:hAnsi="宋体"/>
          <w:color w:val="000000"/>
          <w:sz w:val="24"/>
          <w:lang w:val="en-US" w:eastAsia="zh-CN"/>
        </w:rPr>
        <w:t>3</w:t>
      </w:r>
      <w:r>
        <w:rPr>
          <w:rFonts w:hint="eastAsia" w:hAnsi="宋体"/>
          <w:color w:val="000000"/>
          <w:sz w:val="24"/>
          <w:lang w:eastAsia="zh-CN"/>
        </w:rPr>
        <w:t>）</w:t>
      </w:r>
      <w:r>
        <w:rPr>
          <w:rFonts w:hint="eastAsia" w:ascii="宋体" w:hAnsi="宋体"/>
          <w:color w:val="000000"/>
          <w:sz w:val="24"/>
        </w:rPr>
        <w:t>帐    号：0601001500000296</w:t>
      </w:r>
    </w:p>
    <w:p>
      <w:pPr>
        <w:pStyle w:val="10"/>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hAnsi="宋体"/>
          <w:color w:val="000000"/>
          <w:sz w:val="24"/>
          <w:szCs w:val="24"/>
        </w:rPr>
      </w:pPr>
      <w:r>
        <w:rPr>
          <w:rFonts w:hint="eastAsia" w:hAnsi="宋体"/>
          <w:color w:val="000000"/>
          <w:sz w:val="24"/>
          <w:szCs w:val="24"/>
          <w:lang w:eastAsia="zh-CN"/>
        </w:rPr>
        <w:t>（</w:t>
      </w:r>
      <w:r>
        <w:rPr>
          <w:rFonts w:hint="eastAsia" w:hAnsi="宋体"/>
          <w:color w:val="000000"/>
          <w:sz w:val="24"/>
          <w:szCs w:val="24"/>
          <w:lang w:val="en-US" w:eastAsia="zh-CN"/>
        </w:rPr>
        <w:t>4</w:t>
      </w:r>
      <w:r>
        <w:rPr>
          <w:rFonts w:hint="eastAsia" w:hAnsi="宋体"/>
          <w:color w:val="000000"/>
          <w:sz w:val="24"/>
          <w:szCs w:val="24"/>
          <w:lang w:eastAsia="zh-CN"/>
        </w:rPr>
        <w:t>）</w:t>
      </w:r>
      <w:r>
        <w:rPr>
          <w:rFonts w:hint="eastAsia" w:hAnsi="宋体"/>
          <w:color w:val="000000"/>
          <w:sz w:val="24"/>
          <w:szCs w:val="24"/>
        </w:rPr>
        <w:t>投标保证金交纳方式:</w:t>
      </w:r>
    </w:p>
    <w:p>
      <w:pPr>
        <w:keepNext w:val="0"/>
        <w:keepLines w:val="0"/>
        <w:pageBreakBefore w:val="0"/>
        <w:widowControl w:val="0"/>
        <w:kinsoku/>
        <w:wordWrap/>
        <w:overflowPunct/>
        <w:topLinePunct w:val="0"/>
        <w:autoSpaceDE/>
        <w:autoSpaceDN/>
        <w:bidi w:val="0"/>
        <w:spacing w:line="520" w:lineRule="exact"/>
        <w:ind w:firstLine="480"/>
        <w:textAlignment w:val="auto"/>
        <w:rPr>
          <w:rFonts w:hint="eastAsia" w:ascii="宋体" w:hAnsi="宋体" w:cs="宋体"/>
          <w:color w:val="000000" w:themeColor="text1"/>
          <w:sz w:val="24"/>
          <w:shd w:val="clear" w:color="auto" w:fill="FFFFFF"/>
        </w:rPr>
      </w:pPr>
      <w:r>
        <w:rPr>
          <w:rFonts w:hint="eastAsia" w:ascii="宋体" w:hAnsi="宋体" w:cs="宋体"/>
          <w:b/>
          <w:bCs/>
          <w:color w:val="000000" w:themeColor="text1"/>
          <w:sz w:val="24"/>
          <w:shd w:val="clear" w:color="auto" w:fill="FFFFFF"/>
          <w:lang w:eastAsia="zh-CN"/>
        </w:rPr>
        <w:t>第一种：</w:t>
      </w:r>
      <w:r>
        <w:rPr>
          <w:rFonts w:hint="eastAsia" w:ascii="宋体" w:hAnsi="宋体" w:eastAsia="宋体" w:cs="宋体"/>
          <w:b/>
          <w:bCs/>
          <w:color w:val="FF0000"/>
          <w:sz w:val="24"/>
          <w:szCs w:val="24"/>
          <w:lang w:eastAsia="zh-CN"/>
        </w:rPr>
        <w:t>采用银行转账、电汇形式提交</w:t>
      </w:r>
      <w:r>
        <w:rPr>
          <w:rFonts w:ascii="宋体" w:hAnsi="宋体" w:eastAsia="宋体" w:cs="宋体"/>
          <w:sz w:val="24"/>
          <w:szCs w:val="24"/>
        </w:rPr>
        <w:t>:具体缴退流程见铜仁市公共资源交易中心网站（</w:t>
      </w:r>
      <w:r>
        <w:rPr>
          <w:rFonts w:ascii="宋体" w:hAnsi="宋体" w:eastAsia="宋体" w:cs="宋体"/>
          <w:sz w:val="24"/>
          <w:szCs w:val="24"/>
        </w:rPr>
        <w:drawing>
          <wp:inline distT="0" distB="0" distL="114300" distR="114300">
            <wp:extent cx="190500" cy="142875"/>
            <wp:effectExtent l="0" t="0" r="762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8"/>
                    <a:stretch>
                      <a:fillRect/>
                    </a:stretch>
                  </pic:blipFill>
                  <pic:spPr>
                    <a:xfrm>
                      <a:off x="0" y="0"/>
                      <a:ext cx="190500" cy="142875"/>
                    </a:xfrm>
                    <a:prstGeom prst="rect">
                      <a:avLst/>
                    </a:prstGeom>
                    <a:noFill/>
                    <a:ln w="9525">
                      <a:noFill/>
                    </a:ln>
                  </pic:spPr>
                </pic:pic>
              </a:graphicData>
            </a:graphic>
          </wp:inline>
        </w:drawing>
      </w:r>
      <w:r>
        <w:rPr>
          <w:rFonts w:ascii="宋体" w:hAnsi="宋体" w:eastAsia="宋体" w:cs="宋体"/>
          <w:sz w:val="24"/>
          <w:szCs w:val="24"/>
        </w:rPr>
        <w:t>jyzx.trs.gov.cn），点击首页-办事指南-保证金缴退，自行缴纳保证金；</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ascii="宋体" w:hAnsi="宋体" w:cs="宋体"/>
          <w:color w:val="000000"/>
          <w:sz w:val="24"/>
          <w:shd w:val="clear" w:color="auto" w:fill="FFFFFF"/>
          <w:lang w:val="en-US" w:eastAsia="zh-CN"/>
        </w:rPr>
      </w:pPr>
      <w:r>
        <w:rPr>
          <w:rFonts w:hint="eastAsia" w:ascii="宋体" w:hAnsi="宋体" w:cs="宋体"/>
          <w:b/>
          <w:bCs/>
          <w:color w:val="000000"/>
          <w:sz w:val="24"/>
          <w:shd w:val="clear" w:color="auto" w:fill="FFFFFF"/>
          <w:lang w:eastAsia="zh-CN"/>
        </w:rPr>
        <w:t>第二种：</w:t>
      </w:r>
      <w:r>
        <w:rPr>
          <w:rFonts w:hint="eastAsia" w:ascii="宋体" w:hAnsi="宋体" w:cs="宋体"/>
          <w:b/>
          <w:bCs/>
          <w:color w:val="FF0000"/>
          <w:sz w:val="24"/>
          <w:shd w:val="clear" w:color="auto" w:fill="FFFFFF"/>
          <w:lang w:val="en-US" w:eastAsia="zh-CN"/>
        </w:rPr>
        <w:t>采用《投标保证金保函》（电子保函）提交</w:t>
      </w:r>
      <w:r>
        <w:rPr>
          <w:rFonts w:hint="eastAsia" w:ascii="宋体" w:hAnsi="宋体" w:cs="宋体"/>
          <w:color w:val="000000"/>
          <w:sz w:val="24"/>
          <w:shd w:val="clear" w:color="auto" w:fill="FFFFFF"/>
          <w:lang w:val="en-US" w:eastAsia="zh-CN"/>
        </w:rPr>
        <w:t>：具体操作方式见铜仁市公共资源交易中心首页-办事指南-政府采购-常见问题解答-《投标电子保函申请操作步骤》</w:t>
      </w:r>
    </w:p>
    <w:p>
      <w:pPr>
        <w:keepNext w:val="0"/>
        <w:keepLines w:val="0"/>
        <w:pageBreakBefore w:val="0"/>
        <w:widowControl w:val="0"/>
        <w:numPr>
          <w:ilvl w:val="0"/>
          <w:numId w:val="0"/>
        </w:numPr>
        <w:kinsoku/>
        <w:wordWrap/>
        <w:overflowPunct/>
        <w:topLinePunct w:val="0"/>
        <w:autoSpaceDE/>
        <w:autoSpaceDN/>
        <w:bidi w:val="0"/>
        <w:spacing w:line="520" w:lineRule="exact"/>
        <w:ind w:firstLine="482" w:firstLineChars="200"/>
        <w:textAlignment w:val="auto"/>
        <w:rPr>
          <w:rFonts w:hint="eastAsia"/>
          <w:lang w:eastAsia="zh-CN"/>
        </w:rPr>
      </w:pPr>
      <w:r>
        <w:rPr>
          <w:rFonts w:hint="eastAsia" w:ascii="宋体" w:hAnsi="宋体"/>
          <w:b/>
          <w:color w:val="000000"/>
          <w:sz w:val="24"/>
          <w:lang w:val="en-US" w:eastAsia="zh-CN"/>
        </w:rPr>
        <w:t>11、</w:t>
      </w:r>
      <w:r>
        <w:rPr>
          <w:rFonts w:hint="eastAsia" w:ascii="宋体" w:hAnsi="宋体"/>
          <w:b/>
          <w:bCs/>
          <w:color w:val="000000"/>
          <w:sz w:val="24"/>
        </w:rPr>
        <w:t>采购预算</w:t>
      </w:r>
      <w:r>
        <w:rPr>
          <w:rFonts w:hint="eastAsia" w:ascii="宋体" w:hAnsi="宋体"/>
          <w:color w:val="000000"/>
          <w:sz w:val="24"/>
        </w:rPr>
        <w:t xml:space="preserve"> ：</w:t>
      </w:r>
      <w:r>
        <w:rPr>
          <w:rFonts w:hint="eastAsia" w:ascii="宋体" w:hAnsi="宋体"/>
          <w:color w:val="000000"/>
          <w:sz w:val="24"/>
          <w:lang w:val="en-US" w:eastAsia="zh-CN"/>
        </w:rPr>
        <w:t>791000.00</w:t>
      </w:r>
      <w:r>
        <w:rPr>
          <w:rFonts w:hint="eastAsia" w:ascii="宋体" w:hAnsi="宋体"/>
          <w:color w:val="000000"/>
          <w:sz w:val="24"/>
        </w:rPr>
        <w:t>元</w:t>
      </w:r>
      <w:r>
        <w:rPr>
          <w:rFonts w:hint="eastAsia" w:ascii="宋体" w:hAnsi="宋体"/>
          <w:color w:val="000000"/>
          <w:sz w:val="24"/>
          <w:lang w:eastAsia="zh-CN"/>
        </w:rPr>
        <w:t>（最高限价：</w:t>
      </w:r>
      <w:r>
        <w:rPr>
          <w:rFonts w:hint="eastAsia" w:ascii="宋体" w:hAnsi="宋体"/>
          <w:color w:val="000000"/>
          <w:sz w:val="24"/>
          <w:lang w:val="en-US" w:eastAsia="zh-CN"/>
        </w:rPr>
        <w:t>791000.00元</w:t>
      </w:r>
      <w:r>
        <w:rPr>
          <w:rFonts w:hint="eastAsia" w:ascii="宋体" w:hAnsi="宋体"/>
          <w:color w:val="000000"/>
          <w:sz w:val="24"/>
          <w:lang w:eastAsia="zh-CN"/>
        </w:rPr>
        <w:t>）</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color w:val="000000"/>
          <w:sz w:val="24"/>
        </w:rPr>
      </w:pPr>
      <w:r>
        <w:rPr>
          <w:rFonts w:hint="eastAsia" w:ascii="宋体" w:hAnsi="宋体"/>
          <w:b/>
          <w:color w:val="000000"/>
          <w:sz w:val="24"/>
        </w:rPr>
        <w:t>12、谈判时间：</w:t>
      </w:r>
      <w:r>
        <w:rPr>
          <w:rFonts w:hint="eastAsia" w:ascii="宋体" w:hAnsi="宋体"/>
          <w:color w:val="0000FF"/>
          <w:sz w:val="24"/>
        </w:rPr>
        <w:t>20</w:t>
      </w:r>
      <w:r>
        <w:rPr>
          <w:rFonts w:hint="eastAsia" w:ascii="宋体" w:hAnsi="宋体"/>
          <w:color w:val="0000FF"/>
          <w:sz w:val="24"/>
          <w:lang w:val="en-US" w:eastAsia="zh-CN"/>
        </w:rPr>
        <w:t>20</w:t>
      </w:r>
      <w:r>
        <w:rPr>
          <w:rFonts w:hint="eastAsia" w:ascii="宋体" w:hAnsi="宋体"/>
          <w:color w:val="0000FF"/>
          <w:sz w:val="24"/>
        </w:rPr>
        <w:t>年</w:t>
      </w:r>
      <w:r>
        <w:rPr>
          <w:rFonts w:hint="eastAsia" w:ascii="宋体" w:hAnsi="宋体"/>
          <w:color w:val="0000FF"/>
          <w:sz w:val="24"/>
          <w:lang w:val="en-US" w:eastAsia="zh-CN"/>
        </w:rPr>
        <w:t>8月19</w:t>
      </w:r>
      <w:r>
        <w:rPr>
          <w:rFonts w:hint="eastAsia" w:ascii="宋体" w:hAnsi="宋体"/>
          <w:color w:val="0000FF"/>
          <w:sz w:val="24"/>
        </w:rPr>
        <w:t>日</w:t>
      </w:r>
      <w:r>
        <w:rPr>
          <w:rFonts w:hint="eastAsia" w:ascii="宋体" w:hAnsi="宋体"/>
          <w:color w:val="0000FF"/>
          <w:sz w:val="24"/>
          <w:lang w:val="en-US" w:eastAsia="zh-CN"/>
        </w:rPr>
        <w:t>14:00</w:t>
      </w:r>
      <w:r>
        <w:rPr>
          <w:rFonts w:hint="eastAsia" w:ascii="宋体" w:hAnsi="宋体"/>
          <w:color w:val="0000FF"/>
          <w:sz w:val="24"/>
        </w:rPr>
        <w:t>时</w:t>
      </w:r>
    </w:p>
    <w:p>
      <w:pPr>
        <w:keepNext w:val="0"/>
        <w:keepLines w:val="0"/>
        <w:pageBreakBefore w:val="0"/>
        <w:widowControl w:val="0"/>
        <w:kinsoku/>
        <w:wordWrap/>
        <w:overflowPunct/>
        <w:topLinePunct w:val="0"/>
        <w:autoSpaceDE/>
        <w:autoSpaceDN/>
        <w:bidi w:val="0"/>
        <w:spacing w:line="520" w:lineRule="exact"/>
        <w:ind w:firstLine="470" w:firstLineChars="196"/>
        <w:textAlignment w:val="auto"/>
        <w:rPr>
          <w:rFonts w:ascii="宋体" w:hAnsi="宋体"/>
          <w:bCs/>
          <w:color w:val="000000"/>
          <w:sz w:val="24"/>
        </w:rPr>
      </w:pPr>
      <w:r>
        <w:rPr>
          <w:rFonts w:hint="eastAsia" w:ascii="宋体" w:hAnsi="宋体"/>
          <w:bCs/>
          <w:color w:val="000000"/>
          <w:sz w:val="24"/>
        </w:rPr>
        <w:t>13、谈判地点：铜仁市公共服务中心四楼开标室（铜仁市碧江区川硐教育园区麒龙国际旁）</w:t>
      </w:r>
    </w:p>
    <w:p>
      <w:pPr>
        <w:keepNext w:val="0"/>
        <w:keepLines w:val="0"/>
        <w:pageBreakBefore w:val="0"/>
        <w:widowControl w:val="0"/>
        <w:kinsoku/>
        <w:wordWrap/>
        <w:overflowPunct/>
        <w:topLinePunct w:val="0"/>
        <w:autoSpaceDE/>
        <w:autoSpaceDN/>
        <w:bidi w:val="0"/>
        <w:spacing w:line="520" w:lineRule="exact"/>
        <w:ind w:firstLine="720" w:firstLineChars="300"/>
        <w:textAlignment w:val="auto"/>
        <w:rPr>
          <w:rFonts w:ascii="宋体" w:hAnsi="宋体"/>
          <w:color w:val="000000"/>
          <w:sz w:val="24"/>
        </w:rPr>
      </w:pPr>
      <w:r>
        <w:rPr>
          <w:rFonts w:hint="eastAsia" w:ascii="宋体" w:hAnsi="宋体"/>
          <w:color w:val="000000"/>
          <w:sz w:val="24"/>
        </w:rPr>
        <w:t>联系电话：0856-3912922</w:t>
      </w:r>
    </w:p>
    <w:p>
      <w:pPr>
        <w:keepNext w:val="0"/>
        <w:keepLines w:val="0"/>
        <w:pageBreakBefore w:val="0"/>
        <w:widowControl w:val="0"/>
        <w:kinsoku/>
        <w:wordWrap/>
        <w:overflowPunct/>
        <w:topLinePunct w:val="0"/>
        <w:autoSpaceDE/>
        <w:autoSpaceDN/>
        <w:bidi w:val="0"/>
        <w:adjustRightInd w:val="0"/>
        <w:snapToGrid w:val="0"/>
        <w:spacing w:line="520" w:lineRule="exact"/>
        <w:ind w:firstLine="720" w:firstLineChars="300"/>
        <w:textAlignment w:val="auto"/>
        <w:rPr>
          <w:rFonts w:hint="eastAsia" w:ascii="宋体" w:hAnsi="宋体" w:eastAsiaTheme="minorEastAsia"/>
          <w:b/>
          <w:bCs/>
          <w:sz w:val="24"/>
          <w:lang w:eastAsia="zh-CN"/>
        </w:rPr>
      </w:pPr>
      <w:r>
        <w:rPr>
          <w:rFonts w:hint="eastAsia" w:ascii="宋体" w:hAnsi="宋体"/>
          <w:color w:val="000000"/>
          <w:sz w:val="24"/>
        </w:rPr>
        <w:t xml:space="preserve">联 系 人： </w:t>
      </w:r>
      <w:r>
        <w:rPr>
          <w:rFonts w:hint="eastAsia" w:ascii="宋体" w:hAnsi="宋体"/>
          <w:color w:val="000000"/>
          <w:sz w:val="24"/>
          <w:lang w:eastAsia="zh-CN"/>
        </w:rPr>
        <w:t>黄丽</w:t>
      </w:r>
    </w:p>
    <w:p>
      <w:pPr>
        <w:keepNext w:val="0"/>
        <w:keepLines w:val="0"/>
        <w:pageBreakBefore w:val="0"/>
        <w:widowControl w:val="0"/>
        <w:kinsoku/>
        <w:wordWrap/>
        <w:overflowPunct/>
        <w:topLinePunct w:val="0"/>
        <w:autoSpaceDE/>
        <w:autoSpaceDN/>
        <w:bidi w:val="0"/>
        <w:adjustRightInd w:val="0"/>
        <w:snapToGrid w:val="0"/>
        <w:spacing w:line="520" w:lineRule="exact"/>
        <w:ind w:left="1199" w:leftChars="228" w:hanging="720" w:hangingChars="300"/>
        <w:textAlignment w:val="auto"/>
        <w:rPr>
          <w:rFonts w:hint="eastAsia" w:ascii="宋体" w:hAnsi="宋体" w:eastAsiaTheme="minorEastAsia"/>
          <w:sz w:val="24"/>
          <w:lang w:eastAsia="zh-CN"/>
        </w:rPr>
      </w:pPr>
      <w:r>
        <w:rPr>
          <w:rFonts w:hint="eastAsia" w:ascii="宋体" w:hAnsi="宋体"/>
          <w:sz w:val="24"/>
        </w:rPr>
        <w:t>14 、采购人地点及联系方式</w:t>
      </w:r>
      <w:r>
        <w:rPr>
          <w:rFonts w:hint="eastAsia" w:ascii="宋体" w:hAnsi="宋体"/>
          <w:sz w:val="24"/>
        </w:rPr>
        <w:br w:type="textWrapping"/>
      </w:r>
      <w:r>
        <w:rPr>
          <w:rFonts w:hint="eastAsia" w:ascii="宋体" w:hAnsi="宋体"/>
          <w:sz w:val="24"/>
        </w:rPr>
        <w:t>联系地址:</w:t>
      </w:r>
      <w:r>
        <w:rPr>
          <w:rFonts w:hint="eastAsia" w:ascii="宋体" w:hAnsi="宋体"/>
          <w:sz w:val="24"/>
          <w:lang w:eastAsia="zh-CN"/>
        </w:rPr>
        <w:t>铜仁市红十字会</w:t>
      </w:r>
      <w:r>
        <w:rPr>
          <w:rFonts w:hint="eastAsia" w:ascii="宋体" w:hAnsi="宋体"/>
          <w:sz w:val="24"/>
        </w:rPr>
        <w:br w:type="textWrapping"/>
      </w:r>
      <w:r>
        <w:rPr>
          <w:rFonts w:hint="eastAsia" w:ascii="宋体" w:hAnsi="宋体"/>
          <w:sz w:val="24"/>
        </w:rPr>
        <w:t>项目联系人:</w:t>
      </w:r>
      <w:r>
        <w:rPr>
          <w:rFonts w:hint="eastAsia" w:ascii="宋体" w:hAnsi="宋体"/>
          <w:sz w:val="24"/>
          <w:lang w:eastAsia="zh-CN"/>
        </w:rPr>
        <w:t>刘科长</w:t>
      </w:r>
    </w:p>
    <w:p>
      <w:pPr>
        <w:keepNext w:val="0"/>
        <w:keepLines w:val="0"/>
        <w:pageBreakBefore w:val="0"/>
        <w:widowControl w:val="0"/>
        <w:kinsoku/>
        <w:wordWrap/>
        <w:overflowPunct/>
        <w:topLinePunct w:val="0"/>
        <w:autoSpaceDE/>
        <w:autoSpaceDN/>
        <w:bidi w:val="0"/>
        <w:adjustRightInd w:val="0"/>
        <w:snapToGrid w:val="0"/>
        <w:spacing w:line="520" w:lineRule="exact"/>
        <w:ind w:firstLine="1200" w:firstLineChars="500"/>
        <w:textAlignment w:val="auto"/>
        <w:rPr>
          <w:rFonts w:hint="default" w:ascii="宋体" w:hAnsi="宋体" w:eastAsiaTheme="minorEastAsia"/>
          <w:sz w:val="24"/>
          <w:lang w:val="en-US" w:eastAsia="zh-CN"/>
        </w:rPr>
      </w:pPr>
      <w:r>
        <w:rPr>
          <w:rFonts w:hint="eastAsia" w:ascii="宋体" w:hAnsi="宋体"/>
          <w:sz w:val="24"/>
        </w:rPr>
        <w:t>联系电话:</w:t>
      </w:r>
      <w:r>
        <w:rPr>
          <w:rFonts w:hint="eastAsia" w:ascii="宋体" w:hAnsi="宋体"/>
          <w:sz w:val="24"/>
          <w:lang w:val="en-US" w:eastAsia="zh-CN"/>
        </w:rPr>
        <w:t>15902566999</w:t>
      </w:r>
    </w:p>
    <w:p>
      <w:pPr>
        <w:keepNext w:val="0"/>
        <w:keepLines w:val="0"/>
        <w:pageBreakBefore w:val="0"/>
        <w:widowControl w:val="0"/>
        <w:kinsoku/>
        <w:wordWrap/>
        <w:overflowPunct/>
        <w:topLinePunct w:val="0"/>
        <w:autoSpaceDE/>
        <w:autoSpaceDN/>
        <w:bidi w:val="0"/>
        <w:spacing w:line="520" w:lineRule="exact"/>
        <w:textAlignment w:val="auto"/>
        <w:outlineLvl w:val="0"/>
        <w:rPr>
          <w:rFonts w:ascii="宋体" w:hAnsi="宋体"/>
          <w:b/>
          <w:bCs/>
          <w:sz w:val="30"/>
          <w:szCs w:val="30"/>
        </w:rPr>
      </w:pPr>
      <w:r>
        <w:rPr>
          <w:rFonts w:hint="eastAsia" w:ascii="宋体" w:hAnsi="宋体"/>
          <w:sz w:val="24"/>
        </w:rPr>
        <w:t>15、电子投标技术支持电话：08563960513（固话），18352864732。</w:t>
      </w:r>
      <w:r>
        <w:rPr>
          <w:rFonts w:hint="eastAsia" w:ascii="宋体" w:hAnsi="宋体"/>
          <w:sz w:val="24"/>
        </w:rPr>
        <w:br w:type="textWrapping"/>
      </w:r>
      <w:r>
        <w:rPr>
          <w:rFonts w:hint="eastAsia" w:ascii="宋体" w:hAnsi="宋体"/>
          <w:sz w:val="24"/>
        </w:rPr>
        <w:t>16、保证金热线：0856-3910364</w:t>
      </w:r>
      <w:r>
        <w:rPr>
          <w:rFonts w:hint="eastAsia" w:ascii="宋体" w:hAnsi="宋体"/>
          <w:sz w:val="24"/>
        </w:rPr>
        <w:br w:type="textWrapping"/>
      </w:r>
      <w:r>
        <w:rPr>
          <w:rFonts w:hint="eastAsia" w:ascii="宋体" w:hAnsi="宋体"/>
          <w:sz w:val="24"/>
        </w:rPr>
        <w:t>17、CA数字证书及电子签章：0856-3912912、3912378</w:t>
      </w:r>
    </w:p>
    <w:p>
      <w:pPr>
        <w:widowControl/>
        <w:jc w:val="left"/>
        <w:rPr>
          <w:rFonts w:ascii="宋体" w:hAnsi="宋体"/>
          <w:b/>
          <w:color w:val="000000"/>
          <w:kern w:val="0"/>
          <w:sz w:val="36"/>
          <w:szCs w:val="24"/>
        </w:rPr>
      </w:pPr>
      <w:r>
        <w:rPr>
          <w:rFonts w:hAnsi="宋体"/>
          <w:b/>
          <w:sz w:val="36"/>
        </w:rPr>
        <w:br w:type="page"/>
      </w:r>
    </w:p>
    <w:p>
      <w:pPr>
        <w:pStyle w:val="24"/>
        <w:spacing w:line="360" w:lineRule="auto"/>
        <w:jc w:val="center"/>
        <w:rPr>
          <w:rFonts w:hAnsi="宋体"/>
          <w:b/>
          <w:bCs/>
          <w:sz w:val="30"/>
          <w:szCs w:val="30"/>
        </w:rPr>
      </w:pPr>
      <w:r>
        <w:rPr>
          <w:rFonts w:hint="eastAsia" w:hAnsi="宋体"/>
          <w:b/>
          <w:sz w:val="36"/>
        </w:rPr>
        <w:t>第二章  谈判供应商须知</w:t>
      </w:r>
    </w:p>
    <w:p>
      <w:pPr>
        <w:spacing w:line="400" w:lineRule="exact"/>
        <w:jc w:val="center"/>
        <w:rPr>
          <w:rFonts w:ascii="宋体" w:hAnsi="宋体"/>
          <w:b/>
          <w:bCs/>
          <w:sz w:val="32"/>
        </w:rPr>
      </w:pPr>
      <w:r>
        <w:rPr>
          <w:rFonts w:hint="eastAsia" w:ascii="宋体" w:hAnsi="宋体"/>
          <w:b/>
          <w:bCs/>
          <w:sz w:val="24"/>
        </w:rPr>
        <w:t>谈判供应商须知前附表1</w:t>
      </w:r>
    </w:p>
    <w:p>
      <w:pPr>
        <w:spacing w:line="400" w:lineRule="exact"/>
        <w:ind w:firstLine="525"/>
        <w:rPr>
          <w:rFonts w:ascii="宋体" w:hAnsi="宋体"/>
          <w:sz w:val="24"/>
        </w:rPr>
      </w:pPr>
      <w:r>
        <w:rPr>
          <w:rFonts w:hint="eastAsia" w:ascii="宋体" w:hAnsi="宋体"/>
          <w:sz w:val="24"/>
        </w:rPr>
        <w:t xml:space="preserve">本须知前附表的条款号是与《谈判供应商须知》中条款的项号相对应的。如果有矛盾的话，应以本附表为准。 </w:t>
      </w:r>
    </w:p>
    <w:p>
      <w:pPr>
        <w:spacing w:line="400" w:lineRule="exact"/>
        <w:ind w:firstLine="525"/>
        <w:rPr>
          <w:rFonts w:ascii="宋体" w:hAnsi="宋体"/>
          <w:sz w:val="24"/>
        </w:rPr>
      </w:pPr>
    </w:p>
    <w:tbl>
      <w:tblPr>
        <w:tblStyle w:val="16"/>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sz w:val="24"/>
                <w:u w:val="single"/>
                <w:lang w:eastAsia="zh-CN"/>
              </w:rPr>
            </w:pPr>
            <w:r>
              <w:rPr>
                <w:rFonts w:hint="eastAsia" w:ascii="宋体" w:hAnsi="宋体"/>
                <w:sz w:val="24"/>
              </w:rPr>
              <w:t>项目名称：</w:t>
            </w:r>
            <w:r>
              <w:rPr>
                <w:rFonts w:hint="eastAsia" w:ascii="宋体" w:hAnsi="宋体"/>
                <w:sz w:val="24"/>
                <w:u w:val="single"/>
                <w:lang w:eastAsia="zh-CN"/>
              </w:rPr>
              <w:t>铜仁市红十字会生命健康安全体验馆设备采购项目</w:t>
            </w:r>
          </w:p>
          <w:p>
            <w:pPr>
              <w:spacing w:line="400" w:lineRule="exact"/>
              <w:rPr>
                <w:rFonts w:hint="eastAsia" w:ascii="宋体" w:hAnsi="宋体" w:eastAsiaTheme="minorEastAsia"/>
                <w:sz w:val="24"/>
                <w:lang w:eastAsia="zh-CN"/>
              </w:rPr>
            </w:pPr>
            <w:r>
              <w:rPr>
                <w:rFonts w:hint="eastAsia" w:ascii="宋体" w:hAnsi="宋体"/>
                <w:sz w:val="24"/>
              </w:rPr>
              <w:t>采购人名称：</w:t>
            </w:r>
            <w:r>
              <w:rPr>
                <w:rFonts w:hint="eastAsia" w:ascii="宋体" w:hAnsi="宋体"/>
                <w:sz w:val="24"/>
                <w:u w:val="single"/>
                <w:lang w:eastAsia="zh-CN"/>
              </w:rPr>
              <w:t>铜仁市红十字会</w:t>
            </w:r>
          </w:p>
          <w:p>
            <w:pPr>
              <w:spacing w:line="400" w:lineRule="exact"/>
              <w:rPr>
                <w:rFonts w:hint="eastAsia" w:ascii="宋体" w:hAnsi="宋体" w:eastAsiaTheme="minorEastAsia"/>
                <w:sz w:val="24"/>
                <w:lang w:eastAsia="zh-CN"/>
              </w:rPr>
            </w:pPr>
            <w:r>
              <w:rPr>
                <w:rFonts w:hint="eastAsia" w:ascii="宋体" w:hAnsi="宋体"/>
                <w:sz w:val="24"/>
              </w:rPr>
              <w:t>采购人地址：</w:t>
            </w:r>
            <w:r>
              <w:rPr>
                <w:rFonts w:hint="eastAsia" w:ascii="宋体" w:hAnsi="宋体"/>
                <w:sz w:val="24"/>
                <w:u w:val="single"/>
                <w:lang w:eastAsia="zh-CN"/>
              </w:rPr>
              <w:t>铜仁市红十字会</w:t>
            </w:r>
          </w:p>
          <w:p>
            <w:pPr>
              <w:spacing w:line="400" w:lineRule="exact"/>
              <w:rPr>
                <w:rFonts w:ascii="宋体" w:hAnsi="宋体"/>
                <w:sz w:val="24"/>
                <w:u w:val="single"/>
              </w:rPr>
            </w:pPr>
            <w:r>
              <w:rPr>
                <w:rFonts w:hint="eastAsia" w:ascii="宋体" w:hAnsi="宋体"/>
                <w:sz w:val="24"/>
              </w:rPr>
              <w:t xml:space="preserve">项目内容： </w:t>
            </w:r>
            <w:r>
              <w:rPr>
                <w:rFonts w:hint="eastAsia" w:ascii="宋体" w:hAnsi="宋体"/>
                <w:sz w:val="24"/>
                <w:u w:val="single"/>
              </w:rPr>
              <w:t xml:space="preserve"> </w:t>
            </w:r>
            <w:r>
              <w:rPr>
                <w:rFonts w:hint="eastAsia" w:ascii="宋体" w:hAnsi="宋体"/>
                <w:sz w:val="24"/>
                <w:u w:val="single"/>
                <w:lang w:eastAsia="zh-CN"/>
              </w:rPr>
              <w:t>生命健康安全体验馆设备采购</w:t>
            </w:r>
            <w:r>
              <w:rPr>
                <w:rFonts w:hint="eastAsia" w:ascii="宋体" w:hAnsi="宋体"/>
                <w:sz w:val="24"/>
                <w:u w:val="single"/>
              </w:rPr>
              <w:t xml:space="preserve"> </w:t>
            </w:r>
          </w:p>
          <w:p>
            <w:pPr>
              <w:spacing w:line="400" w:lineRule="exact"/>
              <w:rPr>
                <w:rFonts w:hint="eastAsia" w:ascii="宋体" w:hAnsi="宋体" w:eastAsiaTheme="minorEastAsia"/>
                <w:sz w:val="24"/>
                <w:u w:val="single"/>
                <w:lang w:eastAsia="zh-CN"/>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sz w:val="24"/>
                <w:u w:val="single"/>
                <w:lang w:eastAsia="zh-CN"/>
              </w:rPr>
              <w:t>TRZFCG-2020-048</w:t>
            </w:r>
          </w:p>
          <w:p>
            <w:pPr>
              <w:spacing w:line="400" w:lineRule="exact"/>
              <w:rPr>
                <w:rFonts w:ascii="宋体" w:hAnsi="宋体"/>
                <w:sz w:val="24"/>
                <w:u w:val="single"/>
              </w:rPr>
            </w:pPr>
            <w:r>
              <w:rPr>
                <w:rFonts w:hint="eastAsia" w:ascii="Arial" w:hAnsi="Arial" w:cs="Arial"/>
                <w:sz w:val="24"/>
              </w:rPr>
              <w:t>财政审核控制价（预算价）：</w:t>
            </w:r>
            <w:r>
              <w:rPr>
                <w:rFonts w:hint="eastAsia" w:ascii="Arial" w:hAnsi="Arial" w:cs="Arial"/>
                <w:sz w:val="24"/>
                <w:u w:val="single"/>
                <w:lang w:val="en-US" w:eastAsia="zh-CN"/>
              </w:rPr>
              <w:t>79.1万</w:t>
            </w:r>
            <w:r>
              <w:rPr>
                <w:rFonts w:hint="eastAsia" w:ascii="Arial" w:hAnsi="Arial" w:cs="Arial"/>
                <w:sz w:val="24"/>
                <w:u w:val="single"/>
              </w:rPr>
              <w:t>元</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hint="eastAsia" w:ascii="宋体" w:hAnsi="宋体"/>
                <w:b/>
                <w:sz w:val="24"/>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资格标准：</w:t>
            </w:r>
          </w:p>
          <w:p>
            <w:pPr>
              <w:spacing w:line="400" w:lineRule="exact"/>
              <w:rPr>
                <w:rFonts w:ascii="宋体" w:hAnsi="宋体"/>
                <w:sz w:val="24"/>
              </w:rPr>
            </w:pPr>
            <w:r>
              <w:rPr>
                <w:rFonts w:hint="eastAsia" w:ascii="宋体" w:hAnsi="宋体"/>
                <w:sz w:val="24"/>
              </w:rPr>
              <w:t>详见第二章《谈判响应供应商须知》第3条，以及第三章《采购内容及要求》有关内容。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 xml:space="preserve">响应文件递交地址：  </w:t>
            </w:r>
          </w:p>
          <w:p>
            <w:pPr>
              <w:spacing w:line="400" w:lineRule="exact"/>
              <w:rPr>
                <w:rFonts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cs="Arial"/>
                <w:sz w:val="24"/>
              </w:rPr>
            </w:pPr>
            <w:r>
              <w:rPr>
                <w:rFonts w:ascii="Arial" w:cs="Arial"/>
                <w:sz w:val="24"/>
              </w:rPr>
              <w:t>谈判保证金：响应文件应附有人民币</w:t>
            </w:r>
            <w:r>
              <w:rPr>
                <w:rFonts w:hint="eastAsia" w:ascii="宋体" w:hAnsi="宋体" w:cs="宋体"/>
                <w:sz w:val="24"/>
                <w:u w:val="single"/>
                <w:lang w:val="en-US" w:eastAsia="zh-CN"/>
              </w:rPr>
              <w:t>10</w:t>
            </w:r>
            <w:r>
              <w:rPr>
                <w:rFonts w:hint="eastAsia" w:ascii="宋体" w:hAnsi="宋体" w:cs="宋体"/>
                <w:sz w:val="24"/>
                <w:u w:val="single"/>
              </w:rPr>
              <w:t>000</w:t>
            </w:r>
            <w:r>
              <w:rPr>
                <w:rFonts w:hint="eastAsia" w:ascii="宋体" w:hAnsi="宋体" w:cs="宋体"/>
                <w:sz w:val="24"/>
              </w:rPr>
              <w:t>元</w:t>
            </w:r>
            <w:r>
              <w:rPr>
                <w:rFonts w:ascii="Arial" w:cs="Arial"/>
                <w:sz w:val="24"/>
              </w:rPr>
              <w:t>整的谈判保证金，</w:t>
            </w:r>
            <w:r>
              <w:rPr>
                <w:rFonts w:hint="eastAsia" w:ascii="Arial" w:hAnsi="Arial" w:cs="Arial"/>
                <w:sz w:val="24"/>
              </w:rPr>
              <w:t>保证金必须从供应商账户支付且在响应文件提交截止时间前到账，保证金应当采用支票、汇票、本票、网上银行支付等非现金形式交纳。</w:t>
            </w:r>
          </w:p>
          <w:p>
            <w:pPr>
              <w:spacing w:line="400" w:lineRule="exact"/>
              <w:rPr>
                <w:rFonts w:ascii="Arial" w:hAnsi="Arial" w:cs="Arial"/>
                <w:sz w:val="24"/>
              </w:rPr>
            </w:pPr>
            <w:r>
              <w:rPr>
                <w:rFonts w:ascii="Arial" w:cs="Arial"/>
                <w:sz w:val="24"/>
              </w:rPr>
              <w:t>为方便谈判保证金的收、退结算，请在银行汇</w:t>
            </w:r>
            <w:bookmarkStart w:id="7" w:name="_GoBack"/>
            <w:bookmarkEnd w:id="7"/>
            <w:r>
              <w:rPr>
                <w:rFonts w:ascii="Arial" w:cs="Arial"/>
                <w:sz w:val="24"/>
              </w:rPr>
              <w:t>款凭证上标注项目</w:t>
            </w:r>
            <w:r>
              <w:rPr>
                <w:rFonts w:hint="eastAsia" w:ascii="Arial" w:cs="Arial"/>
                <w:sz w:val="24"/>
              </w:rPr>
              <w:t>随机码</w:t>
            </w:r>
            <w:r>
              <w:rPr>
                <w:rFonts w:ascii="Arial" w:cs="Arial"/>
                <w:sz w:val="24"/>
              </w:rPr>
              <w:t>，谈判保证金缴交凭证请随同响应文件同时送达。</w:t>
            </w:r>
            <w:r>
              <w:rPr>
                <w:rFonts w:hint="eastAsia" w:ascii="Arial" w:hAnsi="Arial" w:cs="Arial"/>
                <w:sz w:val="24"/>
              </w:rPr>
              <w:t>（保证金不得超过采购项目预算金额的2%）</w:t>
            </w:r>
          </w:p>
          <w:p>
            <w:pPr>
              <w:spacing w:line="400" w:lineRule="exact"/>
              <w:rPr>
                <w:rFonts w:ascii="宋体" w:hAnsi="宋体"/>
                <w:sz w:val="24"/>
              </w:rPr>
            </w:pPr>
            <w:r>
              <w:rPr>
                <w:rFonts w:ascii="Arial" w:cs="Arial"/>
                <w:sz w:val="24"/>
              </w:rPr>
              <w:t>注：谈判保证金必须在提交响应文件截止时间前到帐，否则视为无效</w:t>
            </w:r>
            <w:r>
              <w:rPr>
                <w:rFonts w:hint="eastAsia" w:ascii="Arial" w:cs="Arial"/>
                <w:sz w:val="24"/>
              </w:rPr>
              <w:t>响应</w:t>
            </w:r>
            <w:r>
              <w:rPr>
                <w:rFonts w:asci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u w:val="single"/>
              </w:rPr>
            </w:pPr>
            <w:r>
              <w:rPr>
                <w:rFonts w:hint="eastAsia" w:ascii="宋体" w:hAnsi="宋体"/>
                <w:sz w:val="24"/>
                <w:u w:val="single"/>
              </w:rPr>
              <w:t>谈判规则、评审标准：最低评标价法</w:t>
            </w:r>
          </w:p>
          <w:p>
            <w:pPr>
              <w:spacing w:line="400" w:lineRule="exact"/>
              <w:rPr>
                <w:rFonts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25</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谈判代理服务费标准及收取方式：</w:t>
            </w:r>
            <w:r>
              <w:rPr>
                <w:rFonts w:hint="eastAsia" w:ascii="宋体" w:hAnsi="宋体"/>
                <w:sz w:val="24"/>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仿宋_GB2312" w:hAnsi="仿宋_GB2312" w:eastAsia="仿宋_GB2312" w:cs="仿宋_GB2312"/>
                <w:b/>
                <w:bCs/>
                <w:sz w:val="24"/>
                <w:szCs w:val="24"/>
              </w:rPr>
              <w:t>招标代理服务费：本中心不收取服务费</w:t>
            </w:r>
          </w:p>
        </w:tc>
      </w:tr>
    </w:tbl>
    <w:p>
      <w:pPr>
        <w:spacing w:line="400" w:lineRule="exact"/>
        <w:jc w:val="center"/>
        <w:rPr>
          <w:rFonts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spacing w:line="400" w:lineRule="exact"/>
        <w:ind w:firstLine="495"/>
        <w:rPr>
          <w:rFonts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合格的谈判供应商</w:t>
            </w:r>
          </w:p>
          <w:p>
            <w:pPr>
              <w:spacing w:line="400" w:lineRule="exact"/>
              <w:rPr>
                <w:rFonts w:ascii="宋体" w:hAnsi="宋体"/>
                <w:sz w:val="24"/>
              </w:rPr>
            </w:pPr>
            <w:r>
              <w:rPr>
                <w:rFonts w:hint="eastAsia" w:ascii="宋体" w:hAnsi="宋体"/>
                <w:sz w:val="24"/>
              </w:rPr>
              <w:t>具体内容详见第二章第3条“合格的谈判供应商”。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tcPr>
          <w:p>
            <w:pPr>
              <w:pStyle w:val="25"/>
              <w:spacing w:line="400" w:lineRule="exact"/>
            </w:pPr>
            <w:r>
              <w:t>参加政府采购活动的</w:t>
            </w:r>
            <w:r>
              <w:rPr>
                <w:rFonts w:hint="eastAsia"/>
              </w:rPr>
              <w:t>谈判供应商</w:t>
            </w:r>
            <w:r>
              <w:t>应当</w:t>
            </w:r>
            <w:r>
              <w:rPr>
                <w:rFonts w:hint="eastAsia"/>
              </w:rPr>
              <w:t>符合</w:t>
            </w:r>
            <w:r>
              <w:t>《中华人民共和国政府采购法》第二十二条第一款规定：</w:t>
            </w:r>
          </w:p>
          <w:p>
            <w:pPr>
              <w:spacing w:line="400" w:lineRule="exact"/>
              <w:rPr>
                <w:rFonts w:ascii="宋体" w:hAnsi="宋体" w:cs="宋体"/>
                <w:sz w:val="24"/>
                <w:szCs w:val="24"/>
              </w:rPr>
            </w:pPr>
            <w:r>
              <w:rPr>
                <w:rFonts w:hint="eastAsia" w:ascii="宋体" w:hAnsi="宋体" w:cs="宋体"/>
                <w:sz w:val="24"/>
                <w:szCs w:val="24"/>
              </w:rPr>
              <w:t>　</w:t>
            </w:r>
            <w:r>
              <w:rPr>
                <w:rFonts w:hint="eastAsia" w:ascii="宋体" w:hAnsi="宋体" w:cs="宋体"/>
                <w:sz w:val="24"/>
                <w:szCs w:val="24"/>
                <w:lang w:val="en-US" w:eastAsia="zh-CN"/>
              </w:rPr>
              <w:t xml:space="preserve">  </w:t>
            </w:r>
            <w:r>
              <w:rPr>
                <w:rFonts w:hint="eastAsia" w:ascii="宋体" w:hAnsi="宋体" w:cs="宋体"/>
                <w:sz w:val="24"/>
                <w:szCs w:val="24"/>
              </w:rPr>
              <w:t>(一)具有独立承担民事责任的能力；</w:t>
            </w:r>
          </w:p>
          <w:p>
            <w:pPr>
              <w:spacing w:line="400" w:lineRule="exact"/>
              <w:rPr>
                <w:rFonts w:ascii="宋体" w:hAnsi="宋体" w:cs="宋体"/>
                <w:sz w:val="24"/>
                <w:szCs w:val="24"/>
              </w:rPr>
            </w:pPr>
            <w:r>
              <w:rPr>
                <w:rFonts w:hint="eastAsia" w:ascii="宋体" w:hAnsi="宋体" w:cs="宋体"/>
                <w:sz w:val="24"/>
                <w:szCs w:val="24"/>
              </w:rPr>
              <w:t>　　(二)具有良好的商业信誉和健全的财务会计制度；</w:t>
            </w:r>
          </w:p>
          <w:p>
            <w:pPr>
              <w:spacing w:line="400" w:lineRule="exact"/>
              <w:rPr>
                <w:rFonts w:ascii="宋体" w:hAnsi="宋体" w:cs="宋体"/>
                <w:sz w:val="24"/>
                <w:szCs w:val="24"/>
              </w:rPr>
            </w:pPr>
            <w:r>
              <w:rPr>
                <w:rFonts w:hint="eastAsia" w:ascii="宋体" w:hAnsi="宋体" w:cs="宋体"/>
                <w:sz w:val="24"/>
                <w:szCs w:val="24"/>
              </w:rPr>
              <w:t>　　(三)具有履行合同所必需的设备和专业技术能力；</w:t>
            </w:r>
          </w:p>
          <w:p>
            <w:pPr>
              <w:spacing w:line="400" w:lineRule="exact"/>
              <w:rPr>
                <w:rFonts w:ascii="宋体" w:hAnsi="宋体" w:cs="宋体"/>
                <w:sz w:val="24"/>
                <w:szCs w:val="24"/>
              </w:rPr>
            </w:pPr>
            <w:r>
              <w:rPr>
                <w:rFonts w:hint="eastAsia" w:ascii="宋体" w:hAnsi="宋体" w:cs="宋体"/>
                <w:sz w:val="24"/>
                <w:szCs w:val="24"/>
              </w:rPr>
              <w:t>　　(四)有依法缴纳税收和社会保障资金的良好记录；</w:t>
            </w:r>
          </w:p>
          <w:p>
            <w:pPr>
              <w:spacing w:line="400" w:lineRule="exact"/>
              <w:rPr>
                <w:rFonts w:ascii="宋体" w:hAnsi="宋体" w:cs="宋体"/>
                <w:sz w:val="24"/>
                <w:szCs w:val="24"/>
              </w:rPr>
            </w:pPr>
            <w:r>
              <w:rPr>
                <w:rFonts w:hint="eastAsia" w:ascii="宋体" w:hAnsi="宋体" w:cs="宋体"/>
                <w:sz w:val="24"/>
                <w:szCs w:val="24"/>
              </w:rPr>
              <w:t>　　(五)参加政府采购活动前三年内，在经营活动中没有重大违法记录；</w:t>
            </w:r>
          </w:p>
          <w:p>
            <w:pPr>
              <w:spacing w:line="400" w:lineRule="exact"/>
              <w:rPr>
                <w:rFonts w:ascii="宋体" w:hAnsi="宋体" w:cs="宋体"/>
                <w:sz w:val="24"/>
                <w:szCs w:val="24"/>
              </w:rPr>
            </w:pPr>
            <w:r>
              <w:rPr>
                <w:rFonts w:hint="eastAsia" w:ascii="宋体" w:hAnsi="宋体" w:cs="宋体"/>
                <w:sz w:val="24"/>
                <w:szCs w:val="24"/>
              </w:rPr>
              <w:t>　　(六)法律、行政法规规定的其他条件。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tcPr>
          <w:p>
            <w:pPr>
              <w:pStyle w:val="15"/>
              <w:shd w:val="clear" w:color="auto" w:fill="FFFFFF"/>
              <w:spacing w:before="0" w:beforeAutospacing="0" w:after="0" w:afterAutospacing="0" w:line="400" w:lineRule="exact"/>
              <w:ind w:firstLine="468" w:firstLineChars="195"/>
              <w:rPr>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szCs w:val="24"/>
              </w:rPr>
            </w:pPr>
            <w:r>
              <w:rPr>
                <w:rFonts w:hint="eastAsia" w:ascii="宋体" w:hAnsi="宋体"/>
                <w:sz w:val="24"/>
                <w:szCs w:val="24"/>
              </w:rPr>
              <w:t>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hAnsi="宋体"/>
                <w:sz w:val="24"/>
                <w:szCs w:val="24"/>
              </w:rPr>
            </w:pPr>
            <w:r>
              <w:rPr>
                <w:rFonts w:hint="eastAsia" w:hAnsi="宋体"/>
                <w:sz w:val="24"/>
                <w:szCs w:val="24"/>
              </w:rPr>
              <w:t>（15）有关法律、法规或规章规定的其他串通行为。</w:t>
            </w:r>
          </w:p>
          <w:p>
            <w:pPr>
              <w:spacing w:line="400" w:lineRule="exact"/>
              <w:ind w:firstLine="480" w:firstLineChars="20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12.1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响应文件有效期：</w:t>
            </w:r>
          </w:p>
          <w:p>
            <w:pPr>
              <w:spacing w:line="400" w:lineRule="exact"/>
              <w:ind w:firstLine="480" w:firstLineChars="200"/>
              <w:rPr>
                <w:rFonts w:ascii="宋体" w:hAnsi="宋体"/>
                <w:sz w:val="24"/>
              </w:rPr>
            </w:pPr>
            <w:r>
              <w:rPr>
                <w:rFonts w:hint="eastAsia" w:ascii="宋体" w:hAnsi="宋体"/>
                <w:sz w:val="24"/>
              </w:rPr>
              <w:t>响应文件提交截止之日起</w:t>
            </w:r>
            <w:r>
              <w:rPr>
                <w:rFonts w:hint="eastAsia" w:ascii="宋体" w:hAnsi="宋体"/>
                <w:sz w:val="24"/>
                <w:u w:val="single"/>
              </w:rPr>
              <w:t>90</w:t>
            </w:r>
            <w:r>
              <w:rPr>
                <w:rFonts w:hint="eastAsia" w:ascii="宋体" w:hAnsi="宋体"/>
                <w:sz w:val="24"/>
              </w:rPr>
              <w:t>个日历日。</w:t>
            </w:r>
          </w:p>
          <w:p>
            <w:pPr>
              <w:spacing w:line="400" w:lineRule="exact"/>
              <w:ind w:firstLine="480" w:firstLineChars="200"/>
              <w:rPr>
                <w:rFonts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13.5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Ansi="宋体"/>
                <w:sz w:val="24"/>
              </w:rPr>
              <w:t>未按规定提交谈判保证金，</w:t>
            </w:r>
            <w:r>
              <w:rPr>
                <w:rFonts w:ascii="Arial" w:hAnsi="Arial" w:cs="Arial"/>
                <w:sz w:val="24"/>
              </w:rPr>
              <w:t>将被</w:t>
            </w:r>
            <w:r>
              <w:rPr>
                <w:rFonts w:hint="eastAsia" w:ascii="Arial" w:hAnsi="Arial" w:cs="Arial"/>
                <w:sz w:val="24"/>
              </w:rPr>
              <w:t>视为未响应谈判文件要求，取消其谈判资格</w:t>
            </w:r>
            <w:r>
              <w:rPr>
                <w:rFonts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18.5.2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18.5.2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left="31" w:leftChars="15" w:firstLine="480" w:firstLineChars="200"/>
              <w:rPr>
                <w:rFonts w:ascii="宋体" w:hAnsi="宋体"/>
                <w:sz w:val="24"/>
              </w:rPr>
            </w:pPr>
            <w:r>
              <w:rPr>
                <w:rFonts w:hint="eastAsia" w:ascii="宋体" w:hAnsi="宋体"/>
                <w:sz w:val="24"/>
              </w:rPr>
              <w:t>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spacing w:line="400" w:lineRule="exact"/>
              <w:ind w:left="69" w:firstLine="480" w:firstLineChars="200"/>
              <w:rPr>
                <w:rFonts w:ascii="宋体" w:hAnsi="宋体"/>
                <w:sz w:val="24"/>
              </w:rPr>
            </w:pPr>
            <w:r>
              <w:rPr>
                <w:rFonts w:hint="eastAsia" w:ascii="宋体" w:hAnsi="宋体"/>
                <w:sz w:val="24"/>
              </w:rPr>
              <w:t>(3)谈判保证金未在谈判响应截止时间前到账的；</w:t>
            </w:r>
          </w:p>
          <w:p>
            <w:pPr>
              <w:spacing w:line="400" w:lineRule="exact"/>
              <w:ind w:left="69" w:firstLine="480" w:firstLineChars="200"/>
              <w:rPr>
                <w:rFonts w:ascii="宋体" w:hAnsi="宋体"/>
                <w:sz w:val="24"/>
              </w:rPr>
            </w:pPr>
            <w:r>
              <w:rPr>
                <w:rFonts w:hint="eastAsia" w:ascii="宋体" w:hAnsi="宋体"/>
                <w:sz w:val="24"/>
              </w:rPr>
              <w:t>(4)响应文件有效期不满足谈判文件要求的；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(5)响应文件内容与采购内容及要求有重大偏离或保留的；</w:t>
            </w:r>
          </w:p>
          <w:p>
            <w:pPr>
              <w:spacing w:line="400" w:lineRule="exact"/>
              <w:ind w:left="69" w:firstLine="480" w:firstLineChars="200"/>
              <w:rPr>
                <w:rFonts w:ascii="宋体" w:hAnsi="宋体"/>
                <w:sz w:val="24"/>
              </w:rPr>
            </w:pPr>
            <w:r>
              <w:rPr>
                <w:rFonts w:hint="eastAsia" w:ascii="宋体" w:hAnsi="宋体"/>
                <w:sz w:val="24"/>
              </w:rPr>
              <w:t>(6)响应供应商提交的是可选择的报价；</w:t>
            </w:r>
          </w:p>
          <w:p>
            <w:pPr>
              <w:spacing w:line="400" w:lineRule="exact"/>
              <w:ind w:left="69" w:firstLine="480" w:firstLineChars="200"/>
              <w:rPr>
                <w:rFonts w:ascii="宋体" w:hAnsi="宋体"/>
                <w:sz w:val="24"/>
              </w:rPr>
            </w:pPr>
            <w:r>
              <w:rPr>
                <w:rFonts w:hint="eastAsia" w:ascii="宋体" w:hAnsi="宋体"/>
                <w:sz w:val="24"/>
              </w:rPr>
              <w:t>(7)响应供应商未按谈判文件要求进行分项报价；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20.3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tabs>
                <w:tab w:val="left" w:pos="2145"/>
              </w:tabs>
              <w:spacing w:line="400" w:lineRule="exact"/>
              <w:rPr>
                <w:rFonts w:ascii="宋体" w:hAnsi="宋体"/>
                <w:sz w:val="24"/>
              </w:rPr>
            </w:pPr>
            <w:r>
              <w:rPr>
                <w:rFonts w:ascii="Arial" w:hAnsi="Arial" w:cs="Arial"/>
                <w:sz w:val="24"/>
              </w:rPr>
              <w:t>谈判小组将对</w:t>
            </w:r>
            <w:r>
              <w:rPr>
                <w:rFonts w:hint="eastAsia" w:ascii="Arial" w:hAnsi="Arial" w:cs="Arial"/>
                <w:sz w:val="24"/>
              </w:rPr>
              <w:t>谈判文件</w:t>
            </w:r>
            <w:r>
              <w:rPr>
                <w:rFonts w:ascii="Arial" w:hAnsi="Arial" w:cs="Arial"/>
                <w:sz w:val="24"/>
              </w:rPr>
              <w:t>中</w:t>
            </w:r>
            <w:r>
              <w:rPr>
                <w:rFonts w:hint="eastAsia" w:ascii="Arial" w:hAnsi="Arial" w:cs="Arial"/>
                <w:sz w:val="24"/>
              </w:rPr>
              <w:t>列明的</w:t>
            </w:r>
            <w:r>
              <w:rPr>
                <w:rFonts w:ascii="Arial" w:hAnsi="Arial" w:cs="Arial"/>
                <w:sz w:val="24"/>
              </w:rPr>
              <w:t>合格谈判方</w:t>
            </w:r>
            <w:r>
              <w:rPr>
                <w:rFonts w:hint="eastAsia" w:ascii="Arial" w:hAnsi="Arial" w:cs="Arial"/>
                <w:sz w:val="24"/>
              </w:rPr>
              <w:t>应符合“资格性要求”</w:t>
            </w:r>
            <w:r>
              <w:rPr>
                <w:rFonts w:ascii="Arial" w:hAnsi="Arial" w:cs="Arial"/>
                <w:sz w:val="24"/>
              </w:rPr>
              <w:t>部分做资格</w:t>
            </w:r>
            <w:r>
              <w:rPr>
                <w:rFonts w:hint="eastAsia" w:ascii="Arial" w:hAnsi="Arial" w:cs="Arial"/>
                <w:sz w:val="24"/>
              </w:rPr>
              <w:t>审查</w:t>
            </w:r>
            <w:r>
              <w:rPr>
                <w:rFonts w:ascii="Arial" w:hAnsi="Arial" w:cs="Arial"/>
                <w:sz w:val="24"/>
              </w:rPr>
              <w:t>，没有提供</w:t>
            </w:r>
            <w:r>
              <w:rPr>
                <w:rFonts w:hint="eastAsia" w:ascii="Arial" w:hAnsi="Arial" w:cs="Arial"/>
                <w:sz w:val="24"/>
              </w:rPr>
              <w:t>相关</w:t>
            </w:r>
            <w:r>
              <w:rPr>
                <w:rFonts w:ascii="Arial" w:hAnsi="Arial" w:cs="Arial"/>
                <w:sz w:val="24"/>
              </w:rPr>
              <w:t>证明文件或文件未按规定签署盖章者以无效谈判论</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9</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b/>
                <w:sz w:val="24"/>
                <w:szCs w:val="24"/>
              </w:rPr>
            </w:pPr>
            <w:r>
              <w:rPr>
                <w:rFonts w:hint="eastAsia"/>
                <w:b/>
                <w:sz w:val="24"/>
                <w:szCs w:val="24"/>
              </w:rPr>
              <w:t>全文中带有“</w:t>
            </w:r>
            <w:r>
              <w:rPr>
                <w:rFonts w:hint="eastAsia" w:ascii="宋体" w:hAnsi="宋体"/>
                <w:color w:val="000000"/>
                <w:sz w:val="28"/>
                <w:szCs w:val="28"/>
              </w:rPr>
              <w:t>★</w:t>
            </w:r>
            <w:r>
              <w:rPr>
                <w:rFonts w:hint="eastAsia"/>
                <w:b/>
                <w:sz w:val="24"/>
                <w:szCs w:val="24"/>
              </w:rPr>
              <w:t>”的条款为关键性条款，如谈判供应商对这些关键性条款还存在任何负偏离或不满足将导致报价无效。</w:t>
            </w:r>
          </w:p>
        </w:tc>
      </w:tr>
    </w:tbl>
    <w:p>
      <w:pPr>
        <w:spacing w:line="400" w:lineRule="exact"/>
        <w:rPr>
          <w:rFonts w:ascii="宋体" w:hAnsi="宋体"/>
          <w:b/>
          <w:sz w:val="24"/>
          <w:u w:val="single"/>
        </w:rPr>
      </w:pPr>
    </w:p>
    <w:p>
      <w:pPr>
        <w:spacing w:line="400" w:lineRule="exact"/>
        <w:ind w:firstLine="1446" w:firstLineChars="600"/>
        <w:rPr>
          <w:rFonts w:ascii="宋体" w:hAnsi="宋体"/>
          <w:b/>
          <w:sz w:val="24"/>
          <w:u w:val="single"/>
        </w:rPr>
      </w:pPr>
      <w:r>
        <w:rPr>
          <w:rFonts w:hint="eastAsia" w:ascii="宋体" w:hAnsi="宋体"/>
          <w:b/>
          <w:sz w:val="24"/>
          <w:u w:val="single"/>
        </w:rPr>
        <w:t>谈判供应商须知前附表3：谈判规则、方法及步骤</w:t>
      </w:r>
    </w:p>
    <w:p>
      <w:pPr>
        <w:spacing w:line="400" w:lineRule="exact"/>
        <w:jc w:val="center"/>
        <w:rPr>
          <w:rFonts w:ascii="宋体" w:hAnsi="宋体"/>
          <w:b/>
          <w:sz w:val="24"/>
          <w:u w:val="single"/>
        </w:rPr>
      </w:pP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tcPr>
          <w:p>
            <w:pPr>
              <w:spacing w:line="400" w:lineRule="exact"/>
              <w:ind w:right="-120" w:rightChars="-57"/>
              <w:rPr>
                <w:rFonts w:ascii="宋体" w:hAnsi="宋体"/>
                <w:sz w:val="24"/>
              </w:rPr>
            </w:pPr>
            <w:r>
              <w:rPr>
                <w:rFonts w:hint="eastAsia" w:ascii="宋体" w:hAnsi="宋体"/>
                <w:sz w:val="24"/>
              </w:rPr>
              <w:t>一．评审原则、方法</w:t>
            </w:r>
          </w:p>
          <w:p>
            <w:pPr>
              <w:spacing w:line="400" w:lineRule="exact"/>
              <w:ind w:right="-120" w:rightChars="-57" w:firstLine="480" w:firstLineChars="200"/>
              <w:rPr>
                <w:rFonts w:ascii="宋体" w:hAnsi="宋体"/>
                <w:sz w:val="24"/>
              </w:rPr>
            </w:pPr>
            <w:r>
              <w:rPr>
                <w:rFonts w:hint="eastAsia" w:ascii="宋体" w:hAnsi="宋体"/>
                <w:sz w:val="24"/>
              </w:rPr>
              <w:t>1.谈判小组依据《中华人民共和国政府采购法》及其实施条例和相关的法规、规章，遵循“公开、公平、公正、择优、信用”的原则进行谈判及评审；</w:t>
            </w:r>
          </w:p>
          <w:p>
            <w:pPr>
              <w:spacing w:line="400" w:lineRule="exact"/>
              <w:ind w:right="-120" w:rightChars="-57" w:firstLine="480" w:firstLineChars="200"/>
              <w:rPr>
                <w:rFonts w:ascii="宋体" w:hAnsi="宋体"/>
                <w:sz w:val="24"/>
              </w:rPr>
            </w:pPr>
            <w:r>
              <w:rPr>
                <w:rFonts w:hint="eastAsia" w:ascii="宋体" w:hAnsi="宋体"/>
                <w:sz w:val="24"/>
              </w:rPr>
              <w:t>2.谈判小组按照规定只对资格、符合性评审合格的响应文件进行最终评审和比较。如各评委结论不一致，以少数服从多数原则确定；</w:t>
            </w:r>
          </w:p>
          <w:p>
            <w:pPr>
              <w:spacing w:line="400" w:lineRule="exact"/>
              <w:ind w:right="-120" w:rightChars="-57" w:firstLine="480" w:firstLineChars="200"/>
              <w:rPr>
                <w:rFonts w:ascii="宋体" w:hAnsi="宋体"/>
                <w:sz w:val="24"/>
              </w:rPr>
            </w:pPr>
            <w:r>
              <w:rPr>
                <w:rFonts w:hint="eastAsia" w:ascii="宋体" w:hAnsi="宋体"/>
                <w:sz w:val="24"/>
              </w:rPr>
              <w:t>3.谈判中，谈判的任何一方不得透露与谈判有关的其他供应商的技术资料、价格和其他信息；</w:t>
            </w:r>
          </w:p>
          <w:p>
            <w:pPr>
              <w:spacing w:line="400" w:lineRule="exact"/>
              <w:ind w:right="-120" w:rightChars="-57" w:firstLine="480" w:firstLineChars="200"/>
              <w:rPr>
                <w:rFonts w:ascii="宋体" w:hAnsi="宋体"/>
                <w:sz w:val="24"/>
              </w:rPr>
            </w:pPr>
            <w:r>
              <w:rPr>
                <w:rFonts w:hint="eastAsia" w:ascii="宋体" w:hAnsi="宋体"/>
                <w:sz w:val="24"/>
              </w:rPr>
              <w:t>4.除非在谈判中谈判小组对用户需求内容作调整增加，或对采购内容作实质性变更，否则采购人不接受高于前面轮次谈判报价的最终报价</w:t>
            </w:r>
          </w:p>
          <w:p>
            <w:pPr>
              <w:spacing w:line="400" w:lineRule="exact"/>
              <w:ind w:right="-120" w:rightChars="-57" w:firstLine="480" w:firstLineChars="200"/>
              <w:rPr>
                <w:rFonts w:ascii="宋体" w:hAnsi="宋体"/>
                <w:sz w:val="24"/>
              </w:rPr>
            </w:pPr>
            <w:r>
              <w:rPr>
                <w:rFonts w:hint="eastAsia" w:ascii="宋体" w:hAnsi="宋体"/>
                <w:sz w:val="24"/>
              </w:rPr>
              <w:t>5.评审办法：采用最低评标价法，即供应商提供的产品质量和服务均能满足谈判文件规定的实质性要求，以最低评标价的供应商为供应商。</w:t>
            </w:r>
            <w:r>
              <w:rPr>
                <w:rFonts w:hint="eastAsia" w:ascii="宋体" w:hAnsi="宋体"/>
                <w:sz w:val="24"/>
              </w:rPr>
              <w:br w:type="textWrapping"/>
            </w:r>
            <w:r>
              <w:rPr>
                <w:rFonts w:hint="eastAsia" w:ascii="宋体" w:hAnsi="宋体"/>
                <w:sz w:val="24"/>
              </w:rPr>
              <w:t>二、评审步骤</w:t>
            </w:r>
            <w:r>
              <w:rPr>
                <w:rFonts w:hint="eastAsia" w:ascii="宋体" w:hAnsi="宋体"/>
                <w:sz w:val="24"/>
              </w:rPr>
              <w:br w:type="textWrapping"/>
            </w:r>
            <w:r>
              <w:rPr>
                <w:rFonts w:hint="eastAsia" w:ascii="宋体" w:hAnsi="宋体"/>
                <w:sz w:val="24"/>
              </w:rPr>
              <w:t xml:space="preserve">   1.第一阶段：谈判小组对每位供应商的响应文件进行资格、符合性评审；</w:t>
            </w:r>
            <w:r>
              <w:rPr>
                <w:rFonts w:hint="eastAsia" w:ascii="宋体" w:hAnsi="宋体"/>
                <w:sz w:val="24"/>
              </w:rPr>
              <w:br w:type="textWrapping"/>
            </w:r>
            <w:r>
              <w:rPr>
                <w:rFonts w:hint="eastAsia" w:ascii="宋体" w:hAnsi="宋体"/>
                <w:sz w:val="24"/>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rPr>
              <w:br w:type="textWrapping"/>
            </w:r>
            <w:r>
              <w:rPr>
                <w:rFonts w:hint="eastAsia" w:ascii="宋体" w:hAnsi="宋体"/>
                <w:sz w:val="24"/>
              </w:rPr>
              <w:t>  3.第三阶段：谈判结束后，谈判小组要求所有供应商在规定时间内提出最终报价，包括最终澄清方案、报价及有关承诺等；</w:t>
            </w:r>
            <w:r>
              <w:rPr>
                <w:rFonts w:hint="eastAsia" w:ascii="宋体" w:hAnsi="宋体"/>
                <w:sz w:val="24"/>
              </w:rPr>
              <w:br w:type="textWrapping"/>
            </w:r>
            <w:r>
              <w:rPr>
                <w:rFonts w:hint="eastAsia" w:ascii="宋体" w:hAnsi="宋体"/>
                <w:sz w:val="24"/>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rPr>
              <w:br w:type="textWrapping"/>
            </w:r>
            <w:r>
              <w:rPr>
                <w:rFonts w:hint="eastAsia" w:ascii="宋体" w:hAnsi="宋体"/>
                <w:sz w:val="24"/>
              </w:rPr>
              <w:t>  5.谈判过程中，供应商提交的澄清文件和最终报价，由供应商法定代表人或其授权代表签署后生效，供应商受其约束。</w:t>
            </w:r>
          </w:p>
          <w:p>
            <w:pPr>
              <w:spacing w:line="400" w:lineRule="exact"/>
              <w:ind w:right="-120" w:rightChars="-57" w:firstLine="240" w:firstLineChars="100"/>
              <w:rPr>
                <w:rFonts w:ascii="宋体" w:hAnsi="宋体"/>
                <w:sz w:val="24"/>
              </w:rPr>
            </w:pPr>
            <w:r>
              <w:rPr>
                <w:rFonts w:hint="eastAsia" w:ascii="宋体" w:hAnsi="宋体"/>
                <w:sz w:val="24"/>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spacing w:line="400" w:lineRule="exact"/>
              <w:ind w:right="-120" w:rightChars="-57"/>
              <w:jc w:val="left"/>
              <w:rPr>
                <w:rFonts w:ascii="宋体" w:hAnsi="宋体"/>
                <w:sz w:val="24"/>
              </w:rPr>
            </w:pPr>
            <w:r>
              <w:rPr>
                <w:rFonts w:hint="eastAsia" w:ascii="宋体" w:hAnsi="宋体"/>
                <w:sz w:val="24"/>
              </w:rPr>
              <w:t>三．确定成交候选供应商原则：</w:t>
            </w:r>
          </w:p>
          <w:p>
            <w:pPr>
              <w:spacing w:line="400" w:lineRule="exact"/>
              <w:ind w:right="-120" w:rightChars="-57" w:firstLine="480" w:firstLineChars="200"/>
              <w:jc w:val="left"/>
              <w:rPr>
                <w:rFonts w:ascii="宋体" w:hAnsi="宋体"/>
                <w:sz w:val="24"/>
              </w:rPr>
            </w:pPr>
            <w:r>
              <w:rPr>
                <w:rFonts w:hint="eastAsia" w:ascii="宋体" w:hAnsi="宋体"/>
                <w:sz w:val="24"/>
              </w:rPr>
              <w:t>1.采购人从谈判小组推荐的成交候选人中依法确定供应商；</w:t>
            </w:r>
            <w:r>
              <w:rPr>
                <w:rFonts w:hint="eastAsia" w:ascii="宋体" w:hAnsi="宋体"/>
                <w:sz w:val="24"/>
              </w:rPr>
              <w:br w:type="textWrapping"/>
            </w:r>
            <w:r>
              <w:rPr>
                <w:rFonts w:hint="eastAsia" w:ascii="宋体" w:hAnsi="宋体"/>
                <w:sz w:val="24"/>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spacing w:line="400" w:lineRule="exact"/>
              <w:ind w:right="-120" w:rightChars="-57" w:firstLine="480" w:firstLineChars="200"/>
              <w:jc w:val="left"/>
              <w:rPr>
                <w:rFonts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贵州省政府采购网：http://www.ccgp-guizhou.gov.cn/ 等。对参加政府采购活动前三年内被列入失信被执行人、重大税收违法案件当事人名单、政府采购严重违法失信行为记录名单、“信用中国”警示警告名单，受到政府采购行政处罚或者存在行贿犯罪记录，且相关信用惩戒期限未满，以及其他不符合《中华人民共和国政府采购法》第二十二条规定条件的供应商，将查询结果提供给谈判小组，</w:t>
            </w:r>
            <w:r>
              <w:rPr>
                <w:rFonts w:ascii="宋体" w:hAnsi="宋体"/>
                <w:sz w:val="24"/>
              </w:rPr>
              <w:t>谈判小组将拒绝邀请该供应商进行谈判和报价</w:t>
            </w:r>
            <w:r>
              <w:rPr>
                <w:rFonts w:hint="eastAsia" w:ascii="宋体" w:hAnsi="宋体"/>
                <w:sz w:val="24"/>
              </w:rPr>
              <w:t>。</w:t>
            </w:r>
          </w:p>
        </w:tc>
      </w:tr>
    </w:tbl>
    <w:p>
      <w:pPr>
        <w:spacing w:line="400" w:lineRule="exact"/>
        <w:outlineLvl w:val="0"/>
        <w:rPr>
          <w:rFonts w:ascii="宋体" w:hAnsi="宋体"/>
          <w:b/>
          <w:bCs/>
          <w:sz w:val="24"/>
          <w:szCs w:val="24"/>
          <w:u w:val="single"/>
        </w:rPr>
      </w:pPr>
      <w:r>
        <w:rPr>
          <w:rFonts w:hint="eastAsia" w:ascii="宋体" w:hAnsi="宋体"/>
          <w:bCs/>
          <w:sz w:val="24"/>
        </w:rPr>
        <w:t>注：以联合体形式响应谈判的，只能以联合体其中一方具备的条件作为评审依据。谈判供应商在响应文件中必须以联合体的确定一方的条件参与。</w:t>
      </w:r>
    </w:p>
    <w:p>
      <w:pPr>
        <w:pStyle w:val="4"/>
        <w:keepNext w:val="0"/>
        <w:keepLines w:val="0"/>
        <w:tabs>
          <w:tab w:val="center" w:pos="4365"/>
        </w:tabs>
        <w:spacing w:before="220" w:after="220" w:line="400" w:lineRule="exact"/>
        <w:jc w:val="center"/>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6"/>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spacing w:line="400" w:lineRule="exact"/>
              <w:jc w:val="center"/>
              <w:rPr>
                <w:rFonts w:ascii="宋体" w:hAnsi="宋体"/>
                <w:sz w:val="24"/>
              </w:rPr>
            </w:pPr>
            <w:r>
              <w:rPr>
                <w:rFonts w:hint="eastAsia" w:ascii="宋体" w:hAnsi="宋体"/>
                <w:sz w:val="24"/>
              </w:rPr>
              <w:t>序号</w:t>
            </w:r>
          </w:p>
        </w:tc>
        <w:tc>
          <w:tcPr>
            <w:tcW w:w="1484" w:type="dxa"/>
            <w:vAlign w:val="center"/>
          </w:tcPr>
          <w:p>
            <w:pPr>
              <w:spacing w:line="400" w:lineRule="exact"/>
              <w:jc w:val="center"/>
              <w:rPr>
                <w:rFonts w:ascii="宋体" w:hAnsi="宋体"/>
                <w:sz w:val="24"/>
              </w:rPr>
            </w:pPr>
            <w:r>
              <w:rPr>
                <w:rFonts w:hint="eastAsia" w:ascii="宋体" w:hAnsi="宋体"/>
                <w:sz w:val="24"/>
              </w:rPr>
              <w:t>项目</w:t>
            </w:r>
          </w:p>
        </w:tc>
        <w:tc>
          <w:tcPr>
            <w:tcW w:w="6256" w:type="dxa"/>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1</w:t>
            </w:r>
          </w:p>
        </w:tc>
        <w:tc>
          <w:tcPr>
            <w:tcW w:w="1484" w:type="dxa"/>
            <w:vAlign w:val="center"/>
          </w:tcPr>
          <w:p>
            <w:pPr>
              <w:spacing w:line="400" w:lineRule="exact"/>
              <w:jc w:val="center"/>
              <w:rPr>
                <w:rFonts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spacing w:line="400" w:lineRule="exact"/>
              <w:rPr>
                <w:rFonts w:ascii="宋体" w:hAnsi="宋体"/>
                <w:sz w:val="24"/>
              </w:rPr>
            </w:pPr>
            <w:r>
              <w:rPr>
                <w:rFonts w:hint="eastAsia" w:ascii="宋体" w:hAnsi="宋体"/>
                <w:b/>
                <w:sz w:val="24"/>
              </w:rPr>
              <w:t>□</w:t>
            </w:r>
            <w:r>
              <w:rPr>
                <w:rFonts w:hint="eastAsia" w:ascii="宋体" w:hAnsi="宋体"/>
                <w:sz w:val="24"/>
              </w:rPr>
              <w:t xml:space="preserve">是/ </w:t>
            </w:r>
            <w:r>
              <w:rPr>
                <w:rFonts w:hint="eastAsia" w:ascii="宋体" w:hAnsi="宋体"/>
                <w:b/>
                <w:sz w:val="24"/>
              </w:rPr>
              <w:t>☑</w:t>
            </w:r>
            <w:r>
              <w:rPr>
                <w:rFonts w:hint="eastAsia" w:ascii="宋体" w:hAnsi="宋体"/>
                <w:sz w:val="24"/>
              </w:rPr>
              <w:t>否</w:t>
            </w:r>
          </w:p>
          <w:p>
            <w:pPr>
              <w:spacing w:line="400" w:lineRule="exact"/>
              <w:rPr>
                <w:rFonts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2</w:t>
            </w:r>
          </w:p>
        </w:tc>
        <w:tc>
          <w:tcPr>
            <w:tcW w:w="1484" w:type="dxa"/>
            <w:vAlign w:val="center"/>
          </w:tcPr>
          <w:p>
            <w:pPr>
              <w:spacing w:line="400" w:lineRule="exact"/>
              <w:jc w:val="center"/>
              <w:rPr>
                <w:rFonts w:ascii="宋体" w:hAnsi="宋体"/>
                <w:sz w:val="24"/>
              </w:rPr>
            </w:pPr>
            <w:r>
              <w:rPr>
                <w:rFonts w:hint="eastAsia" w:ascii="宋体" w:hAnsi="宋体"/>
                <w:b/>
                <w:sz w:val="24"/>
              </w:rPr>
              <w:t>中小企业的认定标准</w:t>
            </w:r>
          </w:p>
        </w:tc>
        <w:tc>
          <w:tcPr>
            <w:tcW w:w="6256" w:type="dxa"/>
          </w:tcPr>
          <w:p>
            <w:pPr>
              <w:spacing w:line="400" w:lineRule="exact"/>
              <w:ind w:firstLine="480" w:firstLineChars="200"/>
              <w:rPr>
                <w:rFonts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spacing w:line="400" w:lineRule="exact"/>
              <w:ind w:firstLine="480" w:firstLineChars="200"/>
              <w:rPr>
                <w:rFonts w:ascii="宋体" w:hAnsi="宋体"/>
                <w:sz w:val="24"/>
              </w:rPr>
            </w:pPr>
            <w:r>
              <w:rPr>
                <w:rFonts w:hint="eastAsia" w:ascii="宋体" w:hAnsi="宋体"/>
                <w:sz w:val="24"/>
              </w:rPr>
              <w:t>注： 联合体参与谈判响应的的，以联合体中划型标准较高的一方，作为该联合体的企业划型标准。</w:t>
            </w:r>
          </w:p>
          <w:p>
            <w:pPr>
              <w:spacing w:line="400" w:lineRule="exact"/>
              <w:ind w:firstLine="480" w:firstLineChars="200"/>
              <w:rPr>
                <w:rFonts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spacing w:line="400" w:lineRule="exact"/>
              <w:ind w:firstLine="480" w:firstLineChars="200"/>
              <w:rPr>
                <w:rFonts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3</w:t>
            </w:r>
          </w:p>
        </w:tc>
        <w:tc>
          <w:tcPr>
            <w:tcW w:w="1484" w:type="dxa"/>
            <w:vAlign w:val="center"/>
          </w:tcPr>
          <w:p>
            <w:pPr>
              <w:spacing w:line="400" w:lineRule="exact"/>
              <w:jc w:val="center"/>
              <w:rPr>
                <w:rFonts w:ascii="宋体" w:hAnsi="宋体"/>
                <w:b/>
                <w:sz w:val="24"/>
              </w:rPr>
            </w:pPr>
            <w:r>
              <w:rPr>
                <w:rFonts w:hint="eastAsia" w:ascii="宋体" w:hAnsi="宋体"/>
                <w:b/>
                <w:sz w:val="24"/>
              </w:rPr>
              <w:t>监狱企业的认定标准</w:t>
            </w:r>
          </w:p>
        </w:tc>
        <w:tc>
          <w:tcPr>
            <w:tcW w:w="6256" w:type="dxa"/>
          </w:tcPr>
          <w:p>
            <w:pPr>
              <w:spacing w:line="400" w:lineRule="exact"/>
              <w:ind w:firstLine="480" w:firstLineChars="200"/>
              <w:rPr>
                <w:rFonts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1"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4</w:t>
            </w:r>
          </w:p>
        </w:tc>
        <w:tc>
          <w:tcPr>
            <w:tcW w:w="1484" w:type="dxa"/>
            <w:vAlign w:val="center"/>
          </w:tcPr>
          <w:p>
            <w:pPr>
              <w:widowControl/>
              <w:spacing w:line="400" w:lineRule="exact"/>
              <w:jc w:val="center"/>
              <w:rPr>
                <w:rFonts w:ascii="宋体" w:hAnsi="宋体"/>
                <w:b/>
                <w:sz w:val="24"/>
              </w:rPr>
            </w:pPr>
            <w:r>
              <w:rPr>
                <w:rFonts w:hint="eastAsia" w:ascii="宋体" w:hAnsi="宋体"/>
                <w:b/>
                <w:sz w:val="24"/>
              </w:rPr>
              <w:t>优惠办法：</w:t>
            </w:r>
          </w:p>
        </w:tc>
        <w:tc>
          <w:tcPr>
            <w:tcW w:w="6256" w:type="dxa"/>
            <w:tcBorders>
              <w:bottom w:val="single" w:color="auto" w:sz="4" w:space="0"/>
            </w:tcBorders>
          </w:tcPr>
          <w:p>
            <w:pPr>
              <w:spacing w:beforeLines="25" w:afterLines="25" w:line="400" w:lineRule="exact"/>
              <w:ind w:left="-65" w:leftChars="-31" w:firstLine="12" w:firstLineChars="5"/>
              <w:rPr>
                <w:rFonts w:ascii="宋体" w:hAnsi="宋体"/>
                <w:b/>
                <w:sz w:val="24"/>
              </w:rPr>
            </w:pPr>
            <w:r>
              <w:rPr>
                <w:rFonts w:hint="eastAsia" w:ascii="宋体" w:hAnsi="宋体"/>
                <w:b/>
                <w:sz w:val="24"/>
              </w:rPr>
              <w:t>小型企业或微型企业：</w:t>
            </w:r>
          </w:p>
          <w:p>
            <w:pPr>
              <w:spacing w:beforeLines="25" w:afterLines="25" w:line="400" w:lineRule="exact"/>
              <w:ind w:left="-65" w:leftChars="-31" w:firstLine="475" w:firstLineChars="205"/>
              <w:rPr>
                <w:rFonts w:ascii="宋体" w:hAnsi="宋体"/>
                <w:color w:val="000000"/>
                <w:spacing w:val="-4"/>
                <w:sz w:val="24"/>
              </w:rPr>
            </w:pPr>
            <w:r>
              <w:rPr>
                <w:rFonts w:hint="eastAsia" w:ascii="宋体" w:hAnsi="宋体"/>
                <w:color w:val="000000"/>
                <w:spacing w:val="-4"/>
                <w:sz w:val="24"/>
              </w:rPr>
              <w:t>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spacing w:beforeLines="25" w:afterLines="25" w:line="400" w:lineRule="exact"/>
              <w:ind w:left="-65" w:leftChars="-31" w:firstLine="12" w:firstLineChars="5"/>
              <w:rPr>
                <w:rFonts w:ascii="宋体" w:hAnsi="宋体"/>
                <w:b/>
                <w:color w:val="000000"/>
                <w:spacing w:val="-4"/>
                <w:sz w:val="24"/>
              </w:rPr>
            </w:pPr>
            <w:r>
              <w:rPr>
                <w:rFonts w:hint="eastAsia" w:ascii="宋体" w:hAnsi="宋体"/>
                <w:b/>
                <w:color w:val="000000"/>
                <w:spacing w:val="-4"/>
                <w:sz w:val="24"/>
              </w:rPr>
              <w:t>中型企业：</w:t>
            </w:r>
          </w:p>
          <w:p>
            <w:pPr>
              <w:spacing w:beforeLines="25" w:afterLines="25" w:line="400" w:lineRule="exact"/>
              <w:ind w:firstLine="480" w:firstLineChars="200"/>
              <w:rPr>
                <w:rFonts w:ascii="宋体" w:hAnsi="宋体"/>
                <w:color w:val="000000"/>
                <w:spacing w:val="-4"/>
                <w:sz w:val="24"/>
              </w:rPr>
            </w:pP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5</w:t>
            </w:r>
          </w:p>
        </w:tc>
        <w:tc>
          <w:tcPr>
            <w:tcW w:w="1484" w:type="dxa"/>
            <w:vAlign w:val="center"/>
          </w:tcPr>
          <w:p>
            <w:pPr>
              <w:widowControl/>
              <w:spacing w:line="400" w:lineRule="exact"/>
              <w:jc w:val="center"/>
              <w:rPr>
                <w:rFonts w:ascii="宋体" w:hAnsi="宋体"/>
                <w:b/>
                <w:sz w:val="24"/>
              </w:rPr>
            </w:pPr>
            <w:r>
              <w:rPr>
                <w:rFonts w:hint="eastAsia" w:ascii="宋体" w:hAnsi="宋体"/>
                <w:b/>
                <w:sz w:val="24"/>
              </w:rPr>
              <w:t>小型或微型企业产品价格清单</w:t>
            </w:r>
          </w:p>
        </w:tc>
        <w:tc>
          <w:tcPr>
            <w:tcW w:w="6256" w:type="dxa"/>
            <w:tcBorders>
              <w:bottom w:val="single" w:color="auto" w:sz="4" w:space="0"/>
            </w:tcBorders>
          </w:tcPr>
          <w:p>
            <w:pPr>
              <w:spacing w:line="400" w:lineRule="exact"/>
              <w:rPr>
                <w:rFonts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16"/>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tcPr>
                <w:p>
                  <w:pPr>
                    <w:spacing w:line="400" w:lineRule="exact"/>
                    <w:jc w:val="center"/>
                    <w:rPr>
                      <w:rFonts w:ascii="宋体" w:hAnsi="宋体"/>
                      <w:sz w:val="24"/>
                    </w:rPr>
                  </w:pPr>
                  <w:r>
                    <w:rPr>
                      <w:rFonts w:hint="eastAsia" w:ascii="宋体" w:hAnsi="宋体"/>
                      <w:b/>
                      <w:sz w:val="24"/>
                    </w:rPr>
                    <w:t>小型或微型企业产品价格清单</w:t>
                  </w:r>
                </w:p>
                <w:p>
                  <w:pPr>
                    <w:spacing w:line="400" w:lineRule="exact"/>
                    <w:rPr>
                      <w:rFonts w:ascii="宋体" w:hAnsi="宋体"/>
                      <w:sz w:val="24"/>
                    </w:rPr>
                  </w:pPr>
                  <w:r>
                    <w:rPr>
                      <w:rFonts w:hint="eastAsia" w:ascii="宋体" w:hAnsi="宋体"/>
                      <w:sz w:val="24"/>
                    </w:rPr>
                    <w:t>供应商中小企业性质（中型、小型、微型）：</w:t>
                  </w:r>
                </w:p>
                <w:p>
                  <w:pPr>
                    <w:spacing w:line="400" w:lineRule="exact"/>
                    <w:rPr>
                      <w:rFonts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spacing w:line="400" w:lineRule="exact"/>
                    <w:jc w:val="center"/>
                    <w:rPr>
                      <w:rFonts w:ascii="宋体" w:hAnsi="宋体"/>
                      <w:sz w:val="24"/>
                    </w:rPr>
                  </w:pPr>
                  <w:r>
                    <w:rPr>
                      <w:rFonts w:hint="eastAsia" w:ascii="宋体" w:hAnsi="宋体"/>
                      <w:sz w:val="24"/>
                    </w:rPr>
                    <w:t>序号</w:t>
                  </w:r>
                </w:p>
              </w:tc>
              <w:tc>
                <w:tcPr>
                  <w:tcW w:w="962" w:type="dxa"/>
                  <w:vAlign w:val="center"/>
                </w:tcPr>
                <w:p>
                  <w:pPr>
                    <w:spacing w:line="400" w:lineRule="exact"/>
                    <w:jc w:val="center"/>
                    <w:rPr>
                      <w:rFonts w:ascii="宋体" w:hAnsi="宋体"/>
                      <w:sz w:val="24"/>
                    </w:rPr>
                  </w:pPr>
                  <w:r>
                    <w:rPr>
                      <w:rFonts w:hint="eastAsia" w:ascii="宋体" w:hAnsi="宋体"/>
                      <w:sz w:val="24"/>
                    </w:rPr>
                    <w:t>货物名称</w:t>
                  </w:r>
                </w:p>
              </w:tc>
              <w:tc>
                <w:tcPr>
                  <w:tcW w:w="834" w:type="dxa"/>
                  <w:vAlign w:val="center"/>
                </w:tcPr>
                <w:p>
                  <w:pPr>
                    <w:spacing w:line="400" w:lineRule="exact"/>
                    <w:jc w:val="center"/>
                    <w:rPr>
                      <w:rFonts w:ascii="宋体" w:hAnsi="宋体"/>
                      <w:sz w:val="24"/>
                    </w:rPr>
                  </w:pPr>
                  <w:r>
                    <w:rPr>
                      <w:rFonts w:hint="eastAsia" w:ascii="宋体" w:hAnsi="宋体"/>
                      <w:sz w:val="24"/>
                    </w:rPr>
                    <w:t>制造商</w:t>
                  </w:r>
                </w:p>
              </w:tc>
              <w:tc>
                <w:tcPr>
                  <w:tcW w:w="1899" w:type="dxa"/>
                  <w:vAlign w:val="center"/>
                </w:tcPr>
                <w:p>
                  <w:pPr>
                    <w:spacing w:line="400" w:lineRule="exact"/>
                    <w:jc w:val="center"/>
                    <w:rPr>
                      <w:rFonts w:ascii="宋体" w:hAnsi="宋体"/>
                      <w:sz w:val="24"/>
                    </w:rPr>
                  </w:pPr>
                  <w:r>
                    <w:rPr>
                      <w:rFonts w:hint="eastAsia" w:ascii="宋体" w:hAnsi="宋体"/>
                      <w:sz w:val="24"/>
                    </w:rPr>
                    <w:t>制造商性质（小型、微型）</w:t>
                  </w:r>
                </w:p>
              </w:tc>
              <w:tc>
                <w:tcPr>
                  <w:tcW w:w="1316" w:type="dxa"/>
                  <w:vAlign w:val="center"/>
                </w:tcPr>
                <w:p>
                  <w:pPr>
                    <w:spacing w:line="400" w:lineRule="exact"/>
                    <w:jc w:val="center"/>
                    <w:rPr>
                      <w:rFonts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1</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2</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3</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小型或微型企业货物金额合计A</w:t>
                  </w: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报价一览表中所有货物报价B</w:t>
                  </w: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评审价格C=</w:t>
                  </w:r>
                  <w:r>
                    <w:rPr>
                      <w:rFonts w:hint="eastAsia" w:ascii="宋体" w:hAnsi="宋体"/>
                      <w:color w:val="FF0000"/>
                      <w:sz w:val="24"/>
                      <w:u w:val="single"/>
                    </w:rPr>
                    <w:t>（0.94）</w:t>
                  </w:r>
                  <w:r>
                    <w:rPr>
                      <w:rFonts w:hint="eastAsia" w:ascii="宋体" w:hAnsi="宋体"/>
                      <w:sz w:val="24"/>
                      <w:lang w:val="en-US" w:eastAsia="zh-CN"/>
                    </w:rPr>
                    <w:t>*</w:t>
                  </w:r>
                  <w:r>
                    <w:rPr>
                      <w:rFonts w:hint="eastAsia" w:ascii="宋体" w:hAnsi="宋体"/>
                      <w:sz w:val="24"/>
                    </w:rPr>
                    <w:t>A+B-A</w:t>
                  </w:r>
                </w:p>
              </w:tc>
              <w:tc>
                <w:tcPr>
                  <w:tcW w:w="1316" w:type="dxa"/>
                </w:tcPr>
                <w:p>
                  <w:pPr>
                    <w:spacing w:line="400" w:lineRule="exact"/>
                    <w:rPr>
                      <w:rFonts w:ascii="宋体" w:hAnsi="宋体"/>
                      <w:sz w:val="24"/>
                    </w:rPr>
                  </w:pPr>
                </w:p>
              </w:tc>
            </w:tr>
          </w:tbl>
          <w:p>
            <w:pPr>
              <w:spacing w:beforeLines="25" w:afterLines="25" w:line="400" w:lineRule="exac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6</w:t>
            </w:r>
          </w:p>
        </w:tc>
        <w:tc>
          <w:tcPr>
            <w:tcW w:w="1484" w:type="dxa"/>
            <w:vAlign w:val="center"/>
          </w:tcPr>
          <w:p>
            <w:pPr>
              <w:widowControl/>
              <w:spacing w:line="400" w:lineRule="exact"/>
              <w:jc w:val="center"/>
              <w:rPr>
                <w:rFonts w:ascii="宋体" w:hAnsi="宋体"/>
                <w:b/>
                <w:sz w:val="24"/>
              </w:rPr>
            </w:pPr>
            <w:r>
              <w:rPr>
                <w:rFonts w:hint="eastAsia" w:ascii="宋体" w:hAnsi="宋体"/>
                <w:b/>
                <w:sz w:val="24"/>
              </w:rPr>
              <w:t>证明材料</w:t>
            </w:r>
          </w:p>
        </w:tc>
        <w:tc>
          <w:tcPr>
            <w:tcW w:w="6256" w:type="dxa"/>
            <w:tcBorders>
              <w:bottom w:val="single" w:color="auto" w:sz="4" w:space="0"/>
            </w:tcBorders>
          </w:tcPr>
          <w:p>
            <w:pPr>
              <w:spacing w:line="400" w:lineRule="exact"/>
              <w:ind w:firstLine="480" w:firstLineChars="200"/>
              <w:rPr>
                <w:rFonts w:ascii="宋体" w:hAnsi="宋体"/>
                <w:sz w:val="24"/>
              </w:rPr>
            </w:pPr>
            <w:r>
              <w:rPr>
                <w:rFonts w:hint="eastAsia" w:ascii="宋体" w:hAnsi="宋体"/>
                <w:sz w:val="24"/>
              </w:rPr>
              <w:t>供应商参与谈判响应时须对照《中小企业划型标准规定》（工信部联企业[2011]300号）文件规定，提供《中小企业声明函》。</w:t>
            </w:r>
          </w:p>
          <w:p>
            <w:pPr>
              <w:spacing w:line="400" w:lineRule="exact"/>
              <w:ind w:firstLine="480" w:firstLineChars="200"/>
              <w:rPr>
                <w:rFonts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7</w:t>
            </w:r>
          </w:p>
        </w:tc>
        <w:tc>
          <w:tcPr>
            <w:tcW w:w="1484" w:type="dxa"/>
            <w:vAlign w:val="center"/>
          </w:tcPr>
          <w:p>
            <w:pPr>
              <w:widowControl/>
              <w:spacing w:line="400" w:lineRule="exact"/>
              <w:jc w:val="center"/>
              <w:rPr>
                <w:rFonts w:ascii="宋体" w:hAnsi="宋体"/>
                <w:b/>
                <w:sz w:val="24"/>
              </w:rPr>
            </w:pPr>
            <w:r>
              <w:rPr>
                <w:rFonts w:hint="eastAsia" w:ascii="宋体" w:hAnsi="宋体"/>
                <w:b/>
                <w:sz w:val="24"/>
              </w:rPr>
              <w:t>相关风险</w:t>
            </w:r>
          </w:p>
        </w:tc>
        <w:tc>
          <w:tcPr>
            <w:tcW w:w="6256" w:type="dxa"/>
            <w:tcBorders>
              <w:bottom w:val="single" w:color="auto" w:sz="4" w:space="0"/>
            </w:tcBorders>
          </w:tcPr>
          <w:p>
            <w:pPr>
              <w:spacing w:line="400" w:lineRule="exact"/>
              <w:ind w:firstLine="482" w:firstLineChars="200"/>
              <w:rPr>
                <w:rFonts w:ascii="宋体" w:hAnsi="宋体"/>
                <w:b/>
                <w:sz w:val="24"/>
              </w:rPr>
            </w:pPr>
            <w:r>
              <w:rPr>
                <w:rFonts w:hint="eastAsia" w:ascii="宋体" w:hAnsi="宋体"/>
                <w:b/>
                <w:sz w:val="24"/>
              </w:rPr>
              <w:t>一、经评审委员会评审，存在下列任一情况的，谈判供应商将不被视为中小企业：</w:t>
            </w:r>
          </w:p>
          <w:p>
            <w:pPr>
              <w:spacing w:line="400" w:lineRule="exact"/>
              <w:ind w:firstLine="480" w:firstLineChars="200"/>
              <w:rPr>
                <w:rFonts w:ascii="宋体" w:hAnsi="宋体"/>
                <w:sz w:val="24"/>
              </w:rPr>
            </w:pPr>
            <w:r>
              <w:rPr>
                <w:rFonts w:hint="eastAsia" w:ascii="宋体" w:hAnsi="宋体"/>
                <w:sz w:val="24"/>
              </w:rPr>
              <w:t>1. 谈判供应商不符合“工信部联企业[2011]300号”规定的中小企业标准的；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2.投标货物全部或部分为使用大型企业注册商标的货物的；</w:t>
            </w:r>
          </w:p>
          <w:p>
            <w:pPr>
              <w:spacing w:line="400" w:lineRule="exact"/>
              <w:ind w:firstLine="480" w:firstLineChars="200"/>
              <w:rPr>
                <w:rFonts w:ascii="宋体" w:hAnsi="宋体"/>
                <w:sz w:val="24"/>
              </w:rPr>
            </w:pPr>
            <w:r>
              <w:rPr>
                <w:rFonts w:hint="eastAsia" w:ascii="宋体" w:hAnsi="宋体"/>
                <w:sz w:val="24"/>
              </w:rPr>
              <w:t>3. 响应文件中标明的中小企业产品的制造商不符合“工信部联企业[2011]300号”规定的中小企业标准的；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4.、未按本附表第5项要求提供合法、有效、完整资料的。</w:t>
            </w:r>
          </w:p>
          <w:p>
            <w:pPr>
              <w:spacing w:line="400" w:lineRule="exact"/>
              <w:ind w:firstLine="482" w:firstLineChars="200"/>
              <w:rPr>
                <w:rFonts w:ascii="宋体" w:hAnsi="宋体" w:cs="SimSun-Identity-H"/>
                <w:b/>
                <w:kern w:val="0"/>
                <w:sz w:val="24"/>
              </w:rPr>
            </w:pPr>
            <w:r>
              <w:rPr>
                <w:rFonts w:hint="eastAsia" w:ascii="宋体" w:hAnsi="宋体" w:cs="SimSun-Identity-H"/>
                <w:b/>
                <w:kern w:val="0"/>
                <w:sz w:val="24"/>
              </w:rPr>
              <w:t>二、提供虚假证明材料后果：</w:t>
            </w:r>
          </w:p>
          <w:p>
            <w:pPr>
              <w:spacing w:line="400" w:lineRule="exact"/>
              <w:ind w:firstLine="480" w:firstLineChars="200"/>
              <w:rPr>
                <w:rFonts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spacing w:line="400" w:lineRule="exact"/>
        <w:outlineLvl w:val="0"/>
        <w:rPr>
          <w:rFonts w:ascii="宋体" w:hAnsi="宋体"/>
          <w:bCs/>
          <w:sz w:val="24"/>
        </w:rPr>
      </w:pPr>
    </w:p>
    <w:p>
      <w:pPr>
        <w:spacing w:line="400" w:lineRule="exact"/>
        <w:jc w:val="center"/>
        <w:outlineLvl w:val="0"/>
        <w:rPr>
          <w:rFonts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600"/>
              <w:jc w:val="center"/>
              <w:rPr>
                <w:rFonts w:ascii="宋体" w:hAnsi="宋体"/>
                <w:b/>
                <w:sz w:val="24"/>
              </w:rPr>
            </w:pPr>
            <w:r>
              <w:rPr>
                <w:rFonts w:hint="eastAsia" w:ascii="宋体" w:hAnsi="宋体"/>
                <w:b/>
                <w:sz w:val="24"/>
              </w:rPr>
              <w:t>二、节能、环境标志、信息安全产品优先采购政策</w:t>
            </w:r>
          </w:p>
          <w:p>
            <w:pPr>
              <w:spacing w:line="400" w:lineRule="exact"/>
              <w:ind w:firstLine="600"/>
              <w:rPr>
                <w:rFonts w:ascii="宋体" w:hAnsi="宋体"/>
                <w:sz w:val="24"/>
              </w:rPr>
            </w:pPr>
            <w:r>
              <w:rPr>
                <w:rFonts w:hint="eastAsia" w:ascii="宋体" w:hAnsi="宋体"/>
                <w:sz w:val="24"/>
              </w:rPr>
              <w:t>（一）节能产品按财政部、国家发改委公布的当期有效的《政府采购节能产品清单》认定；环境标志产品按财政部、环境保护部公布的当期有效的《环境标志产品政府采购清单》认定；</w:t>
            </w:r>
          </w:p>
          <w:p>
            <w:pPr>
              <w:spacing w:line="400" w:lineRule="exact"/>
              <w:ind w:firstLine="600"/>
              <w:rPr>
                <w:rFonts w:ascii="宋体" w:hAnsi="宋体"/>
                <w:sz w:val="24"/>
              </w:rPr>
            </w:pPr>
            <w:r>
              <w:rPr>
                <w:rFonts w:hint="eastAsia" w:ascii="宋体" w:hAnsi="宋体"/>
                <w:sz w:val="24"/>
              </w:rPr>
              <w:t>（二）对属于《节能产品政府采购清单》内强制采购的品目，应在招标文件中载明强制采购要求。</w:t>
            </w:r>
          </w:p>
          <w:p>
            <w:pPr>
              <w:spacing w:line="400" w:lineRule="exact"/>
              <w:ind w:firstLine="600"/>
              <w:rPr>
                <w:rFonts w:ascii="宋体" w:hAnsi="宋体"/>
                <w:sz w:val="24"/>
              </w:rPr>
            </w:pPr>
            <w:r>
              <w:rPr>
                <w:rFonts w:hint="eastAsia" w:ascii="宋体" w:hAnsi="宋体"/>
                <w:sz w:val="24"/>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1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sz w:val="24"/>
                    </w:rPr>
                  </w:pP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给予每个品目单项报标报价10％的价格扣除</w:t>
                  </w:r>
                </w:p>
              </w:tc>
            </w:tr>
          </w:tbl>
          <w:p>
            <w:pPr>
              <w:spacing w:line="400" w:lineRule="exact"/>
              <w:ind w:firstLine="480" w:firstLineChars="200"/>
              <w:rPr>
                <w:rFonts w:ascii="宋体" w:hAnsi="宋体"/>
                <w:sz w:val="24"/>
              </w:rPr>
            </w:pPr>
            <w:r>
              <w:rPr>
                <w:rFonts w:hint="eastAsia" w:ascii="宋体" w:hAnsi="宋体"/>
                <w:sz w:val="24"/>
              </w:rPr>
              <w:t>如节能、环境标志清单内的产品仅是构成投标产品的部件、组件或零件的，则该投标产品不享受以上优惠政策。</w:t>
            </w:r>
          </w:p>
          <w:p>
            <w:pPr>
              <w:spacing w:line="400" w:lineRule="exact"/>
              <w:ind w:firstLine="600"/>
              <w:rPr>
                <w:rFonts w:ascii="宋体" w:hAnsi="宋体"/>
                <w:sz w:val="24"/>
              </w:rPr>
            </w:pPr>
            <w:r>
              <w:rPr>
                <w:rFonts w:hint="eastAsia" w:ascii="宋体" w:hAnsi="宋体"/>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spacing w:line="400" w:lineRule="exact"/>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540" w:firstLineChars="224"/>
              <w:rPr>
                <w:rFonts w:ascii="宋体" w:hAnsi="宋体"/>
                <w:b/>
                <w:sz w:val="24"/>
              </w:rPr>
            </w:pPr>
            <w:r>
              <w:rPr>
                <w:rFonts w:hint="eastAsia" w:ascii="宋体" w:hAnsi="宋体"/>
                <w:b/>
                <w:sz w:val="24"/>
              </w:rPr>
              <w:t>三、提醒事项：</w:t>
            </w:r>
          </w:p>
          <w:p>
            <w:pPr>
              <w:spacing w:line="400" w:lineRule="exact"/>
              <w:ind w:firstLine="540" w:firstLineChars="224"/>
              <w:rPr>
                <w:rFonts w:ascii="宋体" w:hAnsi="宋体"/>
                <w:sz w:val="24"/>
              </w:rPr>
            </w:pPr>
            <w:r>
              <w:rPr>
                <w:rFonts w:hint="eastAsia" w:ascii="宋体" w:hAnsi="宋体"/>
                <w:b/>
                <w:sz w:val="24"/>
              </w:rPr>
              <w:t>成交供应商必须凭成交通知书的原件与采购人签订《政府采购合同》。</w:t>
            </w:r>
          </w:p>
        </w:tc>
      </w:tr>
    </w:tbl>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24"/>
        </w:rPr>
      </w:pPr>
      <w:r>
        <w:rPr>
          <w:rFonts w:hint="eastAsia" w:hAnsi="宋体"/>
          <w:b/>
          <w:sz w:val="32"/>
          <w:szCs w:val="32"/>
        </w:rPr>
        <w:t xml:space="preserve">第三章  </w:t>
      </w:r>
      <w:r>
        <w:rPr>
          <w:rFonts w:hint="eastAsia" w:hAnsi="宋体"/>
          <w:b/>
          <w:sz w:val="36"/>
          <w:szCs w:val="36"/>
        </w:rPr>
        <w:t>谈判供应商须知正文部分</w:t>
      </w:r>
    </w:p>
    <w:p>
      <w:pPr>
        <w:pStyle w:val="10"/>
        <w:spacing w:line="400" w:lineRule="exact"/>
        <w:jc w:val="center"/>
        <w:rPr>
          <w:rFonts w:hAnsi="宋体"/>
          <w:b/>
          <w:sz w:val="24"/>
        </w:rPr>
      </w:pPr>
      <w:r>
        <w:rPr>
          <w:rFonts w:hint="eastAsia" w:hAnsi="宋体"/>
          <w:b/>
          <w:sz w:val="24"/>
        </w:rPr>
        <w:t>一、</w:t>
      </w:r>
      <w:r>
        <w:rPr>
          <w:rFonts w:hAnsi="宋体"/>
          <w:b/>
          <w:sz w:val="24"/>
        </w:rPr>
        <w:t>说明</w:t>
      </w:r>
    </w:p>
    <w:p>
      <w:pPr>
        <w:pStyle w:val="10"/>
        <w:spacing w:line="400" w:lineRule="exact"/>
        <w:jc w:val="left"/>
        <w:rPr>
          <w:rFonts w:hAnsi="宋体"/>
          <w:b/>
          <w:sz w:val="24"/>
        </w:rPr>
      </w:pPr>
      <w:r>
        <w:rPr>
          <w:rFonts w:hAnsi="宋体"/>
          <w:b/>
          <w:sz w:val="24"/>
        </w:rPr>
        <w:t>1.适用范围</w:t>
      </w:r>
    </w:p>
    <w:p>
      <w:pPr>
        <w:pStyle w:val="10"/>
        <w:spacing w:line="400" w:lineRule="exact"/>
        <w:ind w:firstLine="480" w:firstLineChars="200"/>
        <w:jc w:val="left"/>
        <w:rPr>
          <w:rFonts w:hAnsi="宋体"/>
          <w:sz w:val="24"/>
        </w:rPr>
      </w:pPr>
      <w:r>
        <w:rPr>
          <w:rFonts w:hAnsi="宋体"/>
          <w:sz w:val="24"/>
        </w:rPr>
        <w:t>1.1本谈判文件仅适用于邀请中所叙述项目的货物采购。</w:t>
      </w:r>
    </w:p>
    <w:p>
      <w:pPr>
        <w:pStyle w:val="10"/>
        <w:spacing w:line="400" w:lineRule="exact"/>
        <w:jc w:val="left"/>
        <w:rPr>
          <w:rFonts w:hAnsi="宋体"/>
          <w:b/>
          <w:sz w:val="24"/>
        </w:rPr>
      </w:pPr>
      <w:r>
        <w:rPr>
          <w:rFonts w:hAnsi="宋体"/>
          <w:b/>
          <w:sz w:val="24"/>
        </w:rPr>
        <w:t>2.定义</w:t>
      </w:r>
    </w:p>
    <w:p>
      <w:pPr>
        <w:spacing w:line="400" w:lineRule="exact"/>
        <w:ind w:firstLine="480" w:firstLineChars="200"/>
        <w:rPr>
          <w:rFonts w:ascii="宋体" w:hAnsi="宋体"/>
          <w:sz w:val="24"/>
        </w:rPr>
      </w:pPr>
      <w:r>
        <w:rPr>
          <w:rFonts w:hint="eastAsia" w:ascii="宋体" w:hAnsi="宋体"/>
          <w:sz w:val="24"/>
        </w:rPr>
        <w:t>2.1 “采购人”系指采购单位。是采购活动当事人之一，负责项目的整体规划、技术方案可行性设计论证与实施，作为合同采购方(用户)的主体承担质疑回复、履行合同、验收等义务。</w:t>
      </w:r>
    </w:p>
    <w:p>
      <w:pPr>
        <w:spacing w:line="400" w:lineRule="exact"/>
        <w:ind w:firstLine="480" w:firstLineChars="200"/>
        <w:rPr>
          <w:rFonts w:ascii="宋体" w:hAnsi="宋体"/>
          <w:sz w:val="24"/>
        </w:rPr>
      </w:pPr>
      <w:r>
        <w:rPr>
          <w:rFonts w:hint="eastAsia" w:ascii="宋体" w:hAnsi="宋体"/>
          <w:sz w:val="24"/>
        </w:rPr>
        <w:t>2.2 “采购单位”系指组织本次采购活动的采购人或采购代理机构。</w:t>
      </w:r>
    </w:p>
    <w:p>
      <w:pPr>
        <w:spacing w:line="400" w:lineRule="exact"/>
        <w:ind w:firstLine="480" w:firstLineChars="200"/>
        <w:rPr>
          <w:rFonts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10"/>
        <w:spacing w:line="400" w:lineRule="exact"/>
        <w:ind w:firstLine="480" w:firstLineChars="200"/>
        <w:jc w:val="left"/>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rPr>
        <w:t>购买了本谈判文件，且已经</w:t>
      </w:r>
      <w:r>
        <w:rPr>
          <w:rFonts w:hAnsi="宋体"/>
          <w:sz w:val="24"/>
        </w:rPr>
        <w:t>提交</w:t>
      </w:r>
      <w:r>
        <w:rPr>
          <w:rFonts w:hint="eastAsia" w:hAnsi="宋体"/>
          <w:sz w:val="24"/>
        </w:rPr>
        <w:t>或准备提交</w:t>
      </w:r>
      <w:r>
        <w:rPr>
          <w:rFonts w:hAnsi="宋体"/>
          <w:sz w:val="24"/>
        </w:rPr>
        <w:t>响应文件的制造商或供货商。</w:t>
      </w:r>
    </w:p>
    <w:p>
      <w:pPr>
        <w:pStyle w:val="10"/>
        <w:spacing w:line="400" w:lineRule="exact"/>
        <w:ind w:firstLine="480" w:firstLineChars="200"/>
        <w:jc w:val="left"/>
        <w:rPr>
          <w:rFonts w:hAnsi="宋体"/>
          <w:sz w:val="24"/>
        </w:rPr>
      </w:pPr>
      <w:r>
        <w:rPr>
          <w:rFonts w:hAnsi="宋体"/>
          <w:sz w:val="24"/>
        </w:rPr>
        <w:t>2.</w:t>
      </w:r>
      <w:r>
        <w:rPr>
          <w:rFonts w:hint="eastAsia" w:hAnsi="宋体"/>
          <w:sz w:val="24"/>
        </w:rPr>
        <w:t>5</w:t>
      </w:r>
      <w:r>
        <w:rPr>
          <w:rFonts w:hAnsi="宋体"/>
          <w:sz w:val="24"/>
        </w:rPr>
        <w:t xml:space="preserve"> “货物”系指</w:t>
      </w:r>
      <w:r>
        <w:rPr>
          <w:rFonts w:hint="eastAsia" w:hAnsi="宋体"/>
          <w:sz w:val="24"/>
        </w:rPr>
        <w:t>指各种形态和和种类的物品，包括原材料、燃料、设备、产品等。</w:t>
      </w:r>
    </w:p>
    <w:p>
      <w:pPr>
        <w:pStyle w:val="10"/>
        <w:spacing w:line="400" w:lineRule="exact"/>
        <w:jc w:val="left"/>
        <w:rPr>
          <w:rFonts w:hAnsi="宋体"/>
          <w:b/>
          <w:sz w:val="24"/>
        </w:rPr>
      </w:pPr>
      <w:r>
        <w:rPr>
          <w:rFonts w:hAnsi="宋体"/>
          <w:b/>
          <w:sz w:val="24"/>
        </w:rPr>
        <w:t>3.合格的谈判响应供应商</w:t>
      </w:r>
    </w:p>
    <w:p>
      <w:pPr>
        <w:spacing w:line="400" w:lineRule="exact"/>
        <w:ind w:firstLine="480" w:firstLineChars="200"/>
        <w:rPr>
          <w:rFonts w:hAnsi="宋体"/>
          <w:sz w:val="24"/>
        </w:rPr>
      </w:pPr>
      <w:r>
        <w:rPr>
          <w:rFonts w:hAnsi="宋体"/>
          <w:sz w:val="24"/>
        </w:rPr>
        <w:t>3.1 凡</w:t>
      </w:r>
      <w:r>
        <w:rPr>
          <w:rFonts w:hint="eastAsia" w:hAnsi="宋体"/>
          <w:sz w:val="24"/>
        </w:rPr>
        <w:t>有能力提供本谈判文件所述货物、服务及工程的，符合本谈判文件规定资格要求的供应商均可能成为合格的谈判响应供应商。</w:t>
      </w:r>
    </w:p>
    <w:p>
      <w:pPr>
        <w:spacing w:line="400" w:lineRule="exact"/>
        <w:ind w:firstLine="480" w:firstLineChars="200"/>
        <w:rPr>
          <w:rFonts w:ascii="宋体" w:hAnsi="宋体"/>
          <w:sz w:val="24"/>
        </w:rPr>
      </w:pPr>
      <w:r>
        <w:rPr>
          <w:rFonts w:hint="eastAsia" w:ascii="宋体" w:hAnsi="宋体"/>
          <w:sz w:val="24"/>
        </w:rPr>
        <w:t>谈判响应供应商符合《中华人民共和国政府采购法》第二十二条第一款规定：</w:t>
      </w:r>
    </w:p>
    <w:p>
      <w:pPr>
        <w:spacing w:line="400" w:lineRule="exact"/>
        <w:ind w:firstLine="720" w:firstLineChars="300"/>
        <w:rPr>
          <w:rFonts w:ascii="宋体" w:hAnsi="宋体"/>
          <w:sz w:val="24"/>
        </w:rPr>
      </w:pPr>
      <w:r>
        <w:rPr>
          <w:rFonts w:hint="eastAsia" w:ascii="宋体" w:hAnsi="宋体"/>
          <w:sz w:val="24"/>
        </w:rPr>
        <w:t>　(一)具有独立承担民事责任的能力；</w:t>
      </w:r>
    </w:p>
    <w:p>
      <w:pPr>
        <w:spacing w:line="400" w:lineRule="exact"/>
        <w:ind w:firstLine="480" w:firstLineChars="200"/>
        <w:rPr>
          <w:rFonts w:ascii="宋体" w:hAnsi="宋体"/>
          <w:sz w:val="24"/>
        </w:rPr>
      </w:pPr>
      <w:r>
        <w:rPr>
          <w:rFonts w:hint="eastAsia" w:ascii="宋体" w:hAnsi="宋体"/>
          <w:sz w:val="24"/>
        </w:rPr>
        <w:t>　　(二)具有良好的商业信誉和健全的财务会计制度；</w:t>
      </w:r>
    </w:p>
    <w:p>
      <w:pPr>
        <w:spacing w:line="400" w:lineRule="exact"/>
        <w:ind w:firstLine="480" w:firstLineChars="200"/>
        <w:rPr>
          <w:rFonts w:ascii="宋体" w:hAnsi="宋体"/>
          <w:sz w:val="24"/>
        </w:rPr>
      </w:pPr>
      <w:r>
        <w:rPr>
          <w:rFonts w:hint="eastAsia" w:ascii="宋体" w:hAnsi="宋体"/>
          <w:sz w:val="24"/>
        </w:rPr>
        <w:t>　　(三)具有履行合同所必需的设备和专业技术能力；</w:t>
      </w:r>
    </w:p>
    <w:p>
      <w:pPr>
        <w:spacing w:line="400" w:lineRule="exact"/>
        <w:ind w:firstLine="480" w:firstLineChars="200"/>
        <w:rPr>
          <w:rFonts w:ascii="宋体" w:hAnsi="宋体"/>
          <w:sz w:val="24"/>
        </w:rPr>
      </w:pPr>
      <w:r>
        <w:rPr>
          <w:rFonts w:hint="eastAsia" w:ascii="宋体" w:hAnsi="宋体"/>
          <w:sz w:val="24"/>
        </w:rPr>
        <w:t>　　(四)有依法缴纳税收和社会保障资金的良好记录；</w:t>
      </w:r>
    </w:p>
    <w:p>
      <w:pPr>
        <w:spacing w:line="400" w:lineRule="exact"/>
        <w:ind w:firstLine="480" w:firstLineChars="200"/>
        <w:rPr>
          <w:rFonts w:ascii="宋体" w:hAnsi="宋体"/>
          <w:sz w:val="24"/>
        </w:rPr>
      </w:pPr>
      <w:r>
        <w:rPr>
          <w:rFonts w:hint="eastAsia" w:ascii="宋体" w:hAnsi="宋体"/>
          <w:sz w:val="24"/>
        </w:rPr>
        <w:t>　　(五)参加政府采购活动前三年内，在经营活动中没有重大违法记录；</w:t>
      </w:r>
    </w:p>
    <w:p>
      <w:pPr>
        <w:spacing w:line="400" w:lineRule="exact"/>
        <w:ind w:firstLine="480" w:firstLineChars="200"/>
        <w:rPr>
          <w:rFonts w:ascii="宋体" w:hAnsi="宋体"/>
          <w:sz w:val="24"/>
        </w:rPr>
      </w:pPr>
      <w:r>
        <w:rPr>
          <w:rFonts w:hint="eastAsia" w:ascii="宋体" w:hAnsi="宋体"/>
          <w:sz w:val="24"/>
        </w:rPr>
        <w:t>　　(六)法律、行政法规规定的其他条件。</w:t>
      </w:r>
    </w:p>
    <w:p>
      <w:pPr>
        <w:spacing w:line="400" w:lineRule="exact"/>
        <w:ind w:firstLine="480" w:firstLineChars="200"/>
        <w:rPr>
          <w:rFonts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spacing w:line="400" w:lineRule="exact"/>
        <w:ind w:firstLine="480" w:firstLineChars="200"/>
        <w:rPr>
          <w:rFonts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spacing w:line="400" w:lineRule="exact"/>
        <w:ind w:firstLine="480" w:firstLineChars="200"/>
        <w:rPr>
          <w:rFonts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spacing w:line="400" w:lineRule="exact"/>
        <w:ind w:firstLine="480" w:firstLineChars="200"/>
        <w:rPr>
          <w:rFonts w:ascii="宋体" w:hAnsi="宋体"/>
          <w:sz w:val="24"/>
          <w:szCs w:val="24"/>
        </w:rPr>
      </w:pPr>
      <w:r>
        <w:rPr>
          <w:rFonts w:hint="eastAsia" w:ascii="宋体" w:hAnsi="宋体"/>
          <w:sz w:val="24"/>
          <w:szCs w:val="24"/>
        </w:rPr>
        <w:t>3.5若接受联合体谈判，则两个或者两个以上谈判响应供应商可以组成一个响应联合体，以一个谈判响应供应商的身份响应。</w:t>
      </w:r>
    </w:p>
    <w:p>
      <w:pPr>
        <w:spacing w:line="400" w:lineRule="exact"/>
        <w:ind w:firstLine="480" w:firstLineChars="200"/>
        <w:rPr>
          <w:rFonts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spacing w:line="400" w:lineRule="exact"/>
        <w:ind w:firstLine="480" w:firstLineChars="200"/>
        <w:rPr>
          <w:rFonts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spacing w:line="400" w:lineRule="exact"/>
        <w:ind w:firstLine="480" w:firstLineChars="200"/>
        <w:rPr>
          <w:rFonts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spacing w:line="400" w:lineRule="exact"/>
        <w:ind w:firstLine="600" w:firstLineChars="250"/>
        <w:rPr>
          <w:rFonts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spacing w:line="400" w:lineRule="exact"/>
        <w:ind w:firstLine="480" w:firstLineChars="200"/>
        <w:rPr>
          <w:rFonts w:ascii="宋体" w:hAnsi="宋体"/>
          <w:sz w:val="24"/>
          <w:szCs w:val="24"/>
        </w:rPr>
      </w:pPr>
      <w:r>
        <w:rPr>
          <w:rFonts w:hint="eastAsia" w:ascii="宋体" w:hAnsi="宋体"/>
          <w:sz w:val="24"/>
          <w:szCs w:val="24"/>
        </w:rPr>
        <w:t>3.6谈判代理人在同一个项目中只能接受一个谈判响应供应商的委托参加谈判响应。</w:t>
      </w:r>
    </w:p>
    <w:p>
      <w:pPr>
        <w:spacing w:line="400" w:lineRule="exact"/>
        <w:ind w:firstLine="480" w:firstLineChars="200"/>
        <w:rPr>
          <w:rFonts w:ascii="宋体" w:hAnsi="宋体"/>
          <w:sz w:val="24"/>
          <w:szCs w:val="24"/>
        </w:rPr>
      </w:pPr>
      <w:r>
        <w:rPr>
          <w:rFonts w:hint="eastAsia" w:ascii="宋体" w:hAnsi="宋体"/>
          <w:sz w:val="24"/>
          <w:szCs w:val="24"/>
        </w:rPr>
        <w:t>3.7谈判响应供应商存在下列情形之一的，将被认定为串通响应行为并作无效响应处理：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ascii="宋体" w:hAnsi="宋体"/>
          <w:sz w:val="24"/>
          <w:szCs w:val="24"/>
        </w:rPr>
      </w:pPr>
      <w:r>
        <w:rPr>
          <w:rFonts w:hint="eastAsia" w:ascii="宋体" w:hAnsi="宋体"/>
          <w:sz w:val="24"/>
          <w:szCs w:val="24"/>
        </w:rPr>
        <w:t>(15) 法定代表人、单位负责人为同一人或夫妻关系的不同供应商；</w:t>
      </w:r>
    </w:p>
    <w:p>
      <w:pPr>
        <w:spacing w:line="400" w:lineRule="exact"/>
        <w:ind w:firstLine="480" w:firstLineChars="200"/>
        <w:rPr>
          <w:rFonts w:ascii="宋体" w:hAnsi="宋体"/>
          <w:sz w:val="24"/>
          <w:szCs w:val="24"/>
        </w:rPr>
      </w:pPr>
      <w:r>
        <w:rPr>
          <w:rFonts w:hint="eastAsia" w:ascii="宋体" w:hAnsi="宋体"/>
          <w:sz w:val="24"/>
          <w:szCs w:val="24"/>
        </w:rPr>
        <w:t>(16) 存在直接控股、管理关系的不同供应商；</w:t>
      </w:r>
    </w:p>
    <w:p>
      <w:pPr>
        <w:spacing w:line="400" w:lineRule="exact"/>
        <w:ind w:firstLine="480" w:firstLineChars="200"/>
        <w:rPr>
          <w:rFonts w:ascii="宋体" w:hAnsi="宋体"/>
          <w:sz w:val="24"/>
          <w:szCs w:val="24"/>
        </w:rPr>
      </w:pPr>
      <w:r>
        <w:rPr>
          <w:rFonts w:hint="eastAsia" w:ascii="宋体" w:hAnsi="宋体"/>
          <w:sz w:val="24"/>
          <w:szCs w:val="24"/>
        </w:rPr>
        <w:t>(17) 均为同一家母公司直接或间接持股50％及以上的被投资公司。</w:t>
      </w:r>
    </w:p>
    <w:p>
      <w:pPr>
        <w:spacing w:line="400" w:lineRule="exact"/>
        <w:ind w:firstLine="480" w:firstLineChars="200"/>
        <w:rPr>
          <w:rFonts w:ascii="宋体" w:hAnsi="宋体"/>
          <w:color w:val="000000"/>
          <w:sz w:val="24"/>
          <w:szCs w:val="24"/>
        </w:rPr>
      </w:pPr>
      <w:r>
        <w:rPr>
          <w:rFonts w:hint="eastAsia" w:ascii="宋体" w:hAnsi="宋体"/>
          <w:sz w:val="24"/>
          <w:szCs w:val="24"/>
        </w:rPr>
        <w:t>（18）有关法律、法规或规章规定的其他串通行为。</w:t>
      </w:r>
    </w:p>
    <w:p>
      <w:pPr>
        <w:pStyle w:val="10"/>
        <w:spacing w:line="400" w:lineRule="exact"/>
        <w:jc w:val="left"/>
        <w:rPr>
          <w:rFonts w:hAnsi="宋体"/>
          <w:b/>
          <w:sz w:val="24"/>
        </w:rPr>
      </w:pPr>
      <w:r>
        <w:rPr>
          <w:rFonts w:hAnsi="宋体"/>
          <w:b/>
          <w:sz w:val="24"/>
        </w:rPr>
        <w:t>4.谈判费用</w:t>
      </w:r>
    </w:p>
    <w:p>
      <w:pPr>
        <w:pStyle w:val="10"/>
        <w:spacing w:line="400" w:lineRule="exact"/>
        <w:ind w:firstLine="480" w:firstLineChars="200"/>
        <w:jc w:val="left"/>
        <w:rPr>
          <w:rFonts w:hAnsi="宋体"/>
          <w:sz w:val="24"/>
        </w:rPr>
      </w:pPr>
      <w:r>
        <w:rPr>
          <w:rFonts w:hAnsi="宋体"/>
          <w:sz w:val="24"/>
        </w:rPr>
        <w:t>谈判响应供应商应承担其准备与参加谈判所涉及的一切费用。</w:t>
      </w:r>
    </w:p>
    <w:p>
      <w:pPr>
        <w:pStyle w:val="10"/>
        <w:spacing w:line="400" w:lineRule="exact"/>
        <w:jc w:val="left"/>
        <w:rPr>
          <w:rFonts w:hAnsi="宋体"/>
          <w:b/>
          <w:sz w:val="24"/>
        </w:rPr>
      </w:pPr>
      <w:r>
        <w:rPr>
          <w:rFonts w:hAnsi="宋体"/>
          <w:b/>
          <w:sz w:val="24"/>
        </w:rPr>
        <w:t>5.知识产权</w:t>
      </w:r>
    </w:p>
    <w:p>
      <w:pPr>
        <w:pStyle w:val="10"/>
        <w:spacing w:line="400" w:lineRule="exact"/>
        <w:ind w:firstLine="480" w:firstLineChars="200"/>
        <w:jc w:val="left"/>
        <w:rPr>
          <w:rFonts w:hAnsi="宋体"/>
          <w:sz w:val="24"/>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4"/>
        <w:jc w:val="left"/>
        <w:rPr>
          <w:rFonts w:hAnsi="宋体"/>
          <w:color w:val="000000"/>
          <w:sz w:val="24"/>
          <w:szCs w:val="24"/>
        </w:rPr>
      </w:pPr>
      <w:bookmarkStart w:id="1" w:name="_Toc134956124"/>
      <w:bookmarkStart w:id="2" w:name="_Toc401575141"/>
      <w:bookmarkStart w:id="3" w:name="_Toc403491563"/>
      <w:r>
        <w:rPr>
          <w:rFonts w:hint="eastAsia" w:hAnsi="宋体"/>
          <w:color w:val="000000"/>
          <w:sz w:val="24"/>
          <w:szCs w:val="24"/>
          <w:highlight w:val="white"/>
        </w:rPr>
        <w:t>6.质疑与投诉</w:t>
      </w:r>
      <w:bookmarkEnd w:id="1"/>
      <w:bookmarkEnd w:id="2"/>
      <w:bookmarkEnd w:id="3"/>
    </w:p>
    <w:p>
      <w:pPr>
        <w:pStyle w:val="5"/>
        <w:numPr>
          <w:ilvl w:val="1"/>
          <w:numId w:val="2"/>
        </w:numPr>
        <w:tabs>
          <w:tab w:val="left" w:pos="420"/>
        </w:tabs>
        <w:ind w:left="0" w:firstLine="425"/>
        <w:jc w:val="left"/>
        <w:rPr>
          <w:rFonts w:hAnsi="宋体"/>
          <w:color w:val="000000"/>
          <w:sz w:val="24"/>
          <w:szCs w:val="24"/>
        </w:rPr>
      </w:pPr>
      <w:bookmarkStart w:id="4" w:name="_Toc134955411"/>
      <w:r>
        <w:rPr>
          <w:rFonts w:hint="eastAsia" w:hAnsi="宋体"/>
          <w:color w:val="000000"/>
          <w:sz w:val="24"/>
          <w:szCs w:val="24"/>
          <w:highlight w:val="white"/>
        </w:rPr>
        <w:t>供应商认为招标文件、采购过程和中标结果使自己的权益受到损害的，可以在知道或者应知其权益受到损害之日起七个工作日内，以书面原件形式向采购人或交易中心</w:t>
      </w:r>
      <w:r>
        <w:rPr>
          <w:rFonts w:hint="eastAsia"/>
          <w:color w:val="000000"/>
          <w:sz w:val="24"/>
          <w:szCs w:val="24"/>
          <w:highlight w:val="white"/>
        </w:rPr>
        <w:t>一次性提出针对同一采购程序环节的质疑</w:t>
      </w:r>
      <w:r>
        <w:rPr>
          <w:rFonts w:hint="eastAsia" w:hAnsi="宋体"/>
          <w:color w:val="000000"/>
          <w:sz w:val="24"/>
          <w:szCs w:val="24"/>
          <w:highlight w:val="white"/>
        </w:rPr>
        <w:t>，逾期质疑无效。供应商应知其权益受到损害之日是指：</w:t>
      </w:r>
    </w:p>
    <w:p>
      <w:pPr>
        <w:pStyle w:val="6"/>
        <w:widowControl/>
        <w:numPr>
          <w:ilvl w:val="0"/>
          <w:numId w:val="3"/>
        </w:numPr>
        <w:spacing w:line="360" w:lineRule="auto"/>
        <w:ind w:left="0" w:firstLine="420"/>
        <w:jc w:val="left"/>
        <w:rPr>
          <w:rFonts w:cs="宋体"/>
          <w:color w:val="000000"/>
          <w:sz w:val="24"/>
          <w:szCs w:val="24"/>
        </w:rPr>
      </w:pPr>
      <w:r>
        <w:rPr>
          <w:rFonts w:hint="eastAsia" w:cs="宋体"/>
          <w:color w:val="000000"/>
          <w:sz w:val="24"/>
          <w:szCs w:val="24"/>
          <w:highlight w:val="white"/>
        </w:rPr>
        <w:t>对招标文件提出质疑的，为获取招标文件之日或者招标文件公告期限届满之日；</w:t>
      </w:r>
    </w:p>
    <w:p>
      <w:pPr>
        <w:pStyle w:val="6"/>
        <w:widowControl/>
        <w:numPr>
          <w:ilvl w:val="0"/>
          <w:numId w:val="3"/>
        </w:numPr>
        <w:spacing w:line="360" w:lineRule="auto"/>
        <w:ind w:left="0" w:firstLine="420"/>
        <w:jc w:val="left"/>
        <w:rPr>
          <w:rFonts w:cs="宋体"/>
          <w:color w:val="000000"/>
          <w:sz w:val="24"/>
          <w:szCs w:val="24"/>
        </w:rPr>
      </w:pPr>
      <w:r>
        <w:rPr>
          <w:rFonts w:hint="eastAsia" w:cs="宋体"/>
          <w:color w:val="000000"/>
          <w:sz w:val="24"/>
          <w:szCs w:val="24"/>
          <w:highlight w:val="white"/>
        </w:rPr>
        <w:t>对采购过程提出质疑的，为各采购程序环节结束之日；</w:t>
      </w:r>
    </w:p>
    <w:p>
      <w:pPr>
        <w:pStyle w:val="6"/>
        <w:widowControl/>
        <w:numPr>
          <w:ilvl w:val="0"/>
          <w:numId w:val="3"/>
        </w:numPr>
        <w:spacing w:line="360" w:lineRule="auto"/>
        <w:ind w:left="0" w:firstLine="420"/>
        <w:jc w:val="left"/>
        <w:rPr>
          <w:rFonts w:cs="宋体"/>
          <w:color w:val="000000"/>
          <w:sz w:val="24"/>
          <w:szCs w:val="24"/>
        </w:rPr>
      </w:pPr>
      <w:r>
        <w:rPr>
          <w:rFonts w:hint="eastAsia" w:cs="宋体"/>
          <w:color w:val="000000"/>
          <w:sz w:val="24"/>
          <w:szCs w:val="24"/>
          <w:highlight w:val="white"/>
        </w:rPr>
        <w:t>对中标结果提出质疑的，为中标结果公告期限届满之日。</w:t>
      </w:r>
    </w:p>
    <w:bookmarkEnd w:id="4"/>
    <w:p>
      <w:pPr>
        <w:pStyle w:val="5"/>
        <w:numPr>
          <w:ilvl w:val="1"/>
          <w:numId w:val="2"/>
        </w:numPr>
        <w:tabs>
          <w:tab w:val="left" w:pos="420"/>
        </w:tabs>
        <w:ind w:left="0" w:firstLine="425"/>
        <w:jc w:val="left"/>
        <w:rPr>
          <w:rFonts w:hAnsi="宋体"/>
          <w:color w:val="000000"/>
          <w:sz w:val="24"/>
          <w:szCs w:val="24"/>
        </w:rPr>
      </w:pPr>
      <w:r>
        <w:rPr>
          <w:rFonts w:hint="eastAsia" w:hAnsi="宋体"/>
          <w:color w:val="000000"/>
          <w:sz w:val="24"/>
          <w:szCs w:val="24"/>
          <w:highlight w:val="white"/>
        </w:rPr>
        <w:t>质疑函应当包括下列主要内容：</w:t>
      </w:r>
    </w:p>
    <w:p>
      <w:pPr>
        <w:pStyle w:val="6"/>
        <w:widowControl/>
        <w:numPr>
          <w:ilvl w:val="0"/>
          <w:numId w:val="4"/>
        </w:numPr>
        <w:spacing w:line="360" w:lineRule="auto"/>
        <w:ind w:left="0" w:firstLine="420"/>
        <w:jc w:val="left"/>
        <w:rPr>
          <w:rFonts w:cs="宋体"/>
          <w:color w:val="000000"/>
          <w:sz w:val="24"/>
          <w:szCs w:val="24"/>
        </w:rPr>
      </w:pPr>
      <w:r>
        <w:rPr>
          <w:rFonts w:hint="eastAsia" w:cs="宋体"/>
          <w:color w:val="000000"/>
          <w:sz w:val="24"/>
          <w:szCs w:val="24"/>
          <w:highlight w:val="white"/>
        </w:rPr>
        <w:t>质疑供应商和相关供应商的名称、地址、邮编、联系人及联系电话等；</w:t>
      </w:r>
    </w:p>
    <w:p>
      <w:pPr>
        <w:pStyle w:val="6"/>
        <w:widowControl/>
        <w:numPr>
          <w:ilvl w:val="0"/>
          <w:numId w:val="4"/>
        </w:numPr>
        <w:spacing w:line="360" w:lineRule="auto"/>
        <w:ind w:left="0" w:firstLine="420"/>
        <w:jc w:val="left"/>
        <w:rPr>
          <w:rFonts w:cs="宋体"/>
          <w:color w:val="000000"/>
          <w:sz w:val="24"/>
          <w:szCs w:val="24"/>
        </w:rPr>
      </w:pPr>
      <w:r>
        <w:rPr>
          <w:rFonts w:hint="eastAsia" w:cs="宋体"/>
          <w:color w:val="000000"/>
          <w:sz w:val="24"/>
          <w:szCs w:val="24"/>
          <w:highlight w:val="white"/>
        </w:rPr>
        <w:t>质疑项目名称及编号、具体、明确的质疑事项和与质疑事项相关的请求；</w:t>
      </w:r>
    </w:p>
    <w:p>
      <w:pPr>
        <w:pStyle w:val="6"/>
        <w:widowControl/>
        <w:numPr>
          <w:ilvl w:val="0"/>
          <w:numId w:val="4"/>
        </w:numPr>
        <w:spacing w:line="360" w:lineRule="auto"/>
        <w:ind w:left="0" w:firstLine="420"/>
        <w:jc w:val="left"/>
        <w:rPr>
          <w:rFonts w:cs="宋体"/>
          <w:color w:val="000000"/>
          <w:sz w:val="24"/>
          <w:szCs w:val="24"/>
        </w:rPr>
      </w:pPr>
      <w:r>
        <w:rPr>
          <w:rFonts w:hint="eastAsia" w:cs="宋体"/>
          <w:color w:val="000000"/>
          <w:sz w:val="24"/>
          <w:szCs w:val="24"/>
          <w:highlight w:val="white"/>
        </w:rPr>
        <w:t>认为采购文件、采购过程、中标和成交结果使自己的合法权益受到损害的法律依据、事实依据、相关证明材料及证据来源；</w:t>
      </w:r>
    </w:p>
    <w:p>
      <w:pPr>
        <w:pStyle w:val="6"/>
        <w:widowControl/>
        <w:numPr>
          <w:ilvl w:val="0"/>
          <w:numId w:val="4"/>
        </w:numPr>
        <w:spacing w:line="360" w:lineRule="auto"/>
        <w:ind w:left="0" w:firstLine="420"/>
        <w:jc w:val="left"/>
        <w:rPr>
          <w:rFonts w:cs="宋体"/>
          <w:color w:val="000000"/>
          <w:sz w:val="24"/>
          <w:szCs w:val="24"/>
        </w:rPr>
      </w:pPr>
      <w:r>
        <w:rPr>
          <w:rFonts w:hint="eastAsia" w:cs="宋体"/>
          <w:color w:val="000000"/>
          <w:sz w:val="24"/>
          <w:szCs w:val="24"/>
          <w:highlight w:val="white"/>
        </w:rPr>
        <w:t>提出质疑的日期。</w:t>
      </w:r>
    </w:p>
    <w:p>
      <w:pPr>
        <w:pStyle w:val="5"/>
        <w:numPr>
          <w:ilvl w:val="1"/>
          <w:numId w:val="2"/>
        </w:numPr>
        <w:tabs>
          <w:tab w:val="left" w:pos="420"/>
        </w:tabs>
        <w:ind w:left="0" w:firstLine="425"/>
        <w:jc w:val="left"/>
        <w:rPr>
          <w:rFonts w:hAnsi="宋体"/>
          <w:color w:val="000000"/>
          <w:sz w:val="24"/>
          <w:szCs w:val="24"/>
        </w:rPr>
      </w:pPr>
      <w:r>
        <w:rPr>
          <w:rFonts w:hint="eastAsia" w:hAnsi="宋体"/>
          <w:color w:val="000000"/>
          <w:sz w:val="24"/>
          <w:szCs w:val="24"/>
          <w:highlight w:val="white"/>
        </w:rPr>
        <w:t>质疑函应当署名。质疑供应商为自然人的，应当由本人签字；质疑供应商为法人或者其他组织的，</w:t>
      </w:r>
      <w:r>
        <w:rPr>
          <w:rFonts w:hint="eastAsia"/>
          <w:color w:val="000000"/>
          <w:sz w:val="24"/>
          <w:szCs w:val="24"/>
          <w:highlight w:val="white"/>
        </w:rPr>
        <w:t>应当由法定代表人、主要负责人，或者其授权代表签字或者盖章，并加盖公章</w:t>
      </w:r>
      <w:r>
        <w:rPr>
          <w:rFonts w:hint="eastAsia" w:hAnsi="宋体"/>
          <w:color w:val="000000"/>
          <w:sz w:val="24"/>
          <w:szCs w:val="24"/>
          <w:highlight w:val="white"/>
        </w:rPr>
        <w:t>。</w:t>
      </w:r>
    </w:p>
    <w:p>
      <w:pPr>
        <w:pStyle w:val="5"/>
        <w:numPr>
          <w:ilvl w:val="1"/>
          <w:numId w:val="2"/>
        </w:numPr>
        <w:tabs>
          <w:tab w:val="left" w:pos="420"/>
        </w:tabs>
        <w:ind w:left="0" w:firstLine="425"/>
        <w:jc w:val="left"/>
        <w:rPr>
          <w:rFonts w:hAnsi="宋体"/>
          <w:color w:val="000000"/>
          <w:sz w:val="24"/>
          <w:szCs w:val="24"/>
        </w:rPr>
      </w:pPr>
      <w:r>
        <w:rPr>
          <w:rFonts w:hint="eastAsia" w:hAnsi="宋体"/>
          <w:color w:val="000000"/>
          <w:sz w:val="24"/>
          <w:szCs w:val="24"/>
          <w:highlight w:val="white"/>
        </w:rPr>
        <w:t>以联合体形式参加政府采购活动的，其质疑应当由组成联合体的所有供应商共同提出。</w:t>
      </w:r>
    </w:p>
    <w:p>
      <w:pPr>
        <w:pStyle w:val="5"/>
        <w:numPr>
          <w:ilvl w:val="1"/>
          <w:numId w:val="2"/>
        </w:numPr>
        <w:tabs>
          <w:tab w:val="left" w:pos="420"/>
        </w:tabs>
        <w:ind w:left="0" w:firstLine="425"/>
        <w:jc w:val="left"/>
        <w:rPr>
          <w:rFonts w:hAnsi="宋体"/>
          <w:color w:val="000000"/>
          <w:sz w:val="24"/>
          <w:szCs w:val="24"/>
        </w:rPr>
      </w:pPr>
      <w:r>
        <w:rPr>
          <w:rFonts w:hint="eastAsia" w:hAnsi="宋体"/>
          <w:color w:val="000000"/>
          <w:sz w:val="24"/>
          <w:szCs w:val="24"/>
          <w:highlight w:val="white"/>
        </w:rPr>
        <w:t>供应商质疑应当有明确的请求和必要的证明材料。质疑内容不得含有虚假、恶意成份。依照谁主张谁举证的原则，提出质疑者必须同时提交相关确凿的证据材料和注明证据的确切来源，证据来源必须合法，交易中心有权将质疑函转发质疑事项各关联方，请其作出解释说明。对捏造事实、滥用维权扰乱采购秩序的恶意质疑者，将上报政府采购监督管理部门依法处理，同时交易中心将在企业信用档案中予以记录。</w:t>
      </w:r>
    </w:p>
    <w:p>
      <w:pPr>
        <w:pStyle w:val="5"/>
        <w:numPr>
          <w:ilvl w:val="1"/>
          <w:numId w:val="2"/>
        </w:numPr>
        <w:tabs>
          <w:tab w:val="left" w:pos="420"/>
        </w:tabs>
        <w:ind w:left="0" w:firstLine="425"/>
        <w:jc w:val="left"/>
        <w:rPr>
          <w:rFonts w:hAnsi="宋体"/>
          <w:color w:val="000000"/>
          <w:sz w:val="24"/>
          <w:szCs w:val="24"/>
        </w:rPr>
      </w:pPr>
      <w:r>
        <w:rPr>
          <w:rFonts w:hint="eastAsia" w:hAnsi="宋体"/>
          <w:color w:val="000000"/>
          <w:sz w:val="24"/>
          <w:szCs w:val="24"/>
          <w:highlight w:val="white"/>
        </w:rPr>
        <w:t>质疑供应商对采购人、交易中心的质疑答复不满意，或者采购人、交易中心未在规定期限内作出答复的，可以在答复期满后15个工作日内向采购人的同级政府采购监督管理部门提起投诉。</w:t>
      </w:r>
    </w:p>
    <w:p>
      <w:pPr>
        <w:spacing w:line="440" w:lineRule="exact"/>
        <w:ind w:firstLine="480"/>
        <w:jc w:val="left"/>
        <w:rPr>
          <w:rFonts w:ascii="宋体" w:hAnsi="宋体"/>
          <w:color w:val="000000"/>
          <w:sz w:val="24"/>
        </w:rPr>
      </w:pPr>
      <w:r>
        <w:rPr>
          <w:rFonts w:hint="eastAsia" w:ascii="宋体" w:hAnsi="宋体"/>
          <w:color w:val="000000"/>
          <w:sz w:val="24"/>
        </w:rPr>
        <w:t>质疑受理部门：铜仁市公共资源交易中心政府采购交易科</w:t>
      </w:r>
    </w:p>
    <w:p>
      <w:pPr>
        <w:spacing w:line="440" w:lineRule="exact"/>
        <w:ind w:firstLine="480"/>
        <w:jc w:val="left"/>
        <w:rPr>
          <w:rFonts w:ascii="宋体" w:hAnsi="宋体"/>
          <w:color w:val="000000"/>
          <w:sz w:val="24"/>
        </w:rPr>
      </w:pPr>
      <w:r>
        <w:rPr>
          <w:rFonts w:hint="eastAsia" w:ascii="宋体" w:hAnsi="宋体"/>
          <w:color w:val="000000"/>
          <w:sz w:val="24"/>
        </w:rPr>
        <w:t>（八）提交质疑函地点：铜仁市公共服务中心四楼政府采购交易科，质疑函范本请自行在“交易中心主页-办事指南-政府采购-常见问题解答”下载。</w:t>
      </w:r>
    </w:p>
    <w:p>
      <w:pPr>
        <w:pStyle w:val="28"/>
        <w:spacing w:line="400" w:lineRule="exact"/>
        <w:jc w:val="left"/>
        <w:outlineLvl w:val="9"/>
        <w:rPr>
          <w:rFonts w:hAnsi="宋体"/>
          <w:b/>
          <w:sz w:val="24"/>
        </w:rPr>
      </w:pPr>
      <w:r>
        <w:rPr>
          <w:rFonts w:hint="eastAsia" w:hAnsi="宋体"/>
          <w:color w:val="000000"/>
          <w:sz w:val="24"/>
        </w:rPr>
        <w:t>（九）本次采购活动中，交易中心作出的质疑答复等文件的送达方式为现场取件本次采购活动中，交易中心对质疑回复等文件的送达方式为现场取件、邮寄（到付方式）或电子邮件（交易中心指定邮箱为：</w:t>
      </w:r>
      <w:r>
        <w:fldChar w:fldCharType="begin"/>
      </w:r>
      <w:r>
        <w:instrText xml:space="preserve"> HYPERLINK "mailto:trggzyjyzxzfcg@163.com，该邮箱仅用于发送文件）。" </w:instrText>
      </w:r>
      <w:r>
        <w:fldChar w:fldCharType="separate"/>
      </w:r>
      <w:r>
        <w:rPr>
          <w:rStyle w:val="21"/>
          <w:rFonts w:hint="eastAsia" w:hAnsi="宋体"/>
          <w:sz w:val="24"/>
        </w:rPr>
        <w:t>trggzyjyzxzfcg@163.com，该邮箱仅用于发送文件）。</w:t>
      </w:r>
      <w:r>
        <w:rPr>
          <w:rStyle w:val="21"/>
          <w:rFonts w:hint="eastAsia" w:hAnsi="宋体"/>
          <w:sz w:val="24"/>
        </w:rPr>
        <w:fldChar w:fldCharType="end"/>
      </w:r>
    </w:p>
    <w:p>
      <w:pPr>
        <w:pStyle w:val="28"/>
        <w:spacing w:line="400" w:lineRule="exact"/>
        <w:jc w:val="center"/>
        <w:outlineLvl w:val="9"/>
        <w:rPr>
          <w:rFonts w:hAnsi="宋体"/>
          <w:b/>
          <w:sz w:val="24"/>
        </w:rPr>
      </w:pPr>
      <w:r>
        <w:rPr>
          <w:rFonts w:hint="eastAsia" w:hAnsi="宋体"/>
          <w:b/>
          <w:sz w:val="24"/>
        </w:rPr>
        <w:t>二、谈判文件</w:t>
      </w:r>
    </w:p>
    <w:p>
      <w:pPr>
        <w:pStyle w:val="10"/>
        <w:spacing w:line="400" w:lineRule="exact"/>
        <w:jc w:val="left"/>
        <w:rPr>
          <w:rFonts w:hAnsi="宋体"/>
          <w:b/>
          <w:sz w:val="24"/>
        </w:rPr>
      </w:pPr>
      <w:r>
        <w:rPr>
          <w:rFonts w:hint="eastAsia" w:hAnsi="宋体"/>
          <w:b/>
          <w:sz w:val="24"/>
        </w:rPr>
        <w:t>7</w:t>
      </w:r>
      <w:r>
        <w:rPr>
          <w:rFonts w:hAnsi="宋体"/>
          <w:b/>
          <w:sz w:val="24"/>
        </w:rPr>
        <w:t>.谈判文件的组成</w:t>
      </w:r>
    </w:p>
    <w:p>
      <w:pPr>
        <w:pStyle w:val="10"/>
        <w:spacing w:line="400" w:lineRule="exact"/>
        <w:ind w:firstLine="480" w:firstLineChars="200"/>
        <w:jc w:val="left"/>
        <w:rPr>
          <w:rFonts w:hAnsi="宋体"/>
          <w:sz w:val="24"/>
        </w:rPr>
      </w:pPr>
      <w:r>
        <w:rPr>
          <w:rFonts w:hint="eastAsia" w:hAnsi="宋体"/>
          <w:sz w:val="24"/>
        </w:rPr>
        <w:t>7</w:t>
      </w:r>
      <w:r>
        <w:rPr>
          <w:rFonts w:hAnsi="宋体"/>
          <w:sz w:val="24"/>
        </w:rPr>
        <w:t>.1谈判文件用以阐明所需货物及服务、谈判程序和合同格式及条款。谈判文件由下述部分组成：</w:t>
      </w:r>
    </w:p>
    <w:p>
      <w:pPr>
        <w:pStyle w:val="10"/>
        <w:spacing w:line="400" w:lineRule="exact"/>
        <w:jc w:val="left"/>
        <w:rPr>
          <w:rFonts w:hAnsi="宋体"/>
          <w:sz w:val="24"/>
        </w:rPr>
      </w:pPr>
      <w:r>
        <w:rPr>
          <w:rFonts w:hAnsi="宋体"/>
          <w:sz w:val="24"/>
        </w:rPr>
        <w:t>（1）</w:t>
      </w:r>
      <w:r>
        <w:rPr>
          <w:rFonts w:hint="eastAsia" w:hAnsi="宋体"/>
          <w:sz w:val="24"/>
        </w:rPr>
        <w:t>谈判邀请</w:t>
      </w:r>
    </w:p>
    <w:p>
      <w:pPr>
        <w:pStyle w:val="10"/>
        <w:spacing w:line="400" w:lineRule="exact"/>
        <w:jc w:val="left"/>
        <w:rPr>
          <w:rFonts w:hAnsi="宋体"/>
          <w:sz w:val="24"/>
        </w:rPr>
      </w:pPr>
      <w:r>
        <w:rPr>
          <w:rFonts w:hAnsi="宋体"/>
          <w:sz w:val="24"/>
        </w:rPr>
        <w:t>（2）</w:t>
      </w:r>
      <w:r>
        <w:rPr>
          <w:rFonts w:hint="eastAsia" w:hAnsi="宋体"/>
          <w:sz w:val="24"/>
        </w:rPr>
        <w:t>谈判响应供应商须知</w:t>
      </w:r>
    </w:p>
    <w:p>
      <w:pPr>
        <w:pStyle w:val="10"/>
        <w:spacing w:line="400" w:lineRule="exact"/>
        <w:jc w:val="left"/>
        <w:rPr>
          <w:rFonts w:hAnsi="宋体"/>
          <w:sz w:val="24"/>
        </w:rPr>
      </w:pPr>
      <w:r>
        <w:rPr>
          <w:rFonts w:hint="eastAsia" w:hAnsi="宋体"/>
          <w:sz w:val="24"/>
        </w:rPr>
        <w:t>（3）谈判供应商须知正文部分</w:t>
      </w:r>
    </w:p>
    <w:p>
      <w:pPr>
        <w:pStyle w:val="10"/>
        <w:spacing w:line="400" w:lineRule="exact"/>
        <w:jc w:val="left"/>
        <w:rPr>
          <w:rFonts w:hAnsi="宋体"/>
          <w:sz w:val="24"/>
        </w:rPr>
      </w:pPr>
      <w:r>
        <w:rPr>
          <w:rFonts w:hAnsi="宋体"/>
          <w:sz w:val="24"/>
        </w:rPr>
        <w:t>（</w:t>
      </w:r>
      <w:r>
        <w:rPr>
          <w:rFonts w:hint="eastAsia" w:hAnsi="宋体"/>
          <w:sz w:val="24"/>
        </w:rPr>
        <w:t>4</w:t>
      </w:r>
      <w:r>
        <w:rPr>
          <w:rFonts w:hAnsi="宋体"/>
          <w:sz w:val="24"/>
        </w:rPr>
        <w:t>）</w:t>
      </w:r>
      <w:r>
        <w:rPr>
          <w:rFonts w:hint="eastAsia" w:hAnsi="宋体"/>
          <w:sz w:val="24"/>
        </w:rPr>
        <w:t>采购内容及要求</w:t>
      </w:r>
    </w:p>
    <w:p>
      <w:pPr>
        <w:pStyle w:val="10"/>
        <w:spacing w:line="400" w:lineRule="exact"/>
        <w:jc w:val="left"/>
        <w:rPr>
          <w:rFonts w:hAnsi="宋体"/>
          <w:sz w:val="24"/>
        </w:rPr>
      </w:pPr>
      <w:r>
        <w:rPr>
          <w:rFonts w:hAnsi="宋体"/>
          <w:sz w:val="24"/>
        </w:rPr>
        <w:t>（</w:t>
      </w:r>
      <w:r>
        <w:rPr>
          <w:rFonts w:hint="eastAsia" w:hAnsi="宋体"/>
          <w:sz w:val="24"/>
        </w:rPr>
        <w:t>5</w:t>
      </w:r>
      <w:r>
        <w:rPr>
          <w:rFonts w:hAnsi="宋体"/>
          <w:sz w:val="24"/>
        </w:rPr>
        <w:t>）</w:t>
      </w:r>
      <w:r>
        <w:rPr>
          <w:rFonts w:hint="eastAsia" w:hAnsi="宋体"/>
          <w:sz w:val="24"/>
        </w:rPr>
        <w:t>政府</w:t>
      </w:r>
      <w:r>
        <w:rPr>
          <w:rFonts w:hAnsi="宋体"/>
          <w:sz w:val="24"/>
        </w:rPr>
        <w:t>采购合同</w:t>
      </w:r>
    </w:p>
    <w:p>
      <w:pPr>
        <w:pStyle w:val="10"/>
        <w:spacing w:line="400" w:lineRule="exact"/>
        <w:jc w:val="left"/>
        <w:rPr>
          <w:rFonts w:hAnsi="宋体"/>
          <w:sz w:val="24"/>
        </w:rPr>
      </w:pPr>
      <w:r>
        <w:rPr>
          <w:rFonts w:hAnsi="宋体"/>
          <w:sz w:val="24"/>
        </w:rPr>
        <w:t>（</w:t>
      </w:r>
      <w:r>
        <w:rPr>
          <w:rFonts w:hint="eastAsia" w:hAnsi="宋体"/>
          <w:sz w:val="24"/>
        </w:rPr>
        <w:t>6</w:t>
      </w:r>
      <w:r>
        <w:rPr>
          <w:rFonts w:hAnsi="宋体"/>
          <w:sz w:val="24"/>
        </w:rPr>
        <w:t>）响应文件格式</w:t>
      </w:r>
    </w:p>
    <w:p>
      <w:pPr>
        <w:pStyle w:val="10"/>
        <w:spacing w:line="400" w:lineRule="exact"/>
        <w:jc w:val="left"/>
        <w:rPr>
          <w:rFonts w:hAnsi="宋体"/>
          <w:b/>
          <w:sz w:val="24"/>
        </w:rPr>
      </w:pPr>
      <w:r>
        <w:rPr>
          <w:rFonts w:hint="eastAsia" w:hAnsi="宋体"/>
          <w:b/>
          <w:sz w:val="24"/>
        </w:rPr>
        <w:t>8</w:t>
      </w:r>
      <w:r>
        <w:rPr>
          <w:rFonts w:hAnsi="宋体"/>
          <w:b/>
          <w:sz w:val="24"/>
        </w:rPr>
        <w:t>.</w:t>
      </w:r>
      <w:r>
        <w:rPr>
          <w:rFonts w:hint="eastAsia" w:hAnsi="宋体"/>
          <w:b/>
          <w:sz w:val="24"/>
        </w:rPr>
        <w:t>谈判文件的澄清与修改</w:t>
      </w:r>
    </w:p>
    <w:p>
      <w:pPr>
        <w:pStyle w:val="6"/>
        <w:snapToGrid w:val="0"/>
        <w:spacing w:line="400" w:lineRule="exact"/>
        <w:ind w:firstLineChars="175"/>
        <w:outlineLvl w:val="0"/>
        <w:rPr>
          <w:bCs/>
          <w:color w:val="000000"/>
          <w:sz w:val="24"/>
        </w:rPr>
      </w:pPr>
      <w:r>
        <w:rPr>
          <w:rFonts w:hint="eastAsia"/>
          <w:sz w:val="24"/>
        </w:rPr>
        <w:t>8.1</w:t>
      </w:r>
      <w:r>
        <w:rPr>
          <w:rFonts w:hint="eastAsia"/>
          <w:bCs/>
          <w:color w:val="000000"/>
          <w:sz w:val="24"/>
        </w:rPr>
        <w:t>至谈判响应截止时间3个工作日（如至原定截止时间不足3个工作日，则需延长截止时间）前，</w:t>
      </w:r>
      <w:r>
        <w:rPr>
          <w:rFonts w:hint="eastAsia"/>
          <w:sz w:val="24"/>
        </w:rPr>
        <w:t>采购代理代理机构</w:t>
      </w:r>
      <w:r>
        <w:rPr>
          <w:rFonts w:hint="eastAsia"/>
          <w:bCs/>
          <w:color w:val="000000"/>
          <w:sz w:val="24"/>
        </w:rPr>
        <w:t>可主动或依供应商要求澄清的问题修改谈判文件，但应当</w:t>
      </w:r>
      <w:r>
        <w:rPr>
          <w:rFonts w:hint="eastAsia"/>
          <w:sz w:val="24"/>
        </w:rPr>
        <w:t>在原信息发布媒体上发布更正公告，</w:t>
      </w:r>
      <w:r>
        <w:rPr>
          <w:rFonts w:hint="eastAsia"/>
          <w:bCs/>
          <w:color w:val="000000"/>
          <w:sz w:val="24"/>
        </w:rPr>
        <w:t>并以书面形式通知所有谈判文件收受人，供应商在收到该通知后应当立即以传真形式予以确认</w:t>
      </w:r>
      <w:r>
        <w:rPr>
          <w:rFonts w:hint="eastAsia"/>
          <w:sz w:val="24"/>
        </w:rPr>
        <w:t>（如属网上采购项目</w:t>
      </w:r>
      <w:r>
        <w:rPr>
          <w:rFonts w:hint="eastAsia"/>
          <w:bCs/>
          <w:color w:val="000000"/>
          <w:sz w:val="24"/>
        </w:rPr>
        <w:t>，在采购公告原发布媒体及实施网上采购的网站发布更正公告，不再书面答复）。</w:t>
      </w:r>
      <w:r>
        <w:rPr>
          <w:rFonts w:hint="eastAsia"/>
          <w:sz w:val="24"/>
        </w:rPr>
        <w:t>该修改内容为谈判文件的组成部分，对供应商具有约束力。但</w:t>
      </w:r>
      <w:r>
        <w:rPr>
          <w:rFonts w:hint="eastAsia"/>
          <w:bCs/>
          <w:color w:val="000000"/>
          <w:sz w:val="24"/>
        </w:rPr>
        <w:t>本谈判文件第8.2条规定的推迟响应截止时间情形不受本条约束。</w:t>
      </w:r>
    </w:p>
    <w:p>
      <w:pPr>
        <w:pStyle w:val="6"/>
        <w:snapToGrid w:val="0"/>
        <w:spacing w:line="400" w:lineRule="exact"/>
        <w:ind w:firstLineChars="175"/>
        <w:outlineLvl w:val="0"/>
        <w:rPr>
          <w:sz w:val="24"/>
        </w:rPr>
      </w:pPr>
      <w:r>
        <w:rPr>
          <w:rFonts w:hint="eastAsia"/>
          <w:sz w:val="24"/>
        </w:rPr>
        <w:t>8.2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6"/>
        <w:snapToGrid w:val="0"/>
        <w:spacing w:line="400" w:lineRule="exact"/>
        <w:ind w:firstLine="2891" w:firstLineChars="1200"/>
        <w:outlineLvl w:val="0"/>
        <w:rPr>
          <w:bCs/>
          <w:sz w:val="24"/>
        </w:rPr>
      </w:pPr>
      <w:r>
        <w:rPr>
          <w:rFonts w:hint="eastAsia"/>
          <w:b/>
          <w:sz w:val="24"/>
        </w:rPr>
        <w:t>三、响应文件的编写</w:t>
      </w:r>
    </w:p>
    <w:p>
      <w:pPr>
        <w:pStyle w:val="10"/>
        <w:spacing w:line="400" w:lineRule="exact"/>
        <w:jc w:val="left"/>
        <w:rPr>
          <w:rFonts w:hAnsi="宋体"/>
          <w:b/>
          <w:sz w:val="24"/>
        </w:rPr>
      </w:pPr>
      <w:r>
        <w:rPr>
          <w:rFonts w:hint="eastAsia" w:hAnsi="宋体"/>
          <w:b/>
          <w:sz w:val="24"/>
        </w:rPr>
        <w:t>9</w:t>
      </w:r>
      <w:r>
        <w:rPr>
          <w:rFonts w:hAnsi="宋体"/>
          <w:b/>
          <w:sz w:val="24"/>
        </w:rPr>
        <w:t>.要求</w:t>
      </w:r>
    </w:p>
    <w:p>
      <w:pPr>
        <w:pStyle w:val="10"/>
        <w:spacing w:line="400" w:lineRule="exact"/>
        <w:ind w:firstLine="480"/>
        <w:jc w:val="left"/>
        <w:rPr>
          <w:rFonts w:hAnsi="宋体"/>
          <w:sz w:val="24"/>
        </w:rPr>
      </w:pPr>
      <w:r>
        <w:rPr>
          <w:rFonts w:hint="eastAsia" w:hAnsi="宋体"/>
          <w:sz w:val="24"/>
        </w:rPr>
        <w:t>9</w:t>
      </w:r>
      <w:r>
        <w:rPr>
          <w:rFonts w:hAnsi="宋体"/>
          <w:sz w:val="24"/>
        </w:rPr>
        <w:t>.1谈判响应供应商应仔细阅读谈判文件的所有内容，按谈判文件的要求提供响应文件，</w:t>
      </w:r>
      <w:r>
        <w:rPr>
          <w:rFonts w:hint="eastAsia" w:hAnsi="宋体"/>
          <w:sz w:val="24"/>
        </w:rPr>
        <w:t>响应文件应对谈判文件的要求作出实质性响应，</w:t>
      </w:r>
      <w:r>
        <w:rPr>
          <w:rFonts w:hAnsi="宋体"/>
          <w:sz w:val="24"/>
        </w:rPr>
        <w:t>并保证所提供的全部资料的真实性，否则其响应文件可被作</w:t>
      </w:r>
      <w:r>
        <w:rPr>
          <w:rFonts w:hint="eastAsia" w:hAnsi="宋体"/>
          <w:sz w:val="24"/>
        </w:rPr>
        <w:t>响应</w:t>
      </w:r>
      <w:r>
        <w:rPr>
          <w:rFonts w:hAnsi="宋体"/>
          <w:sz w:val="24"/>
        </w:rPr>
        <w:t>无效处理。</w:t>
      </w:r>
    </w:p>
    <w:p>
      <w:pPr>
        <w:pStyle w:val="10"/>
        <w:spacing w:line="400" w:lineRule="exact"/>
        <w:ind w:firstLine="480" w:firstLineChars="200"/>
        <w:jc w:val="left"/>
        <w:rPr>
          <w:rFonts w:hAnsi="宋体"/>
          <w:sz w:val="24"/>
        </w:rPr>
      </w:pPr>
      <w:r>
        <w:rPr>
          <w:rFonts w:hint="eastAsia" w:hAnsi="宋体"/>
          <w:sz w:val="24"/>
        </w:rPr>
        <w:t>9</w:t>
      </w:r>
      <w:r>
        <w:rPr>
          <w:rFonts w:hAnsi="宋体"/>
          <w:sz w:val="24"/>
        </w:rPr>
        <w:t>.2除非有另外的规定，谈判响应供应商应按被邀请参加</w:t>
      </w:r>
      <w:r>
        <w:rPr>
          <w:rFonts w:hint="eastAsia" w:hAnsi="宋体"/>
          <w:sz w:val="24"/>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rPr>
        <w:t>、服务、工程</w:t>
      </w:r>
      <w:r>
        <w:rPr>
          <w:rFonts w:hAnsi="宋体"/>
          <w:sz w:val="24"/>
        </w:rPr>
        <w:t>只能有一个报价。</w:t>
      </w:r>
    </w:p>
    <w:p>
      <w:pPr>
        <w:pStyle w:val="10"/>
        <w:spacing w:line="400" w:lineRule="exact"/>
        <w:jc w:val="left"/>
        <w:rPr>
          <w:rFonts w:hAnsi="宋体"/>
          <w:b/>
          <w:sz w:val="24"/>
        </w:rPr>
      </w:pPr>
      <w:r>
        <w:rPr>
          <w:rFonts w:hint="eastAsia" w:hAnsi="宋体"/>
          <w:b/>
          <w:sz w:val="24"/>
        </w:rPr>
        <w:t>10.谈判响应文件语言及报价要求</w:t>
      </w:r>
    </w:p>
    <w:p>
      <w:pPr>
        <w:pStyle w:val="10"/>
        <w:spacing w:line="400" w:lineRule="exact"/>
        <w:ind w:firstLine="720" w:firstLineChars="300"/>
        <w:jc w:val="left"/>
        <w:rPr>
          <w:rFonts w:hAnsi="宋体"/>
          <w:b/>
          <w:sz w:val="24"/>
        </w:rPr>
      </w:pPr>
      <w:r>
        <w:rPr>
          <w:rFonts w:hint="eastAsia" w:hAnsi="宋体"/>
          <w:sz w:val="24"/>
        </w:rPr>
        <w:t>谈判</w:t>
      </w:r>
      <w:r>
        <w:rPr>
          <w:rFonts w:hAnsi="宋体"/>
          <w:sz w:val="24"/>
        </w:rPr>
        <w:t>响应文件应用中文书写。</w:t>
      </w:r>
      <w:r>
        <w:rPr>
          <w:rFonts w:hint="eastAsia" w:hAnsi="宋体"/>
          <w:sz w:val="24"/>
        </w:rPr>
        <w:t>响应文件中所附或所引用的的原件不是中文时，应附中文译文。各种计量单位及符号应采用国际上统一使用的公制计量单位和符号。</w:t>
      </w:r>
    </w:p>
    <w:p>
      <w:pPr>
        <w:pStyle w:val="10"/>
        <w:spacing w:line="400" w:lineRule="exact"/>
        <w:jc w:val="left"/>
        <w:rPr>
          <w:rFonts w:hAnsi="宋体"/>
          <w:b/>
          <w:sz w:val="24"/>
        </w:rPr>
      </w:pPr>
      <w:r>
        <w:rPr>
          <w:rFonts w:hint="eastAsia" w:hAnsi="宋体"/>
          <w:b/>
          <w:sz w:val="24"/>
        </w:rPr>
        <w:t>11</w:t>
      </w:r>
      <w:r>
        <w:rPr>
          <w:rFonts w:hAnsi="宋体"/>
          <w:b/>
          <w:sz w:val="24"/>
        </w:rPr>
        <w:t>.</w:t>
      </w:r>
      <w:r>
        <w:rPr>
          <w:rFonts w:hint="eastAsia" w:hAnsi="宋体"/>
          <w:b/>
          <w:sz w:val="24"/>
        </w:rPr>
        <w:t>谈判</w:t>
      </w:r>
      <w:r>
        <w:rPr>
          <w:rFonts w:hAnsi="宋体"/>
          <w:b/>
          <w:sz w:val="24"/>
        </w:rPr>
        <w:t>响应文件的组成</w:t>
      </w:r>
      <w:r>
        <w:rPr>
          <w:rFonts w:hint="eastAsia" w:hAnsi="宋体"/>
          <w:b/>
          <w:bCs/>
          <w:sz w:val="24"/>
        </w:rPr>
        <w:t>包括下列部分</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11.1.谈判响应声明函</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11.2 报价一览表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11.3 谈判分项报价表（格式）</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11.4技术条款偏离表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11.5商务条款偏离表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 xml:space="preserve"> 资格的声明函</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法定代表人授权书</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资质声明及文件</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9</w:t>
      </w:r>
      <w:r>
        <w:rPr>
          <w:rFonts w:hint="eastAsia" w:asciiTheme="minorEastAsia" w:hAnsiTheme="minorEastAsia" w:cstheme="minorEastAsia"/>
          <w:sz w:val="24"/>
          <w:szCs w:val="24"/>
        </w:rPr>
        <w:t>售后服务承诺及方案</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10</w:t>
      </w:r>
      <w:r>
        <w:rPr>
          <w:rFonts w:hint="eastAsia" w:asciiTheme="minorEastAsia" w:hAnsiTheme="minorEastAsia" w:cstheme="minorEastAsia"/>
          <w:sz w:val="24"/>
          <w:szCs w:val="24"/>
        </w:rPr>
        <w:t>中小企业声明函（如是）</w:t>
      </w:r>
    </w:p>
    <w:p>
      <w:pPr>
        <w:pStyle w:val="10"/>
        <w:spacing w:line="400" w:lineRule="exact"/>
        <w:jc w:val="left"/>
        <w:rPr>
          <w:rFonts w:hAnsi="宋体"/>
          <w:b/>
          <w:sz w:val="24"/>
        </w:rPr>
      </w:pPr>
      <w:r>
        <w:rPr>
          <w:rFonts w:hAnsi="宋体"/>
          <w:b/>
          <w:sz w:val="24"/>
        </w:rPr>
        <w:t>1</w:t>
      </w:r>
      <w:r>
        <w:rPr>
          <w:rFonts w:hint="eastAsia" w:hAnsi="宋体"/>
          <w:b/>
          <w:sz w:val="24"/>
        </w:rPr>
        <w:t>2</w:t>
      </w:r>
      <w:r>
        <w:rPr>
          <w:rFonts w:hAnsi="宋体"/>
          <w:b/>
          <w:sz w:val="24"/>
        </w:rPr>
        <w:t>.</w:t>
      </w:r>
      <w:r>
        <w:rPr>
          <w:rFonts w:hint="eastAsia" w:hAnsi="宋体"/>
          <w:b/>
          <w:sz w:val="24"/>
        </w:rPr>
        <w:t>谈判响应</w:t>
      </w:r>
      <w:r>
        <w:rPr>
          <w:rFonts w:hAnsi="宋体"/>
          <w:b/>
          <w:sz w:val="24"/>
        </w:rPr>
        <w:t>有效期</w:t>
      </w:r>
    </w:p>
    <w:p>
      <w:pPr>
        <w:pStyle w:val="10"/>
        <w:spacing w:line="400" w:lineRule="exact"/>
        <w:ind w:firstLine="480" w:firstLineChars="200"/>
        <w:jc w:val="left"/>
        <w:rPr>
          <w:rFonts w:hAnsi="宋体"/>
          <w:sz w:val="24"/>
        </w:rPr>
      </w:pPr>
      <w:r>
        <w:rPr>
          <w:rFonts w:hint="eastAsia" w:hAnsi="宋体"/>
          <w:sz w:val="24"/>
        </w:rPr>
        <w:t>12.1响应文件从</w:t>
      </w:r>
      <w:r>
        <w:rPr>
          <w:rFonts w:hint="eastAsia" w:hAnsi="宋体"/>
          <w:bCs/>
          <w:sz w:val="24"/>
        </w:rPr>
        <w:t>谈判响应供应商须知前附表1</w:t>
      </w:r>
      <w:r>
        <w:rPr>
          <w:rFonts w:hint="eastAsia" w:hAnsi="宋体"/>
          <w:sz w:val="24"/>
        </w:rPr>
        <w:t>所规定的谈判响应截止期之日开始生效，在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10"/>
        <w:spacing w:line="400" w:lineRule="exact"/>
        <w:ind w:firstLine="480" w:firstLineChars="200"/>
        <w:jc w:val="left"/>
        <w:rPr>
          <w:rFonts w:hAnsi="宋体"/>
          <w:sz w:val="24"/>
        </w:rPr>
      </w:pPr>
      <w:r>
        <w:rPr>
          <w:rFonts w:hint="eastAsia"/>
          <w:sz w:val="24"/>
          <w:szCs w:val="24"/>
        </w:rPr>
        <w:t>12.2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谈判响应供应商，既不要求也不允许其修改响应文件，但将要求其相应延长谈判保证金有效期，有关退还和不予退还谈判保证金的规定在报价有效期延长期内继续有效。</w:t>
      </w:r>
    </w:p>
    <w:p>
      <w:pPr>
        <w:pStyle w:val="10"/>
        <w:spacing w:line="400" w:lineRule="exact"/>
        <w:jc w:val="left"/>
        <w:rPr>
          <w:rFonts w:hAnsi="宋体"/>
          <w:b/>
          <w:sz w:val="24"/>
        </w:rPr>
      </w:pPr>
      <w:r>
        <w:rPr>
          <w:rFonts w:hAnsi="宋体"/>
          <w:b/>
          <w:sz w:val="24"/>
        </w:rPr>
        <w:t>1</w:t>
      </w:r>
      <w:r>
        <w:rPr>
          <w:rFonts w:hint="eastAsia" w:hAnsi="宋体"/>
          <w:b/>
          <w:sz w:val="24"/>
        </w:rPr>
        <w:t>3</w:t>
      </w:r>
      <w:r>
        <w:rPr>
          <w:rFonts w:hAnsi="宋体"/>
          <w:b/>
          <w:sz w:val="24"/>
        </w:rPr>
        <w:t>.谈判保证金</w:t>
      </w:r>
    </w:p>
    <w:p>
      <w:pPr>
        <w:pStyle w:val="10"/>
        <w:spacing w:line="400" w:lineRule="exact"/>
        <w:ind w:firstLine="480" w:firstLineChars="200"/>
        <w:jc w:val="left"/>
        <w:rPr>
          <w:rFonts w:hAnsi="宋体"/>
          <w:sz w:val="24"/>
        </w:rPr>
      </w:pPr>
      <w:r>
        <w:rPr>
          <w:rFonts w:hint="eastAsia" w:hAnsi="宋体"/>
          <w:sz w:val="24"/>
        </w:rPr>
        <w:t>13</w:t>
      </w:r>
      <w:r>
        <w:rPr>
          <w:rFonts w:hAnsi="宋体"/>
          <w:sz w:val="24"/>
        </w:rPr>
        <w:t>.1 谈判保证金为响应文件的组成部分之一。</w:t>
      </w:r>
    </w:p>
    <w:p>
      <w:pPr>
        <w:spacing w:line="400" w:lineRule="exact"/>
        <w:ind w:firstLine="480"/>
        <w:rPr>
          <w:rFonts w:ascii="宋体" w:hAnsi="宋体"/>
          <w:sz w:val="24"/>
          <w:szCs w:val="24"/>
        </w:rPr>
      </w:pPr>
      <w:r>
        <w:rPr>
          <w:rFonts w:hint="eastAsia" w:ascii="宋体" w:hAnsi="宋体"/>
          <w:sz w:val="24"/>
          <w:szCs w:val="24"/>
        </w:rPr>
        <w:t>13.2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10"/>
        <w:spacing w:line="400" w:lineRule="exact"/>
        <w:ind w:firstLine="480" w:firstLineChars="200"/>
        <w:jc w:val="left"/>
        <w:rPr>
          <w:rFonts w:hAnsi="宋体"/>
          <w:sz w:val="24"/>
        </w:rPr>
      </w:pPr>
      <w:r>
        <w:rPr>
          <w:rFonts w:hint="eastAsia" w:hAnsi="宋体"/>
          <w:sz w:val="24"/>
        </w:rPr>
        <w:t>13</w:t>
      </w:r>
      <w:r>
        <w:rPr>
          <w:rFonts w:hAnsi="宋体"/>
          <w:sz w:val="24"/>
        </w:rPr>
        <w:t>.3 谈判保证金用于保护本次谈判活动免受谈判响应供应商的行为而引起的风险。</w:t>
      </w:r>
    </w:p>
    <w:p>
      <w:pPr>
        <w:spacing w:line="400" w:lineRule="exact"/>
        <w:ind w:firstLine="480" w:firstLineChars="200"/>
        <w:rPr>
          <w:rFonts w:ascii="宋体" w:hAnsi="宋体"/>
          <w:sz w:val="24"/>
        </w:rPr>
      </w:pPr>
      <w:r>
        <w:rPr>
          <w:rFonts w:ascii="宋体" w:hAnsi="宋体"/>
          <w:sz w:val="24"/>
        </w:rPr>
        <w:t>1</w:t>
      </w:r>
      <w:r>
        <w:rPr>
          <w:rFonts w:hint="eastAsia" w:ascii="宋体" w:hAnsi="宋体"/>
          <w:sz w:val="24"/>
        </w:rPr>
        <w:t>3</w:t>
      </w:r>
      <w:r>
        <w:rPr>
          <w:rFonts w:ascii="宋体" w:hAnsi="宋体"/>
          <w:sz w:val="24"/>
        </w:rPr>
        <w:t>.4</w:t>
      </w:r>
      <w:r>
        <w:rPr>
          <w:rFonts w:hint="eastAsia" w:ascii="宋体" w:hAnsi="宋体"/>
          <w:sz w:val="24"/>
        </w:rPr>
        <w:t>谈判保证金交纳方式及其它：</w:t>
      </w:r>
    </w:p>
    <w:p>
      <w:pPr>
        <w:spacing w:line="400" w:lineRule="exact"/>
        <w:ind w:firstLine="480" w:firstLineChars="200"/>
        <w:rPr>
          <w:rFonts w:ascii="宋体" w:hAnsi="宋体"/>
          <w:sz w:val="24"/>
        </w:rPr>
      </w:pPr>
      <w:r>
        <w:rPr>
          <w:rFonts w:hint="eastAsia" w:ascii="宋体" w:hAnsi="宋体"/>
          <w:sz w:val="24"/>
        </w:rPr>
        <w:t>①谈判保证金以保证金应当采用支票、汇票、本票、网上银行支付等非现金形式交纳：且应在谈判响应截止时间前到账，否则视为未提交谈判保证金；谈判保证金到账以到截止时间时保证金系统显示为标准，未显示到账的一律视为未提交谈判保证金。</w:t>
      </w:r>
    </w:p>
    <w:p>
      <w:pPr>
        <w:pStyle w:val="10"/>
        <w:spacing w:line="400" w:lineRule="exact"/>
        <w:ind w:firstLine="480" w:firstLineChars="200"/>
        <w:jc w:val="left"/>
        <w:rPr>
          <w:rFonts w:hAnsi="宋体"/>
          <w:sz w:val="24"/>
        </w:rPr>
      </w:pPr>
      <w:r>
        <w:rPr>
          <w:rFonts w:hint="eastAsia" w:hAnsi="宋体"/>
          <w:sz w:val="24"/>
        </w:rPr>
        <w:t>②若项目存在分包的，则谈判保证金应按不同的合同包号分别提交。</w:t>
      </w:r>
    </w:p>
    <w:p>
      <w:pPr>
        <w:pStyle w:val="10"/>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.5 未按</w:t>
      </w:r>
      <w:r>
        <w:rPr>
          <w:rFonts w:hint="eastAsia" w:hAnsi="宋体"/>
          <w:sz w:val="24"/>
        </w:rPr>
        <w:t>要求</w:t>
      </w:r>
      <w:r>
        <w:rPr>
          <w:rFonts w:hAnsi="宋体"/>
          <w:sz w:val="24"/>
        </w:rPr>
        <w:t>提交谈判保证金的</w:t>
      </w:r>
      <w:r>
        <w:rPr>
          <w:rFonts w:hint="eastAsia" w:hAnsi="宋体"/>
          <w:sz w:val="24"/>
        </w:rPr>
        <w:t>谈判响应</w:t>
      </w:r>
      <w:r>
        <w:rPr>
          <w:rFonts w:hAnsi="宋体"/>
          <w:sz w:val="24"/>
        </w:rPr>
        <w:t>，将被视为无效</w:t>
      </w:r>
      <w:r>
        <w:rPr>
          <w:rFonts w:hint="eastAsia" w:hAnsi="宋体"/>
          <w:sz w:val="24"/>
        </w:rPr>
        <w:t>响应</w:t>
      </w:r>
      <w:r>
        <w:rPr>
          <w:rFonts w:hAnsi="宋体"/>
          <w:sz w:val="24"/>
        </w:rPr>
        <w:t>。</w:t>
      </w:r>
    </w:p>
    <w:p>
      <w:pPr>
        <w:pStyle w:val="10"/>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 xml:space="preserve">.6 </w:t>
      </w:r>
      <w:r>
        <w:rPr>
          <w:rFonts w:hint="eastAsia" w:hAnsi="宋体"/>
          <w:sz w:val="24"/>
        </w:rPr>
        <w:t>采购代理机构将在成交通知书发出之日起5个工作日内予以原额无息退还未成交供应商的谈判保证金。</w:t>
      </w:r>
    </w:p>
    <w:p>
      <w:pPr>
        <w:pStyle w:val="10"/>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.7</w:t>
      </w:r>
      <w:r>
        <w:rPr>
          <w:rFonts w:hint="eastAsia" w:hAnsi="宋体"/>
          <w:sz w:val="24"/>
        </w:rPr>
        <w:t>在</w:t>
      </w:r>
      <w:r>
        <w:rPr>
          <w:rFonts w:hAnsi="宋体"/>
          <w:sz w:val="24"/>
        </w:rPr>
        <w:t>成交供应商</w:t>
      </w:r>
      <w:r>
        <w:rPr>
          <w:rFonts w:hint="eastAsia" w:hAnsi="宋体"/>
          <w:sz w:val="24"/>
        </w:rPr>
        <w:t>支付所有采购代理服务费并签订合同后5个工作日内，采购代理机构对成交供应商的谈判保证金予以原额无息退还</w:t>
      </w:r>
      <w:r>
        <w:rPr>
          <w:rFonts w:hAnsi="宋体"/>
          <w:sz w:val="24"/>
        </w:rPr>
        <w:t>。</w:t>
      </w:r>
    </w:p>
    <w:p>
      <w:pPr>
        <w:pStyle w:val="10"/>
        <w:spacing w:line="400" w:lineRule="exact"/>
        <w:ind w:firstLine="480" w:firstLineChars="200"/>
        <w:jc w:val="left"/>
        <w:rPr>
          <w:rFonts w:hAnsi="宋体"/>
          <w:sz w:val="24"/>
        </w:rPr>
      </w:pPr>
      <w:r>
        <w:rPr>
          <w:rFonts w:hint="eastAsia" w:hAnsi="宋体"/>
          <w:sz w:val="24"/>
        </w:rPr>
        <w:t>13.8</w:t>
      </w:r>
      <w:r>
        <w:rPr>
          <w:rFonts w:hAnsi="宋体"/>
          <w:sz w:val="24"/>
        </w:rPr>
        <w:t xml:space="preserve"> 发生以下情况</w:t>
      </w:r>
      <w:r>
        <w:rPr>
          <w:rFonts w:hint="eastAsia" w:hAnsi="宋体"/>
          <w:sz w:val="24"/>
        </w:rPr>
        <w:t>之一的，</w:t>
      </w:r>
      <w:r>
        <w:rPr>
          <w:rFonts w:hAnsi="宋体"/>
          <w:sz w:val="24"/>
        </w:rPr>
        <w:t>谈判保证金将</w:t>
      </w:r>
      <w:r>
        <w:rPr>
          <w:rFonts w:hint="eastAsia" w:hAnsi="宋体"/>
          <w:sz w:val="24"/>
        </w:rPr>
        <w:t>不予退还，由采购代理机构上缴财政部门：</w:t>
      </w:r>
    </w:p>
    <w:p>
      <w:pPr>
        <w:pStyle w:val="10"/>
        <w:spacing w:line="400" w:lineRule="exact"/>
        <w:jc w:val="left"/>
        <w:rPr>
          <w:rFonts w:hAnsi="宋体"/>
          <w:sz w:val="24"/>
        </w:rPr>
      </w:pPr>
      <w:r>
        <w:rPr>
          <w:rFonts w:hAnsi="宋体"/>
          <w:sz w:val="24"/>
        </w:rPr>
        <w:t>（1）谈判响应供应商</w:t>
      </w:r>
      <w:r>
        <w:rPr>
          <w:rFonts w:hint="eastAsia" w:hAnsi="宋体"/>
          <w:sz w:val="24"/>
        </w:rPr>
        <w:t>提交最后报价后，</w:t>
      </w:r>
      <w:r>
        <w:rPr>
          <w:rFonts w:hAnsi="宋体"/>
          <w:sz w:val="24"/>
        </w:rPr>
        <w:t>撤回</w:t>
      </w:r>
      <w:r>
        <w:rPr>
          <w:rFonts w:hint="eastAsia" w:hAnsi="宋体"/>
          <w:sz w:val="24"/>
        </w:rPr>
        <w:t>谈判响应</w:t>
      </w:r>
      <w:r>
        <w:rPr>
          <w:rFonts w:hAnsi="宋体"/>
          <w:sz w:val="24"/>
        </w:rPr>
        <w:t>；</w:t>
      </w:r>
    </w:p>
    <w:p>
      <w:pPr>
        <w:pStyle w:val="10"/>
        <w:spacing w:line="400" w:lineRule="exact"/>
        <w:jc w:val="left"/>
        <w:rPr>
          <w:rFonts w:hAnsi="宋体"/>
          <w:sz w:val="24"/>
        </w:rPr>
      </w:pPr>
      <w:r>
        <w:rPr>
          <w:rFonts w:hAnsi="宋体"/>
          <w:sz w:val="24"/>
        </w:rPr>
        <w:t xml:space="preserve"> （2）</w:t>
      </w:r>
      <w:r>
        <w:rPr>
          <w:rFonts w:hint="eastAsia" w:hAnsi="宋体"/>
          <w:sz w:val="24"/>
        </w:rPr>
        <w:t>除因不可抗力或谈判文件认可的情形外，</w:t>
      </w:r>
      <w:r>
        <w:rPr>
          <w:rFonts w:hAnsi="宋体"/>
          <w:sz w:val="24"/>
        </w:rPr>
        <w:t>成交供应商未能做到按本须知规定签订合同</w:t>
      </w:r>
      <w:r>
        <w:rPr>
          <w:rFonts w:hint="eastAsia" w:hAnsi="宋体"/>
          <w:sz w:val="24"/>
        </w:rPr>
        <w:t>的</w:t>
      </w:r>
      <w:r>
        <w:rPr>
          <w:rFonts w:hAnsi="宋体"/>
          <w:sz w:val="24"/>
        </w:rPr>
        <w:t>；</w:t>
      </w:r>
    </w:p>
    <w:p>
      <w:pPr>
        <w:pStyle w:val="10"/>
        <w:spacing w:line="400" w:lineRule="exact"/>
        <w:jc w:val="left"/>
        <w:rPr>
          <w:rFonts w:hAnsi="宋体"/>
          <w:sz w:val="24"/>
        </w:rPr>
      </w:pPr>
      <w:r>
        <w:rPr>
          <w:rFonts w:hAnsi="宋体"/>
          <w:sz w:val="24"/>
        </w:rPr>
        <w:t xml:space="preserve"> （3）</w:t>
      </w:r>
      <w:r>
        <w:rPr>
          <w:rFonts w:hint="eastAsia" w:hAnsi="宋体"/>
          <w:sz w:val="24"/>
        </w:rPr>
        <w:t>以他人名义参与谈判响应或者以其他方式弄虚作假，骗取成交的；</w:t>
      </w:r>
    </w:p>
    <w:p>
      <w:pPr>
        <w:pStyle w:val="10"/>
        <w:spacing w:line="400" w:lineRule="exact"/>
        <w:jc w:val="left"/>
        <w:rPr>
          <w:rFonts w:hAnsi="宋体"/>
          <w:sz w:val="24"/>
        </w:rPr>
      </w:pPr>
      <w:r>
        <w:rPr>
          <w:rFonts w:hint="eastAsia" w:hAnsi="宋体"/>
          <w:sz w:val="24"/>
        </w:rPr>
        <w:t xml:space="preserve">   （4）谈判响应供应商在响应文件中提供虚假材料的；</w:t>
      </w:r>
    </w:p>
    <w:p>
      <w:pPr>
        <w:pStyle w:val="10"/>
        <w:spacing w:line="400" w:lineRule="exact"/>
        <w:ind w:firstLine="360" w:firstLineChars="150"/>
        <w:jc w:val="left"/>
        <w:rPr>
          <w:rFonts w:hAnsi="宋体"/>
          <w:sz w:val="24"/>
        </w:rPr>
      </w:pPr>
      <w:r>
        <w:rPr>
          <w:rFonts w:hint="eastAsia" w:hAnsi="宋体"/>
          <w:sz w:val="24"/>
        </w:rPr>
        <w:t>（5）在禁止参加政府采购活动的处罚期内，仍参加政府采购活动的；</w:t>
      </w:r>
    </w:p>
    <w:p>
      <w:pPr>
        <w:pStyle w:val="10"/>
        <w:spacing w:line="400" w:lineRule="exact"/>
        <w:ind w:firstLine="360" w:firstLineChars="150"/>
        <w:jc w:val="left"/>
        <w:rPr>
          <w:rFonts w:hAnsi="宋体"/>
          <w:sz w:val="24"/>
        </w:rPr>
      </w:pPr>
      <w:r>
        <w:rPr>
          <w:rFonts w:hint="eastAsia" w:hAnsi="宋体"/>
          <w:sz w:val="24"/>
        </w:rPr>
        <w:t>（6）以不正当手段诋毁、排挤其他供应商的；</w:t>
      </w:r>
    </w:p>
    <w:p>
      <w:pPr>
        <w:pStyle w:val="10"/>
        <w:spacing w:line="400" w:lineRule="exact"/>
        <w:ind w:firstLine="360" w:firstLineChars="150"/>
        <w:jc w:val="left"/>
        <w:rPr>
          <w:rFonts w:hAnsi="宋体"/>
          <w:sz w:val="24"/>
        </w:rPr>
      </w:pPr>
      <w:r>
        <w:rPr>
          <w:rFonts w:hint="eastAsia" w:hAnsi="宋体"/>
          <w:sz w:val="24"/>
        </w:rPr>
        <w:t>（7）因本项目政府采购过程中的违法行为，受到行政处罚的；</w:t>
      </w:r>
    </w:p>
    <w:p>
      <w:pPr>
        <w:pStyle w:val="10"/>
        <w:spacing w:line="400" w:lineRule="exact"/>
        <w:ind w:firstLine="360" w:firstLineChars="150"/>
        <w:jc w:val="left"/>
        <w:rPr>
          <w:rFonts w:hAnsi="宋体"/>
          <w:sz w:val="24"/>
        </w:rPr>
      </w:pPr>
      <w:r>
        <w:rPr>
          <w:rFonts w:hint="eastAsia" w:hAnsi="宋体"/>
          <w:sz w:val="24"/>
        </w:rPr>
        <w:t>（8）与采购人、其他供应商或者采购代理机构恶意串通的；</w:t>
      </w:r>
    </w:p>
    <w:p>
      <w:pPr>
        <w:pStyle w:val="10"/>
        <w:spacing w:line="400" w:lineRule="exact"/>
        <w:ind w:firstLine="360" w:firstLineChars="150"/>
        <w:rPr>
          <w:rFonts w:hAnsi="宋体"/>
          <w:sz w:val="24"/>
        </w:rPr>
      </w:pPr>
      <w:r>
        <w:rPr>
          <w:rFonts w:hint="eastAsia" w:hAnsi="宋体"/>
          <w:sz w:val="24"/>
        </w:rPr>
        <w:t>（9）法律、法规、规章及本谈判文件中规定的其他没收谈判保证金的情形。</w:t>
      </w:r>
    </w:p>
    <w:p>
      <w:pPr>
        <w:pStyle w:val="10"/>
        <w:spacing w:line="400" w:lineRule="exact"/>
        <w:ind w:firstLine="480" w:firstLineChars="200"/>
        <w:rPr>
          <w:rFonts w:hAnsi="宋体"/>
          <w:sz w:val="24"/>
        </w:rPr>
      </w:pPr>
      <w:r>
        <w:rPr>
          <w:rFonts w:hint="eastAsia" w:hAnsi="宋体"/>
          <w:sz w:val="24"/>
        </w:rPr>
        <w:t>上述不予退还谈判保证金的情形给采购单位造成损失的，相关责任人还应当承担赔偿责任。</w:t>
      </w:r>
    </w:p>
    <w:p>
      <w:pPr>
        <w:pStyle w:val="10"/>
        <w:spacing w:line="400" w:lineRule="exact"/>
        <w:ind w:firstLine="480" w:firstLineChars="200"/>
        <w:rPr>
          <w:rFonts w:hAnsi="宋体"/>
          <w:sz w:val="24"/>
        </w:rPr>
      </w:pPr>
      <w:r>
        <w:rPr>
          <w:rFonts w:hint="eastAsia" w:hAnsi="宋体"/>
          <w:sz w:val="24"/>
        </w:rPr>
        <w:t>13.9网上缴纳保证金流程</w:t>
      </w:r>
    </w:p>
    <w:p>
      <w:pPr>
        <w:pStyle w:val="10"/>
        <w:spacing w:line="400" w:lineRule="exact"/>
        <w:ind w:firstLine="480" w:firstLineChars="200"/>
        <w:rPr>
          <w:rFonts w:hAnsi="宋体"/>
          <w:sz w:val="24"/>
        </w:rPr>
      </w:pPr>
      <w:r>
        <w:rPr>
          <w:rFonts w:hint="eastAsia" w:hAnsi="宋体"/>
          <w:sz w:val="24"/>
        </w:rPr>
        <w:t>1.线上报名获取缴纳随机码</w:t>
      </w:r>
    </w:p>
    <w:p>
      <w:pPr>
        <w:pStyle w:val="10"/>
        <w:spacing w:line="400" w:lineRule="exact"/>
        <w:ind w:firstLine="480" w:firstLineChars="200"/>
        <w:rPr>
          <w:rFonts w:hAnsi="宋体"/>
          <w:sz w:val="24"/>
        </w:rPr>
      </w:pPr>
      <w:r>
        <w:rPr>
          <w:rFonts w:hint="eastAsia" w:hAnsi="宋体"/>
          <w:sz w:val="24"/>
        </w:rPr>
        <w:t>·登录公共资源电子交易系统（jyzx.trs.gov.cn）</w:t>
      </w:r>
    </w:p>
    <w:p>
      <w:pPr>
        <w:pStyle w:val="10"/>
        <w:spacing w:line="400" w:lineRule="exact"/>
        <w:ind w:firstLine="480" w:firstLineChars="200"/>
        <w:rPr>
          <w:rFonts w:hAnsi="宋体"/>
          <w:sz w:val="24"/>
        </w:rPr>
      </w:pPr>
      <w:r>
        <w:rPr>
          <w:rFonts w:hint="eastAsia" w:hAnsi="宋体"/>
          <w:sz w:val="24"/>
        </w:rPr>
        <w:t>·进入【业务管理】-【填写投标信息】 搜索或直接找到拟报名项目，点【操作】按钮，进入该项目报名页面。</w:t>
      </w:r>
    </w:p>
    <w:p>
      <w:pPr>
        <w:pStyle w:val="10"/>
        <w:spacing w:line="400" w:lineRule="exact"/>
        <w:ind w:firstLine="480" w:firstLineChars="200"/>
        <w:rPr>
          <w:rFonts w:hAnsi="宋体"/>
          <w:sz w:val="24"/>
        </w:rPr>
      </w:pPr>
      <w:r>
        <w:rPr>
          <w:rFonts w:hint="eastAsia" w:hAnsi="宋体"/>
          <w:sz w:val="24"/>
        </w:rPr>
        <w:t>·进入报名页面 填写完报名信息后（带★号为必填项），点左上角【保存修改】按钮。</w:t>
      </w:r>
    </w:p>
    <w:p>
      <w:pPr>
        <w:pStyle w:val="10"/>
        <w:spacing w:line="400" w:lineRule="exact"/>
        <w:ind w:firstLine="480" w:firstLineChars="200"/>
        <w:rPr>
          <w:rFonts w:hAnsi="宋体"/>
          <w:sz w:val="24"/>
        </w:rPr>
      </w:pPr>
      <w:r>
        <w:rPr>
          <w:rFonts w:hint="eastAsia" w:hAnsi="宋体"/>
          <w:sz w:val="24"/>
        </w:rPr>
        <w:t>· 报名成功后 在该页面会生成【保证金缴纳随机码】，务必记录留存备用。该随机码一旦生成，即使修改报名信息，也不可更改。</w:t>
      </w:r>
    </w:p>
    <w:p>
      <w:pPr>
        <w:pStyle w:val="10"/>
        <w:spacing w:line="400" w:lineRule="exact"/>
        <w:ind w:firstLine="480" w:firstLineChars="200"/>
        <w:rPr>
          <w:rFonts w:hAnsi="宋体"/>
          <w:sz w:val="24"/>
        </w:rPr>
      </w:pPr>
      <w:r>
        <w:rPr>
          <w:rFonts w:hint="eastAsia" w:hAnsi="宋体"/>
          <w:sz w:val="24"/>
        </w:rPr>
        <w:t>2.缴纳保证金</w:t>
      </w:r>
    </w:p>
    <w:p>
      <w:pPr>
        <w:pStyle w:val="10"/>
        <w:spacing w:line="400" w:lineRule="exact"/>
        <w:ind w:firstLine="480" w:firstLineChars="200"/>
        <w:rPr>
          <w:rFonts w:hAnsi="宋体"/>
          <w:sz w:val="24"/>
        </w:rPr>
      </w:pPr>
      <w:r>
        <w:rPr>
          <w:rFonts w:hint="eastAsia" w:hAnsi="宋体"/>
          <w:sz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pStyle w:val="10"/>
        <w:spacing w:line="400" w:lineRule="exact"/>
        <w:ind w:firstLine="480" w:firstLineChars="200"/>
        <w:rPr>
          <w:rFonts w:hAnsi="宋体"/>
          <w:sz w:val="24"/>
        </w:rPr>
      </w:pPr>
      <w:r>
        <w:rPr>
          <w:rFonts w:hint="eastAsia" w:hAnsi="宋体"/>
          <w:sz w:val="24"/>
        </w:rPr>
        <w:t>·不论何种渠道转款（不可用现金转账），转款备注（用途）栏唯一必填报名时生成获取的【保证金缴纳随机码】；</w:t>
      </w:r>
    </w:p>
    <w:p>
      <w:pPr>
        <w:pStyle w:val="10"/>
        <w:spacing w:line="400" w:lineRule="exact"/>
        <w:ind w:firstLine="480" w:firstLineChars="200"/>
        <w:rPr>
          <w:rFonts w:hAnsi="宋体"/>
          <w:sz w:val="24"/>
        </w:rPr>
      </w:pPr>
      <w:r>
        <w:rPr>
          <w:rFonts w:hint="eastAsia" w:hAnsi="宋体"/>
          <w:sz w:val="24"/>
        </w:rPr>
        <w:t>·打款账户信息与中心注册不一致、备注栏为空、书写其他（XX项目保证金之类）、随机码填写错误，均会造成保证金无法匹配进交易系统。</w:t>
      </w:r>
    </w:p>
    <w:p>
      <w:pPr>
        <w:pStyle w:val="10"/>
        <w:spacing w:line="400" w:lineRule="exact"/>
        <w:ind w:firstLine="480" w:firstLineChars="200"/>
        <w:rPr>
          <w:rFonts w:hAnsi="宋体"/>
          <w:sz w:val="24"/>
        </w:rPr>
      </w:pPr>
      <w:r>
        <w:rPr>
          <w:rFonts w:hint="eastAsia" w:hAnsi="宋体"/>
          <w:sz w:val="24"/>
        </w:rPr>
        <w:t>3.打印回执</w:t>
      </w:r>
    </w:p>
    <w:p>
      <w:pPr>
        <w:pStyle w:val="10"/>
        <w:spacing w:line="400" w:lineRule="exact"/>
        <w:ind w:firstLine="480" w:firstLineChars="200"/>
        <w:rPr>
          <w:rFonts w:hAnsi="宋体"/>
          <w:sz w:val="24"/>
        </w:rPr>
      </w:pPr>
      <w:r>
        <w:rPr>
          <w:rFonts w:hint="eastAsia" w:hAnsi="宋体"/>
          <w:sz w:val="24"/>
        </w:rPr>
        <w:t>·进入【业务管理】-【查询投标保证金缴纳情况】 搜索或直接找到项目，查看【缴纳状态】，如支付成功，将显示“已缴纳保证金”  。</w:t>
      </w:r>
    </w:p>
    <w:p>
      <w:pPr>
        <w:pStyle w:val="10"/>
        <w:spacing w:line="400" w:lineRule="exact"/>
        <w:ind w:firstLine="480" w:firstLineChars="200"/>
        <w:rPr>
          <w:rFonts w:hAnsi="宋体"/>
          <w:sz w:val="24"/>
        </w:rPr>
      </w:pPr>
      <w:r>
        <w:rPr>
          <w:rFonts w:hint="eastAsia" w:hAnsi="宋体"/>
          <w:sz w:val="24"/>
        </w:rPr>
        <w:t>·点【打印保证金回执单】按钮，查看确认到账回执信息，打印留存备用。</w:t>
      </w:r>
    </w:p>
    <w:p>
      <w:pPr>
        <w:pStyle w:val="10"/>
        <w:spacing w:line="400" w:lineRule="exact"/>
        <w:jc w:val="left"/>
        <w:rPr>
          <w:rFonts w:hAnsi="宋体"/>
          <w:b/>
          <w:sz w:val="24"/>
        </w:rPr>
      </w:pPr>
      <w:r>
        <w:rPr>
          <w:rFonts w:hint="eastAsia" w:hAnsi="宋体"/>
          <w:b/>
          <w:sz w:val="24"/>
        </w:rPr>
        <w:t>14</w:t>
      </w:r>
      <w:r>
        <w:rPr>
          <w:rFonts w:hAnsi="宋体"/>
          <w:b/>
          <w:sz w:val="24"/>
        </w:rPr>
        <w:t>.</w:t>
      </w:r>
      <w:r>
        <w:rPr>
          <w:rFonts w:hint="eastAsia" w:hAnsi="宋体"/>
          <w:b/>
          <w:sz w:val="24"/>
        </w:rPr>
        <w:t>谈判响应文件的格式</w:t>
      </w:r>
    </w:p>
    <w:p>
      <w:pPr>
        <w:pStyle w:val="10"/>
        <w:spacing w:line="400" w:lineRule="exact"/>
        <w:ind w:firstLine="480" w:firstLineChars="200"/>
        <w:jc w:val="left"/>
        <w:rPr>
          <w:rFonts w:hAnsi="宋体"/>
          <w:color w:val="FF0000"/>
          <w:sz w:val="24"/>
        </w:rPr>
      </w:pPr>
      <w:r>
        <w:rPr>
          <w:rFonts w:hint="eastAsia" w:hAnsi="宋体"/>
          <w:sz w:val="24"/>
        </w:rPr>
        <w:t>14.</w:t>
      </w:r>
      <w:r>
        <w:rPr>
          <w:rFonts w:hAnsi="宋体"/>
          <w:sz w:val="24"/>
        </w:rPr>
        <w:t>1</w:t>
      </w:r>
      <w:r>
        <w:rPr>
          <w:rFonts w:hint="eastAsia" w:hAnsi="宋体"/>
          <w:color w:val="FF0000"/>
          <w:sz w:val="24"/>
        </w:rPr>
        <w:t>投标人应将投标文件用密封袋密封，正、副本一起封装，单独封装亦可，投标文件密封袋及正文封面均应注明“正本”“副本”。正副本信封及投标文件封面均应写明项目名称、招标编号、投标人名称、地址、联系人及联系人电话，并加盖投标单位公章。</w:t>
      </w:r>
    </w:p>
    <w:p>
      <w:pPr>
        <w:pStyle w:val="10"/>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.2响应文件应由谈判响应供应商的法定代表人或其授权代表签字并加盖公章</w:t>
      </w:r>
      <w:r>
        <w:rPr>
          <w:rFonts w:hint="eastAsia" w:hAnsi="宋体"/>
          <w:sz w:val="24"/>
        </w:rPr>
        <w:t>，如由后者签字，应提供“法定代表人授权委托书”。</w:t>
      </w:r>
    </w:p>
    <w:p>
      <w:pPr>
        <w:pStyle w:val="10"/>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.3</w:t>
      </w:r>
      <w:r>
        <w:rPr>
          <w:rFonts w:hint="eastAsia" w:hAnsi="宋体"/>
          <w:sz w:val="24"/>
        </w:rPr>
        <w:t>除非另有规定或许可，谈判响应使用货币为人民币。</w:t>
      </w:r>
    </w:p>
    <w:p>
      <w:pPr>
        <w:pStyle w:val="10"/>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.4谈判响应供应商应提交证明其拟供货物</w:t>
      </w:r>
      <w:r>
        <w:rPr>
          <w:rFonts w:hint="eastAsia" w:hAnsi="宋体"/>
          <w:sz w:val="24"/>
        </w:rPr>
        <w:t>、服务、工程</w:t>
      </w:r>
      <w:r>
        <w:rPr>
          <w:rFonts w:hAnsi="宋体"/>
          <w:sz w:val="24"/>
        </w:rPr>
        <w:t>符合谈判文件要求的技术响应文件，该文件可以是文字资料、图纸和数据，并须提供货物</w:t>
      </w:r>
      <w:r>
        <w:rPr>
          <w:rFonts w:hint="eastAsia" w:hAnsi="宋体"/>
          <w:sz w:val="24"/>
        </w:rPr>
        <w:t>、服务、工程</w:t>
      </w:r>
      <w:r>
        <w:rPr>
          <w:rFonts w:hAnsi="宋体"/>
          <w:sz w:val="24"/>
        </w:rPr>
        <w:t>主要技术性能的详细描述。</w:t>
      </w:r>
    </w:p>
    <w:p>
      <w:pPr>
        <w:pStyle w:val="10"/>
        <w:spacing w:line="400" w:lineRule="exact"/>
        <w:ind w:firstLine="480" w:firstLineChars="200"/>
        <w:jc w:val="left"/>
        <w:rPr>
          <w:rFonts w:hAnsi="宋体"/>
          <w:sz w:val="24"/>
        </w:rPr>
      </w:pPr>
      <w:r>
        <w:rPr>
          <w:rFonts w:hint="eastAsia" w:hAnsi="宋体"/>
          <w:sz w:val="24"/>
        </w:rPr>
        <w:t>14.5谈判文件的正本和全部副本均应使用不能擦去的墨料或墨水打印、书写或复印，并由法定代表人或其授权代表签署，盖谈判响应供应商公章。</w:t>
      </w:r>
    </w:p>
    <w:p>
      <w:pPr>
        <w:pStyle w:val="28"/>
        <w:spacing w:line="400" w:lineRule="exact"/>
        <w:ind w:firstLine="480" w:firstLineChars="200"/>
        <w:outlineLvl w:val="9"/>
        <w:rPr>
          <w:rFonts w:hAnsi="宋体"/>
          <w:sz w:val="24"/>
        </w:rPr>
      </w:pPr>
      <w:r>
        <w:rPr>
          <w:rFonts w:hint="eastAsia" w:hAnsi="宋体"/>
          <w:sz w:val="24"/>
        </w:rPr>
        <w:t>14.6 全套响应文件应无涂改和行间插字，除非这些改动是根据采购代理机构的指示进行的，或者是为改正谈判响应供应商造成的必须修改的错误而进行的。有改动时，修改处应由法定代表人或授权代表签字证明或加盖谈判响应供应商公章。</w:t>
      </w:r>
    </w:p>
    <w:p>
      <w:pPr>
        <w:pStyle w:val="28"/>
        <w:spacing w:line="400" w:lineRule="exact"/>
        <w:ind w:firstLine="480" w:firstLineChars="200"/>
        <w:outlineLvl w:val="9"/>
        <w:rPr>
          <w:rFonts w:hAnsi="宋体"/>
          <w:sz w:val="24"/>
        </w:rPr>
      </w:pPr>
      <w:r>
        <w:rPr>
          <w:rFonts w:hint="eastAsia" w:hAnsi="宋体"/>
          <w:sz w:val="24"/>
        </w:rPr>
        <w:t>14.7未按本须知规定的格式填写响应文件、响应文件字迹模糊不清的，其谈判响应将被拒绝。</w:t>
      </w:r>
    </w:p>
    <w:p>
      <w:pPr>
        <w:pStyle w:val="28"/>
        <w:spacing w:line="400" w:lineRule="exact"/>
        <w:ind w:firstLine="480" w:firstLineChars="200"/>
        <w:outlineLvl w:val="9"/>
        <w:rPr>
          <w:rFonts w:hAnsi="宋体"/>
          <w:sz w:val="24"/>
        </w:rPr>
      </w:pPr>
      <w:r>
        <w:rPr>
          <w:rFonts w:hint="eastAsia" w:hAnsi="宋体"/>
          <w:sz w:val="24"/>
        </w:rPr>
        <w:t>14.8 所有资格证明文件复印件须加盖谈判响应供应商公章。</w:t>
      </w:r>
    </w:p>
    <w:p>
      <w:pPr>
        <w:pStyle w:val="28"/>
        <w:spacing w:line="400" w:lineRule="exact"/>
        <w:ind w:firstLine="480" w:firstLineChars="200"/>
        <w:outlineLvl w:val="9"/>
        <w:rPr>
          <w:rFonts w:hAnsi="宋体"/>
          <w:sz w:val="24"/>
        </w:rPr>
      </w:pPr>
      <w:r>
        <w:rPr>
          <w:rFonts w:hint="eastAsia" w:hAnsi="宋体"/>
          <w:sz w:val="24"/>
        </w:rPr>
        <w:t>14.9谈判响应供应商应将上述文件按顺序装订成册、打印页码，并编列响应文件目录、资料清单，由于装订不规范或编排顺序混乱而导致响应文件被误读或漏读，该谈判响应可能被视为无效响应或承担不利的评审结果。</w:t>
      </w:r>
    </w:p>
    <w:p>
      <w:pPr>
        <w:pStyle w:val="28"/>
        <w:spacing w:line="400" w:lineRule="exact"/>
        <w:ind w:firstLine="482" w:firstLineChars="200"/>
        <w:jc w:val="center"/>
        <w:outlineLvl w:val="9"/>
        <w:rPr>
          <w:rFonts w:hAnsi="宋体"/>
          <w:b/>
          <w:sz w:val="24"/>
        </w:rPr>
      </w:pPr>
    </w:p>
    <w:p>
      <w:pPr>
        <w:pStyle w:val="28"/>
        <w:spacing w:line="400" w:lineRule="exact"/>
        <w:ind w:firstLine="482" w:firstLineChars="200"/>
        <w:jc w:val="center"/>
        <w:outlineLvl w:val="9"/>
        <w:rPr>
          <w:rFonts w:hAnsi="宋体"/>
          <w:b/>
          <w:sz w:val="24"/>
        </w:rPr>
      </w:pPr>
      <w:r>
        <w:rPr>
          <w:rFonts w:hint="eastAsia" w:hAnsi="宋体"/>
          <w:b/>
          <w:sz w:val="24"/>
        </w:rPr>
        <w:t>四、响应文件的提交</w:t>
      </w:r>
    </w:p>
    <w:p>
      <w:pPr>
        <w:pStyle w:val="28"/>
        <w:spacing w:line="400" w:lineRule="exact"/>
        <w:outlineLvl w:val="9"/>
        <w:rPr>
          <w:rFonts w:hAnsi="宋体"/>
          <w:b/>
          <w:sz w:val="24"/>
        </w:rPr>
      </w:pPr>
      <w:r>
        <w:rPr>
          <w:rFonts w:hint="eastAsia" w:hAnsi="宋体"/>
          <w:b/>
          <w:sz w:val="24"/>
        </w:rPr>
        <w:t>15.响应文件的密封、标记和递交</w:t>
      </w:r>
    </w:p>
    <w:p>
      <w:pPr>
        <w:pStyle w:val="28"/>
        <w:spacing w:line="400" w:lineRule="exact"/>
        <w:ind w:firstLine="480" w:firstLineChars="200"/>
        <w:outlineLvl w:val="9"/>
        <w:rPr>
          <w:rFonts w:hAnsi="宋体"/>
          <w:color w:val="FF0000"/>
          <w:sz w:val="24"/>
        </w:rPr>
      </w:pPr>
      <w:r>
        <w:rPr>
          <w:rFonts w:hint="eastAsia" w:hAnsi="宋体"/>
          <w:color w:val="FF0000"/>
          <w:sz w:val="24"/>
        </w:rPr>
        <w:t>15.1 谈判响应供应商应将响应文件正本和副本分别用信封密封或者正副本密封于一个密封袋，并标明谈判文件编号、谈判响应供应商名称、采购项目名称及“正本”或“副本”，请加盖谈判响应供应商公章。响应文件未密封可导致其谈判被拒绝。</w:t>
      </w:r>
    </w:p>
    <w:p>
      <w:pPr>
        <w:pStyle w:val="10"/>
        <w:spacing w:line="400" w:lineRule="exact"/>
        <w:ind w:firstLine="480" w:firstLineChars="200"/>
        <w:jc w:val="left"/>
        <w:rPr>
          <w:rFonts w:hAnsi="宋体"/>
          <w:sz w:val="24"/>
        </w:rPr>
      </w:pPr>
      <w:r>
        <w:rPr>
          <w:rFonts w:hAnsi="宋体"/>
          <w:sz w:val="24"/>
        </w:rPr>
        <w:t>1</w:t>
      </w:r>
      <w:r>
        <w:rPr>
          <w:rFonts w:hint="eastAsia" w:hAnsi="宋体"/>
          <w:sz w:val="24"/>
        </w:rPr>
        <w:t>5.2</w:t>
      </w:r>
      <w:r>
        <w:rPr>
          <w:rFonts w:hAnsi="宋体"/>
          <w:sz w:val="24"/>
        </w:rPr>
        <w:t xml:space="preserve"> 如果未按上述规定进行密封和标记，采购代理机构</w:t>
      </w:r>
      <w:r>
        <w:rPr>
          <w:rFonts w:hint="eastAsia" w:hAnsi="宋体"/>
          <w:sz w:val="24"/>
        </w:rPr>
        <w:t>将不承担由此造成的对响应文件的误投或提前拆封的责任。</w:t>
      </w:r>
    </w:p>
    <w:p>
      <w:pPr>
        <w:pStyle w:val="28"/>
        <w:spacing w:line="400" w:lineRule="exact"/>
        <w:ind w:firstLine="480" w:firstLineChars="200"/>
        <w:outlineLvl w:val="9"/>
        <w:rPr>
          <w:rFonts w:hAnsi="宋体"/>
          <w:sz w:val="24"/>
        </w:rPr>
      </w:pPr>
      <w:r>
        <w:rPr>
          <w:rFonts w:hint="eastAsia" w:hAnsi="宋体"/>
          <w:sz w:val="24"/>
        </w:rPr>
        <w:t>15.3响应文件应在谈判邀请中规定的截止时间前送达，迟到的响应文件为无效响应文件，将被拒绝。</w:t>
      </w:r>
    </w:p>
    <w:p>
      <w:pPr>
        <w:pStyle w:val="28"/>
        <w:spacing w:line="400" w:lineRule="exact"/>
        <w:ind w:firstLine="480" w:firstLineChars="200"/>
        <w:outlineLvl w:val="9"/>
        <w:rPr>
          <w:rFonts w:hAnsi="宋体"/>
          <w:sz w:val="24"/>
        </w:rPr>
      </w:pPr>
      <w:r>
        <w:rPr>
          <w:rFonts w:hint="eastAsia" w:hAnsi="宋体"/>
          <w:sz w:val="24"/>
        </w:rPr>
        <w:t>15.4谈判响应供应商在谈判响应截止时间前，可以对所提交的谈判文件进行修改或者撤回，并书面通知采购代理机构。修改的内容和撤回通知应当按本须知要求签署、盖章、密封，并作为响应文件的组成部分。</w:t>
      </w:r>
    </w:p>
    <w:p>
      <w:pPr>
        <w:pStyle w:val="28"/>
        <w:spacing w:line="400" w:lineRule="exact"/>
        <w:ind w:firstLine="480" w:firstLineChars="200"/>
        <w:outlineLvl w:val="9"/>
        <w:rPr>
          <w:rFonts w:hAnsi="宋体"/>
          <w:sz w:val="24"/>
        </w:rPr>
      </w:pPr>
      <w:r>
        <w:rPr>
          <w:rFonts w:hint="eastAsia" w:hAnsi="宋体"/>
          <w:sz w:val="24"/>
        </w:rPr>
        <w:t>15.5谈判响应供应商在谈判响应截止期后不得修改、撤回响应文件。谈判响应供应商在报价截止期后修改响应文件的，其谈判响应将被拒绝。</w:t>
      </w:r>
    </w:p>
    <w:p>
      <w:pPr>
        <w:spacing w:line="400" w:lineRule="exact"/>
        <w:ind w:firstLine="480" w:firstLineChars="200"/>
        <w:outlineLvl w:val="0"/>
        <w:rPr>
          <w:rFonts w:ascii="宋体" w:hAnsi="宋体"/>
          <w:sz w:val="24"/>
        </w:rPr>
      </w:pPr>
      <w:r>
        <w:rPr>
          <w:rFonts w:hint="eastAsia" w:hAnsi="宋体"/>
          <w:sz w:val="24"/>
        </w:rPr>
        <w:t>15.6</w:t>
      </w:r>
      <w:r>
        <w:rPr>
          <w:rFonts w:hint="eastAsia" w:ascii="宋体" w:hAnsi="宋体"/>
          <w:sz w:val="24"/>
        </w:rPr>
        <w:t>投标文件的签署、密封及规定，投标人应按照要求，准备一式</w:t>
      </w:r>
      <w:r>
        <w:rPr>
          <w:rFonts w:hint="eastAsia" w:ascii="宋体" w:hAnsi="宋体"/>
          <w:b/>
          <w:sz w:val="24"/>
          <w:u w:val="single"/>
        </w:rPr>
        <w:t>2</w:t>
      </w:r>
      <w:r>
        <w:rPr>
          <w:rFonts w:hint="eastAsia" w:ascii="宋体" w:hAnsi="宋体"/>
          <w:sz w:val="24"/>
        </w:rPr>
        <w:t>份投标书（</w:t>
      </w:r>
      <w:r>
        <w:rPr>
          <w:rFonts w:hint="eastAsia" w:ascii="宋体" w:hAnsi="宋体"/>
          <w:sz w:val="24"/>
          <w:u w:val="single"/>
        </w:rPr>
        <w:t xml:space="preserve"> 1 </w:t>
      </w:r>
      <w:r>
        <w:rPr>
          <w:rFonts w:hint="eastAsia" w:ascii="宋体" w:hAnsi="宋体"/>
          <w:sz w:val="24"/>
        </w:rPr>
        <w:t>份正本、</w:t>
      </w:r>
      <w:r>
        <w:rPr>
          <w:rFonts w:hint="eastAsia" w:ascii="宋体" w:hAnsi="宋体"/>
          <w:sz w:val="24"/>
          <w:u w:val="single"/>
        </w:rPr>
        <w:t xml:space="preserve">  1 </w:t>
      </w:r>
      <w:r>
        <w:rPr>
          <w:rFonts w:hint="eastAsia" w:ascii="宋体" w:hAnsi="宋体"/>
          <w:sz w:val="24"/>
        </w:rPr>
        <w:t>份副本），</w:t>
      </w:r>
      <w:r>
        <w:rPr>
          <w:rFonts w:hint="eastAsia" w:hAnsi="宋体"/>
          <w:color w:val="000000"/>
          <w:sz w:val="24"/>
        </w:rPr>
        <w:t>投标文件（正、副本）内容均须按页码顺序胶装成册</w:t>
      </w:r>
      <w:r>
        <w:rPr>
          <w:rFonts w:hint="eastAsia"/>
          <w:sz w:val="24"/>
          <w:lang w:val="zh-CN"/>
        </w:rPr>
        <w:t>并编制目录，并在</w:t>
      </w:r>
      <w:r>
        <w:rPr>
          <w:rFonts w:hint="eastAsia" w:hAnsi="宋体"/>
          <w:color w:val="000000"/>
          <w:sz w:val="24"/>
        </w:rPr>
        <w:t>投标文件（正、副本）内容每一页加盖投标单位</w:t>
      </w:r>
      <w:r>
        <w:rPr>
          <w:rFonts w:hint="eastAsia" w:hAnsi="宋体"/>
          <w:sz w:val="24"/>
        </w:rPr>
        <w:t>公章,</w:t>
      </w:r>
      <w:r>
        <w:rPr>
          <w:rFonts w:hint="eastAsia" w:ascii="宋体" w:hAnsi="宋体"/>
          <w:sz w:val="24"/>
        </w:rPr>
        <w:t xml:space="preserve"> 投标文件正本与副本不一致时，以正本为准。</w:t>
      </w:r>
    </w:p>
    <w:p>
      <w:pPr>
        <w:spacing w:line="400" w:lineRule="exact"/>
        <w:ind w:firstLine="480" w:firstLineChars="200"/>
        <w:rPr>
          <w:rFonts w:hAnsi="宋体"/>
          <w:sz w:val="24"/>
        </w:rPr>
      </w:pPr>
      <w:r>
        <w:rPr>
          <w:rFonts w:hint="eastAsia" w:ascii="宋体" w:hAnsi="宋体"/>
          <w:kern w:val="0"/>
          <w:sz w:val="24"/>
          <w:szCs w:val="20"/>
        </w:rPr>
        <w:t>经补充后，对谈判文件作出实质响应的供应商只有两家的，经请示行业主管部门同意后，谈判小组可以与两家供应商进行谈判。</w:t>
      </w:r>
    </w:p>
    <w:p>
      <w:pPr>
        <w:pStyle w:val="28"/>
        <w:spacing w:line="400" w:lineRule="exact"/>
        <w:ind w:firstLine="482" w:firstLineChars="200"/>
        <w:jc w:val="center"/>
        <w:outlineLvl w:val="9"/>
        <w:rPr>
          <w:rFonts w:hAnsi="宋体"/>
          <w:b/>
          <w:sz w:val="24"/>
        </w:rPr>
      </w:pPr>
      <w:r>
        <w:rPr>
          <w:rFonts w:hint="eastAsia" w:hAnsi="宋体"/>
          <w:b/>
          <w:sz w:val="24"/>
        </w:rPr>
        <w:t>五、响应文件的评估和比较</w:t>
      </w:r>
    </w:p>
    <w:p>
      <w:pPr>
        <w:pStyle w:val="10"/>
        <w:spacing w:line="400" w:lineRule="exact"/>
        <w:jc w:val="left"/>
        <w:rPr>
          <w:rFonts w:hAnsi="宋体"/>
          <w:b/>
          <w:sz w:val="24"/>
        </w:rPr>
      </w:pPr>
      <w:r>
        <w:rPr>
          <w:rFonts w:hint="eastAsia" w:hAnsi="宋体"/>
          <w:b/>
          <w:sz w:val="24"/>
        </w:rPr>
        <w:t>16.谈判时间</w:t>
      </w:r>
    </w:p>
    <w:p>
      <w:pPr>
        <w:pStyle w:val="10"/>
        <w:spacing w:line="400" w:lineRule="exact"/>
        <w:jc w:val="left"/>
        <w:rPr>
          <w:rFonts w:hAnsi="宋体"/>
          <w:sz w:val="24"/>
        </w:rPr>
      </w:pPr>
      <w:r>
        <w:rPr>
          <w:rFonts w:hint="eastAsia" w:hAnsi="宋体"/>
          <w:sz w:val="24"/>
        </w:rPr>
        <w:t xml:space="preserve"> 16.1在谈判响应供应商须知前附表中所规定的时间、地点谈判（如有推迟情形，以推迟后的时间、地点为准）。</w:t>
      </w:r>
    </w:p>
    <w:p>
      <w:pPr>
        <w:pStyle w:val="10"/>
        <w:spacing w:line="400" w:lineRule="exact"/>
        <w:jc w:val="left"/>
        <w:rPr>
          <w:rFonts w:hAnsi="宋体"/>
          <w:sz w:val="24"/>
        </w:rPr>
      </w:pPr>
      <w:r>
        <w:rPr>
          <w:rFonts w:hint="eastAsia" w:hAnsi="宋体"/>
          <w:sz w:val="24"/>
        </w:rPr>
        <w:t xml:space="preserve">    16.2谈判由采购代理机构主持，邀请采购人、谈判响应供应商和有关方面代表参加。谈判响应供应商一般应派授权代表参加谈判，并办理签到手续。</w:t>
      </w:r>
    </w:p>
    <w:p>
      <w:pPr>
        <w:pStyle w:val="10"/>
        <w:spacing w:line="400" w:lineRule="exact"/>
        <w:jc w:val="left"/>
        <w:rPr>
          <w:rFonts w:hAnsi="宋体"/>
          <w:b/>
          <w:sz w:val="24"/>
        </w:rPr>
      </w:pPr>
      <w:r>
        <w:rPr>
          <w:rFonts w:hint="eastAsia" w:hAnsi="宋体"/>
          <w:b/>
          <w:sz w:val="24"/>
        </w:rPr>
        <w:t>17.</w:t>
      </w:r>
      <w:r>
        <w:rPr>
          <w:rFonts w:hAnsi="宋体"/>
          <w:b/>
          <w:sz w:val="24"/>
        </w:rPr>
        <w:t>谈判</w:t>
      </w:r>
      <w:r>
        <w:rPr>
          <w:rFonts w:hint="eastAsia" w:hAnsi="宋体"/>
          <w:b/>
          <w:sz w:val="24"/>
        </w:rPr>
        <w:t>小组</w:t>
      </w:r>
    </w:p>
    <w:p>
      <w:pPr>
        <w:spacing w:line="400" w:lineRule="exact"/>
        <w:ind w:firstLine="480" w:firstLineChars="200"/>
        <w:rPr>
          <w:sz w:val="24"/>
          <w:szCs w:val="24"/>
        </w:rPr>
      </w:pPr>
      <w:r>
        <w:rPr>
          <w:rFonts w:hint="eastAsia"/>
          <w:sz w:val="24"/>
          <w:szCs w:val="24"/>
        </w:rPr>
        <w:t>17</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spacing w:line="400" w:lineRule="exact"/>
        <w:ind w:firstLine="480" w:firstLineChars="200"/>
        <w:rPr>
          <w:rFonts w:ascii="Arial" w:hAnsi="Arial" w:cs="Arial"/>
          <w:sz w:val="24"/>
          <w:szCs w:val="24"/>
        </w:rPr>
      </w:pPr>
      <w:r>
        <w:rPr>
          <w:rFonts w:hint="eastAsia"/>
          <w:sz w:val="24"/>
          <w:szCs w:val="24"/>
        </w:rPr>
        <w:t>17.2达到公开招标数额标准的货物或者服务采购项目，或者达到招标规模标准的政府采购工程，谈判小组应当由5人以上单数组成。</w:t>
      </w:r>
    </w:p>
    <w:p>
      <w:pPr>
        <w:pStyle w:val="10"/>
        <w:spacing w:line="400" w:lineRule="exact"/>
        <w:jc w:val="left"/>
        <w:rPr>
          <w:rFonts w:hAnsi="宋体"/>
          <w:b/>
          <w:sz w:val="24"/>
        </w:rPr>
      </w:pPr>
      <w:r>
        <w:rPr>
          <w:rFonts w:hint="eastAsia" w:hAnsi="宋体"/>
          <w:b/>
          <w:sz w:val="24"/>
        </w:rPr>
        <w:t>18.响应文件的初审</w:t>
      </w:r>
    </w:p>
    <w:p>
      <w:pPr>
        <w:spacing w:line="400" w:lineRule="exact"/>
        <w:ind w:firstLine="480" w:firstLineChars="200"/>
        <w:rPr>
          <w:rFonts w:ascii="宋体" w:hAnsi="宋体"/>
          <w:sz w:val="24"/>
        </w:rPr>
      </w:pPr>
      <w:r>
        <w:rPr>
          <w:rFonts w:hint="eastAsia" w:ascii="宋体" w:hAnsi="宋体"/>
          <w:sz w:val="24"/>
        </w:rPr>
        <w:t>对所有谈判响应供应商的评估，都采用相同的程序和标准。评议过程将严格按照谈判文件的要求和条件进行。</w:t>
      </w:r>
    </w:p>
    <w:p>
      <w:pPr>
        <w:spacing w:line="400" w:lineRule="exact"/>
        <w:ind w:firstLine="480" w:firstLineChars="200"/>
        <w:rPr>
          <w:rFonts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spacing w:line="400" w:lineRule="exact"/>
        <w:ind w:firstLine="480" w:firstLineChars="200"/>
        <w:rPr>
          <w:rFonts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10"/>
        <w:spacing w:line="400" w:lineRule="exact"/>
        <w:ind w:firstLine="480" w:firstLineChars="200"/>
        <w:jc w:val="left"/>
        <w:rPr>
          <w:rFonts w:hAnsi="宋体"/>
          <w:color w:val="FF0000"/>
          <w:sz w:val="24"/>
        </w:rPr>
      </w:pPr>
      <w:r>
        <w:rPr>
          <w:rFonts w:hint="eastAsia" w:hAnsi="宋体"/>
          <w:sz w:val="24"/>
        </w:rPr>
        <w:t>18.1</w:t>
      </w:r>
      <w:r>
        <w:rPr>
          <w:rFonts w:hAnsi="宋体"/>
          <w:color w:val="FF0000"/>
          <w:sz w:val="24"/>
        </w:rPr>
        <w:t>开标时，投标文件开启之前，除对投标文件的密封进行检查外，</w:t>
      </w:r>
      <w:r>
        <w:rPr>
          <w:rFonts w:hint="eastAsia" w:hAnsi="宋体"/>
          <w:b/>
          <w:color w:val="FF0000"/>
          <w:sz w:val="24"/>
        </w:rPr>
        <w:t>主要是</w:t>
      </w:r>
      <w:r>
        <w:rPr>
          <w:rFonts w:hAnsi="宋体"/>
          <w:color w:val="FF0000"/>
          <w:sz w:val="24"/>
        </w:rPr>
        <w:t>对投标人的投标保证金原件及投标人身份（需出示法定代表人身份证原件或委托代理人持授权委托书并出示代理人身份证原件）进行核查，如未能提供，视为无效投标。</w:t>
      </w:r>
      <w:r>
        <w:rPr>
          <w:rFonts w:hint="eastAsia" w:hAnsi="宋体"/>
          <w:color w:val="FF0000"/>
          <w:sz w:val="24"/>
        </w:rPr>
        <w:t>(供应商注意）</w:t>
      </w:r>
    </w:p>
    <w:p>
      <w:pPr>
        <w:pStyle w:val="10"/>
        <w:spacing w:line="400" w:lineRule="exact"/>
        <w:ind w:firstLine="480" w:firstLineChars="200"/>
        <w:jc w:val="left"/>
        <w:rPr>
          <w:rFonts w:hAnsi="宋体"/>
          <w:sz w:val="24"/>
        </w:rPr>
      </w:pPr>
      <w:r>
        <w:rPr>
          <w:rFonts w:hint="eastAsia" w:hAnsi="宋体"/>
          <w:color w:val="000000"/>
          <w:sz w:val="24"/>
        </w:rPr>
        <w:t>18.2</w:t>
      </w:r>
      <w:r>
        <w:rPr>
          <w:rFonts w:hint="eastAsia" w:hAnsi="宋体"/>
          <w:sz w:val="24"/>
        </w:rPr>
        <w:t>评标时，需审查以下资质文件：</w:t>
      </w:r>
    </w:p>
    <w:p>
      <w:pPr>
        <w:pStyle w:val="10"/>
        <w:spacing w:line="400" w:lineRule="exact"/>
        <w:ind w:firstLine="475" w:firstLineChars="198"/>
        <w:rPr>
          <w:rFonts w:hAnsi="宋体"/>
          <w:sz w:val="24"/>
        </w:rPr>
      </w:pPr>
      <w:r>
        <w:rPr>
          <w:rFonts w:hint="eastAsia" w:hAnsi="宋体"/>
          <w:sz w:val="24"/>
        </w:rPr>
        <w:t>（1）工商营业执照副本；</w:t>
      </w:r>
    </w:p>
    <w:p>
      <w:pPr>
        <w:pStyle w:val="10"/>
        <w:spacing w:line="400" w:lineRule="exact"/>
        <w:ind w:firstLine="475" w:firstLineChars="198"/>
        <w:rPr>
          <w:rFonts w:hAnsi="宋体"/>
          <w:sz w:val="24"/>
        </w:rPr>
      </w:pPr>
      <w:r>
        <w:rPr>
          <w:rFonts w:hint="eastAsia" w:hAnsi="宋体"/>
          <w:sz w:val="24"/>
        </w:rPr>
        <w:t>（2）税务登记证；</w:t>
      </w:r>
    </w:p>
    <w:p>
      <w:pPr>
        <w:pStyle w:val="10"/>
        <w:spacing w:line="400" w:lineRule="exact"/>
        <w:ind w:firstLine="475" w:firstLineChars="198"/>
        <w:rPr>
          <w:rFonts w:hAnsi="宋体"/>
          <w:sz w:val="24"/>
        </w:rPr>
      </w:pPr>
      <w:r>
        <w:rPr>
          <w:rFonts w:hint="eastAsia" w:hAnsi="宋体"/>
          <w:sz w:val="24"/>
        </w:rPr>
        <w:t>（3）组织机构代码证；</w:t>
      </w:r>
    </w:p>
    <w:p>
      <w:pPr>
        <w:pStyle w:val="10"/>
        <w:spacing w:line="400" w:lineRule="exact"/>
        <w:ind w:firstLine="475" w:firstLineChars="198"/>
        <w:rPr>
          <w:rFonts w:hint="eastAsia" w:ascii="宋体"/>
          <w:sz w:val="24"/>
        </w:rPr>
      </w:pPr>
      <w:r>
        <w:rPr>
          <w:rFonts w:hint="eastAsia" w:ascii="宋体"/>
          <w:sz w:val="24"/>
        </w:rPr>
        <w:t>（注：三证合一、五证合一的只提工商供营业执照副本）；</w:t>
      </w:r>
    </w:p>
    <w:p>
      <w:pPr>
        <w:pStyle w:val="10"/>
        <w:spacing w:line="400" w:lineRule="exact"/>
        <w:ind w:firstLine="475" w:firstLineChars="198"/>
        <w:rPr>
          <w:sz w:val="24"/>
        </w:rPr>
      </w:pPr>
      <w:r>
        <w:rPr>
          <w:rFonts w:hint="eastAsia"/>
          <w:sz w:val="24"/>
        </w:rPr>
        <w:t>（</w:t>
      </w:r>
      <w:r>
        <w:rPr>
          <w:rFonts w:hint="eastAsia"/>
          <w:sz w:val="24"/>
          <w:lang w:val="en-US" w:eastAsia="zh-CN"/>
        </w:rPr>
        <w:t>4</w:t>
      </w:r>
      <w:r>
        <w:rPr>
          <w:rFonts w:hint="eastAsia"/>
          <w:sz w:val="24"/>
        </w:rPr>
        <w:t>）法定代表人身份证或委托代理人持授权委托书及代理人身份证；</w:t>
      </w:r>
    </w:p>
    <w:p>
      <w:pPr>
        <w:pStyle w:val="10"/>
        <w:spacing w:line="400" w:lineRule="exact"/>
        <w:ind w:firstLine="475" w:firstLineChars="198"/>
        <w:rPr>
          <w:sz w:val="24"/>
        </w:rPr>
      </w:pPr>
      <w:r>
        <w:rPr>
          <w:rFonts w:hint="eastAsia"/>
          <w:sz w:val="24"/>
        </w:rPr>
        <w:t>（</w:t>
      </w:r>
      <w:r>
        <w:rPr>
          <w:rFonts w:hint="eastAsia"/>
          <w:sz w:val="24"/>
          <w:lang w:val="en-US" w:eastAsia="zh-CN"/>
        </w:rPr>
        <w:t>5</w:t>
      </w:r>
      <w:r>
        <w:rPr>
          <w:rFonts w:hint="eastAsia"/>
          <w:sz w:val="24"/>
        </w:rPr>
        <w:t>）“信用中国”网站（www.creditchina.gov.cn）</w:t>
      </w:r>
      <w:r>
        <w:rPr>
          <w:rFonts w:hint="eastAsia"/>
          <w:sz w:val="24"/>
          <w:lang w:eastAsia="zh-CN"/>
        </w:rPr>
        <w:t>和</w:t>
      </w:r>
      <w:r>
        <w:rPr>
          <w:rFonts w:hint="eastAsia"/>
          <w:sz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spacing w:line="400" w:lineRule="exact"/>
        <w:ind w:firstLine="480" w:firstLineChars="200"/>
        <w:rPr>
          <w:rFonts w:ascii="宋体" w:hAnsi="宋体"/>
          <w:sz w:val="24"/>
        </w:rPr>
      </w:pPr>
      <w:r>
        <w:rPr>
          <w:rFonts w:hint="eastAsia" w:ascii="宋体" w:hAnsi="宋体"/>
          <w:sz w:val="24"/>
        </w:rPr>
        <w:t xml:space="preserve">18.3谈判小组将对响应文件进行审查，以确定响应文件是否完整、有无计算上的错误、是否提交了谈判保证金、文件是否已正确签署。 </w:t>
      </w:r>
    </w:p>
    <w:p>
      <w:pPr>
        <w:spacing w:line="400" w:lineRule="exact"/>
        <w:ind w:firstLine="480" w:firstLineChars="200"/>
        <w:rPr>
          <w:rFonts w:ascii="宋体" w:hAnsi="宋体"/>
          <w:sz w:val="24"/>
        </w:rPr>
      </w:pPr>
      <w:r>
        <w:rPr>
          <w:rFonts w:hint="eastAsia" w:ascii="宋体" w:hAnsi="宋体"/>
          <w:sz w:val="24"/>
        </w:rPr>
        <w:t>18.4 算术错误将按以下方法更正：</w:t>
      </w:r>
    </w:p>
    <w:p>
      <w:pPr>
        <w:spacing w:line="400" w:lineRule="exact"/>
        <w:ind w:firstLine="480" w:firstLineChars="200"/>
        <w:rPr>
          <w:rFonts w:ascii="宋体" w:hAnsi="宋体"/>
          <w:sz w:val="24"/>
        </w:rPr>
      </w:pPr>
      <w:r>
        <w:rPr>
          <w:rFonts w:hint="eastAsia" w:ascii="宋体" w:hAnsi="宋体"/>
          <w:sz w:val="24"/>
        </w:rPr>
        <w:t>(1)响应文件中报价一览表内容与响应文件中明细表内容不一致的，以报价一览表为准。</w:t>
      </w:r>
    </w:p>
    <w:p>
      <w:pPr>
        <w:spacing w:line="400" w:lineRule="exact"/>
        <w:ind w:firstLine="480" w:firstLineChars="200"/>
        <w:rPr>
          <w:rFonts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spacing w:line="400" w:lineRule="exact"/>
        <w:ind w:firstLine="480" w:firstLineChars="200"/>
        <w:rPr>
          <w:rFonts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spacing w:line="400" w:lineRule="exact"/>
        <w:ind w:firstLine="480" w:firstLineChars="200"/>
        <w:rPr>
          <w:rFonts w:ascii="宋体" w:hAnsi="宋体"/>
          <w:sz w:val="24"/>
        </w:rPr>
      </w:pPr>
      <w:r>
        <w:rPr>
          <w:rFonts w:hint="eastAsia" w:ascii="宋体" w:hAnsi="宋体"/>
          <w:sz w:val="24"/>
        </w:rPr>
        <w:t>18.5</w:t>
      </w:r>
      <w:r>
        <w:rPr>
          <w:rFonts w:hint="eastAsia" w:ascii="宋体" w:hAnsi="宋体"/>
          <w:sz w:val="24"/>
          <w:szCs w:val="18"/>
        </w:rPr>
        <w:t>资格性检查和符合性检查</w:t>
      </w:r>
    </w:p>
    <w:p>
      <w:pPr>
        <w:spacing w:line="400" w:lineRule="exact"/>
        <w:rPr>
          <w:rFonts w:ascii="宋体" w:hAnsi="宋体"/>
          <w:sz w:val="24"/>
        </w:rPr>
      </w:pPr>
      <w:r>
        <w:rPr>
          <w:rFonts w:hint="eastAsia" w:ascii="宋体" w:hAnsi="宋体"/>
          <w:sz w:val="24"/>
        </w:rPr>
        <w:t xml:space="preserve">    18.5.1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spacing w:line="400" w:lineRule="exact"/>
        <w:ind w:left="31" w:leftChars="15"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5.2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(1)谈判响应文件未按照本须知规定进行密封、标记的；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spacing w:line="400" w:lineRule="exact"/>
        <w:ind w:left="69" w:firstLine="480" w:firstLineChars="200"/>
        <w:rPr>
          <w:rFonts w:ascii="宋体" w:hAnsi="宋体"/>
          <w:sz w:val="24"/>
        </w:rPr>
      </w:pPr>
      <w:r>
        <w:rPr>
          <w:rFonts w:hint="eastAsia" w:ascii="宋体" w:hAnsi="宋体"/>
          <w:sz w:val="24"/>
        </w:rPr>
        <w:t>(3)未按规定提交谈判保证金的；</w:t>
      </w:r>
    </w:p>
    <w:p>
      <w:pPr>
        <w:spacing w:line="400" w:lineRule="exact"/>
        <w:ind w:left="69" w:firstLine="480" w:firstLineChars="200"/>
        <w:rPr>
          <w:rFonts w:ascii="宋体" w:hAnsi="宋体"/>
          <w:sz w:val="24"/>
        </w:rPr>
      </w:pPr>
      <w:r>
        <w:rPr>
          <w:rFonts w:hint="eastAsia" w:ascii="宋体" w:hAnsi="宋体"/>
          <w:sz w:val="24"/>
        </w:rPr>
        <w:t>(4)谈判响应有效期不满足谈判文件要求的；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(5)响应文件内容与谈判文件内容及要求有重大偏离或保留的；</w:t>
      </w:r>
    </w:p>
    <w:p>
      <w:pPr>
        <w:spacing w:line="400" w:lineRule="exact"/>
        <w:ind w:left="69" w:firstLine="480" w:firstLineChars="200"/>
        <w:rPr>
          <w:rFonts w:ascii="宋体" w:hAnsi="宋体"/>
          <w:sz w:val="24"/>
        </w:rPr>
      </w:pPr>
      <w:r>
        <w:rPr>
          <w:rFonts w:hint="eastAsia" w:ascii="宋体" w:hAnsi="宋体"/>
          <w:sz w:val="24"/>
        </w:rPr>
        <w:t>(6)谈判响应供应商提交的是可选择的报价；</w:t>
      </w:r>
    </w:p>
    <w:p>
      <w:pPr>
        <w:spacing w:line="400" w:lineRule="exact"/>
        <w:ind w:left="69" w:firstLine="480" w:firstLineChars="200"/>
        <w:rPr>
          <w:rFonts w:ascii="宋体" w:hAnsi="宋体"/>
          <w:sz w:val="24"/>
        </w:rPr>
      </w:pPr>
      <w:r>
        <w:rPr>
          <w:rFonts w:hint="eastAsia" w:ascii="宋体" w:hAnsi="宋体"/>
          <w:sz w:val="24"/>
        </w:rPr>
        <w:t>(7)谈判响应供应商未按谈判文件要求进行分项报价；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szCs w:val="24"/>
        </w:rPr>
      </w:pPr>
      <w:r>
        <w:rPr>
          <w:rFonts w:hint="eastAsia"/>
          <w:sz w:val="24"/>
          <w:szCs w:val="24"/>
        </w:rPr>
        <w:t>谈判小组决定报价的响应性只根据响应文件本身的内容，而不寻求其他的外部证据。</w:t>
      </w:r>
    </w:p>
    <w:p>
      <w:pPr>
        <w:pStyle w:val="10"/>
        <w:spacing w:line="400" w:lineRule="exact"/>
        <w:ind w:firstLine="480" w:firstLineChars="200"/>
        <w:jc w:val="left"/>
        <w:rPr>
          <w:rFonts w:hAnsi="宋体"/>
          <w:sz w:val="24"/>
        </w:rPr>
      </w:pPr>
      <w:r>
        <w:rPr>
          <w:rFonts w:hint="eastAsia" w:hAnsi="宋体"/>
          <w:sz w:val="24"/>
        </w:rPr>
        <w:t>18.6</w:t>
      </w:r>
      <w:r>
        <w:rPr>
          <w:rFonts w:hAnsi="宋体"/>
          <w:sz w:val="24"/>
        </w:rPr>
        <w:t>谈判响应供应商提交的响应文件将给予保密，但不予退回。</w:t>
      </w:r>
    </w:p>
    <w:p>
      <w:pPr>
        <w:pStyle w:val="6"/>
        <w:snapToGrid w:val="0"/>
        <w:spacing w:line="400" w:lineRule="exact"/>
        <w:ind w:firstLine="480" w:firstLineChars="200"/>
        <w:outlineLvl w:val="0"/>
        <w:rPr>
          <w:sz w:val="24"/>
          <w:szCs w:val="24"/>
        </w:rPr>
      </w:pPr>
      <w:r>
        <w:rPr>
          <w:rFonts w:hint="eastAsia"/>
          <w:sz w:val="24"/>
          <w:szCs w:val="24"/>
        </w:rPr>
        <w:t>18.7谈判响应供应商资格和报价产品均必须满足中华人民共和国相关法律法规及行业的强制性要求，否则将作无效响应处理。</w:t>
      </w:r>
    </w:p>
    <w:p>
      <w:pPr>
        <w:pStyle w:val="6"/>
        <w:snapToGrid w:val="0"/>
        <w:spacing w:line="400" w:lineRule="exact"/>
        <w:ind w:firstLine="0"/>
        <w:outlineLvl w:val="0"/>
        <w:rPr>
          <w:sz w:val="24"/>
          <w:szCs w:val="24"/>
        </w:rPr>
      </w:pPr>
      <w:r>
        <w:rPr>
          <w:rFonts w:hint="eastAsia"/>
          <w:b/>
          <w:sz w:val="24"/>
          <w:szCs w:val="24"/>
        </w:rPr>
        <w:t>19.谈判相应文件的澄清</w:t>
      </w:r>
    </w:p>
    <w:p>
      <w:pPr>
        <w:pStyle w:val="6"/>
        <w:snapToGrid w:val="0"/>
        <w:spacing w:line="400" w:lineRule="exact"/>
        <w:ind w:firstLine="480" w:firstLineChars="200"/>
        <w:outlineLvl w:val="0"/>
        <w:rPr>
          <w:sz w:val="24"/>
          <w:szCs w:val="24"/>
        </w:rPr>
      </w:pPr>
      <w:r>
        <w:rPr>
          <w:rFonts w:hint="eastAsia"/>
          <w:sz w:val="24"/>
          <w:szCs w:val="24"/>
        </w:rPr>
        <w:t>19.1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10"/>
        <w:spacing w:line="400" w:lineRule="exact"/>
        <w:jc w:val="left"/>
        <w:rPr>
          <w:rFonts w:hAnsi="宋体"/>
          <w:b/>
          <w:sz w:val="24"/>
        </w:rPr>
      </w:pPr>
      <w:r>
        <w:rPr>
          <w:rFonts w:hint="eastAsia" w:hAnsi="宋体"/>
          <w:b/>
          <w:sz w:val="24"/>
        </w:rPr>
        <w:t>20</w:t>
      </w:r>
      <w:r>
        <w:rPr>
          <w:rFonts w:hAnsi="宋体"/>
          <w:b/>
          <w:sz w:val="24"/>
        </w:rPr>
        <w:t>.</w:t>
      </w:r>
      <w:r>
        <w:rPr>
          <w:rFonts w:hint="eastAsia" w:hAnsi="宋体"/>
          <w:b/>
          <w:sz w:val="24"/>
        </w:rPr>
        <w:t>比较与评价</w:t>
      </w:r>
    </w:p>
    <w:p>
      <w:pPr>
        <w:pStyle w:val="10"/>
        <w:spacing w:line="400" w:lineRule="exact"/>
        <w:ind w:firstLine="480" w:firstLineChars="200"/>
        <w:jc w:val="left"/>
        <w:rPr>
          <w:rFonts w:hAnsi="宋体"/>
          <w:sz w:val="24"/>
        </w:rPr>
      </w:pPr>
      <w:r>
        <w:rPr>
          <w:rFonts w:hint="eastAsia" w:hAnsi="宋体"/>
          <w:sz w:val="24"/>
        </w:rPr>
        <w:t>20</w:t>
      </w:r>
      <w:r>
        <w:rPr>
          <w:rFonts w:hAnsi="宋体"/>
          <w:sz w:val="24"/>
        </w:rPr>
        <w:t xml:space="preserve">.1 </w:t>
      </w:r>
      <w:r>
        <w:rPr>
          <w:rFonts w:hint="eastAsia" w:hAnsi="宋体"/>
          <w:sz w:val="24"/>
        </w:rPr>
        <w:t>本次谈判采用最低价评标法。</w:t>
      </w:r>
    </w:p>
    <w:p>
      <w:pPr>
        <w:pStyle w:val="10"/>
        <w:spacing w:line="400" w:lineRule="exact"/>
        <w:ind w:firstLine="480" w:firstLineChars="200"/>
        <w:jc w:val="left"/>
        <w:rPr>
          <w:rFonts w:hAnsi="宋体"/>
          <w:sz w:val="24"/>
        </w:rPr>
      </w:pPr>
      <w:r>
        <w:rPr>
          <w:rFonts w:hint="eastAsia" w:hAnsi="宋体"/>
          <w:sz w:val="24"/>
        </w:rPr>
        <w:t>20.2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10"/>
        <w:spacing w:line="400" w:lineRule="exact"/>
        <w:ind w:firstLine="480" w:firstLineChars="200"/>
        <w:jc w:val="left"/>
        <w:rPr>
          <w:rFonts w:hAnsi="宋体"/>
          <w:sz w:val="24"/>
        </w:rPr>
      </w:pPr>
      <w:r>
        <w:rPr>
          <w:rFonts w:hint="eastAsia" w:hAnsi="宋体"/>
          <w:sz w:val="24"/>
        </w:rPr>
        <w:t>20</w:t>
      </w:r>
      <w:r>
        <w:rPr>
          <w:rFonts w:hAnsi="宋体"/>
          <w:sz w:val="24"/>
        </w:rPr>
        <w:t>.</w:t>
      </w:r>
      <w:r>
        <w:rPr>
          <w:rFonts w:hint="eastAsia" w:hAnsi="宋体"/>
          <w:sz w:val="24"/>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10"/>
        <w:spacing w:line="400" w:lineRule="exact"/>
        <w:ind w:firstLine="480" w:firstLineChars="200"/>
        <w:jc w:val="left"/>
        <w:rPr>
          <w:rFonts w:hAnsi="宋体"/>
          <w:sz w:val="24"/>
        </w:rPr>
      </w:pPr>
      <w:r>
        <w:rPr>
          <w:rFonts w:hint="eastAsia" w:hAnsi="宋体"/>
          <w:sz w:val="24"/>
        </w:rPr>
        <w:t>21.项目采购失败处理</w:t>
      </w:r>
    </w:p>
    <w:p>
      <w:pPr>
        <w:pStyle w:val="10"/>
        <w:spacing w:line="400" w:lineRule="exact"/>
        <w:ind w:firstLine="480" w:firstLineChars="200"/>
        <w:jc w:val="left"/>
        <w:rPr>
          <w:rFonts w:hAnsi="宋体"/>
          <w:sz w:val="24"/>
        </w:rPr>
      </w:pPr>
      <w:r>
        <w:rPr>
          <w:rFonts w:hint="eastAsia" w:hAnsi="宋体"/>
          <w:sz w:val="24"/>
        </w:rPr>
        <w:t>出现下列情况将作采购失败处理：</w:t>
      </w:r>
    </w:p>
    <w:p>
      <w:pPr>
        <w:pStyle w:val="10"/>
        <w:spacing w:line="400" w:lineRule="exact"/>
        <w:ind w:firstLine="480" w:firstLineChars="200"/>
        <w:jc w:val="left"/>
        <w:rPr>
          <w:rFonts w:hAnsi="宋体"/>
          <w:sz w:val="24"/>
        </w:rPr>
      </w:pPr>
      <w:r>
        <w:rPr>
          <w:rFonts w:hint="eastAsia" w:hAnsi="宋体"/>
          <w:sz w:val="24"/>
        </w:rPr>
        <w:t>(一)因情况变化，不再符合规定的竞争性谈判采购方式适用情形的；</w:t>
      </w:r>
    </w:p>
    <w:p>
      <w:pPr>
        <w:pStyle w:val="10"/>
        <w:spacing w:line="400" w:lineRule="exact"/>
        <w:ind w:firstLine="480" w:firstLineChars="200"/>
        <w:jc w:val="left"/>
        <w:rPr>
          <w:rFonts w:hAnsi="宋体"/>
          <w:sz w:val="24"/>
        </w:rPr>
      </w:pPr>
      <w:r>
        <w:rPr>
          <w:rFonts w:hint="eastAsia" w:hAnsi="宋体"/>
          <w:sz w:val="24"/>
        </w:rPr>
        <w:t>(二)出现影响采购公正的违法、违规行为的；</w:t>
      </w:r>
    </w:p>
    <w:p>
      <w:pPr>
        <w:pStyle w:val="10"/>
        <w:spacing w:line="400" w:lineRule="exact"/>
        <w:ind w:firstLine="480" w:firstLineChars="200"/>
        <w:jc w:val="left"/>
        <w:rPr>
          <w:rFonts w:hAnsi="宋体"/>
          <w:sz w:val="24"/>
        </w:rPr>
      </w:pPr>
      <w:r>
        <w:rPr>
          <w:rFonts w:hint="eastAsia" w:hAnsi="宋体"/>
          <w:sz w:val="24"/>
        </w:rPr>
        <w:t>(三)在采购过程中符合竞争要求的供应商或者报价未超过采购预算的供应商不足3家的；（说明：如果多个供应商所投产品全部是同一品牌同一型号的，只作为一个供应商计算；同一品牌不同型号的产品由多家供应商参加竞争，作为不同的供应商计算。）</w:t>
      </w:r>
    </w:p>
    <w:p>
      <w:pPr>
        <w:pStyle w:val="10"/>
        <w:spacing w:line="400" w:lineRule="exact"/>
        <w:ind w:firstLine="480" w:firstLineChars="200"/>
        <w:jc w:val="left"/>
        <w:rPr>
          <w:rFonts w:hAnsi="宋体"/>
          <w:sz w:val="24"/>
        </w:rPr>
      </w:pPr>
      <w:r>
        <w:rPr>
          <w:rFonts w:hint="eastAsia" w:hAnsi="宋体"/>
          <w:sz w:val="24"/>
        </w:rPr>
        <w:t>（四）因重大变故，采购任务取消的。</w:t>
      </w:r>
    </w:p>
    <w:p>
      <w:pPr>
        <w:pStyle w:val="28"/>
        <w:spacing w:line="400" w:lineRule="exact"/>
        <w:jc w:val="center"/>
        <w:outlineLvl w:val="9"/>
        <w:rPr>
          <w:rFonts w:hAnsi="宋体"/>
          <w:b/>
          <w:sz w:val="24"/>
        </w:rPr>
      </w:pPr>
      <w:r>
        <w:rPr>
          <w:rFonts w:hint="eastAsia" w:hAnsi="宋体"/>
          <w:b/>
          <w:sz w:val="24"/>
        </w:rPr>
        <w:t>六、成交与签订合同</w:t>
      </w:r>
    </w:p>
    <w:p>
      <w:pPr>
        <w:pStyle w:val="10"/>
        <w:spacing w:line="400" w:lineRule="exact"/>
        <w:jc w:val="left"/>
        <w:rPr>
          <w:rFonts w:hAnsi="宋体"/>
          <w:sz w:val="24"/>
        </w:rPr>
      </w:pPr>
      <w:r>
        <w:rPr>
          <w:rFonts w:hint="eastAsia" w:hAnsi="宋体"/>
          <w:sz w:val="24"/>
        </w:rPr>
        <w:t>22.成交准则</w:t>
      </w:r>
    </w:p>
    <w:p>
      <w:pPr>
        <w:pStyle w:val="10"/>
        <w:spacing w:line="400" w:lineRule="exact"/>
        <w:jc w:val="left"/>
        <w:rPr>
          <w:rFonts w:hAnsi="宋体"/>
          <w:sz w:val="24"/>
        </w:rPr>
      </w:pPr>
      <w:r>
        <w:rPr>
          <w:rFonts w:hint="eastAsia" w:hAnsi="宋体"/>
          <w:sz w:val="24"/>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10"/>
        <w:spacing w:line="400" w:lineRule="exact"/>
        <w:jc w:val="left"/>
        <w:rPr>
          <w:rFonts w:hAnsi="宋体"/>
          <w:b/>
          <w:sz w:val="24"/>
        </w:rPr>
      </w:pPr>
      <w:r>
        <w:rPr>
          <w:rFonts w:hint="eastAsia" w:hAnsi="宋体"/>
          <w:b/>
          <w:sz w:val="24"/>
        </w:rPr>
        <w:t>23</w:t>
      </w:r>
      <w:r>
        <w:rPr>
          <w:rFonts w:hAnsi="宋体"/>
          <w:b/>
          <w:sz w:val="24"/>
        </w:rPr>
        <w:t>.成交通知</w:t>
      </w:r>
    </w:p>
    <w:p>
      <w:pPr>
        <w:pStyle w:val="10"/>
        <w:spacing w:line="400" w:lineRule="exact"/>
        <w:ind w:firstLine="480" w:firstLineChars="200"/>
        <w:jc w:val="left"/>
        <w:rPr>
          <w:rFonts w:hAnsi="宋体"/>
          <w:bCs/>
          <w:sz w:val="24"/>
        </w:rPr>
      </w:pPr>
      <w:r>
        <w:rPr>
          <w:rFonts w:hint="eastAsia" w:hAnsi="宋体"/>
          <w:bCs/>
          <w:sz w:val="24"/>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10"/>
        <w:spacing w:line="400" w:lineRule="exact"/>
        <w:jc w:val="left"/>
        <w:rPr>
          <w:rFonts w:hAnsi="宋体"/>
          <w:b/>
          <w:sz w:val="24"/>
        </w:rPr>
      </w:pPr>
      <w:r>
        <w:rPr>
          <w:rFonts w:hint="eastAsia" w:hAnsi="宋体"/>
          <w:b/>
          <w:sz w:val="24"/>
        </w:rPr>
        <w:t>24.</w:t>
      </w:r>
      <w:r>
        <w:rPr>
          <w:rFonts w:hAnsi="宋体"/>
          <w:b/>
          <w:sz w:val="24"/>
        </w:rPr>
        <w:t>签订合同</w:t>
      </w:r>
    </w:p>
    <w:p>
      <w:pPr>
        <w:pStyle w:val="10"/>
        <w:spacing w:line="400" w:lineRule="exact"/>
        <w:ind w:firstLine="480" w:firstLineChars="200"/>
        <w:jc w:val="left"/>
        <w:rPr>
          <w:rFonts w:hAnsi="宋体"/>
          <w:sz w:val="24"/>
        </w:rPr>
      </w:pPr>
      <w:r>
        <w:rPr>
          <w:rFonts w:hint="eastAsia" w:hAnsi="宋体"/>
          <w:sz w:val="24"/>
        </w:rPr>
        <w:t>24</w:t>
      </w:r>
      <w:r>
        <w:rPr>
          <w:rFonts w:hAnsi="宋体"/>
          <w:sz w:val="24"/>
        </w:rPr>
        <w:t>.1</w:t>
      </w:r>
      <w:r>
        <w:rPr>
          <w:rFonts w:hint="eastAsia" w:hAnsi="宋体"/>
          <w:sz w:val="24"/>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10"/>
        <w:spacing w:line="400" w:lineRule="exact"/>
        <w:ind w:firstLine="480" w:firstLineChars="200"/>
        <w:jc w:val="left"/>
        <w:rPr>
          <w:rFonts w:hAnsi="宋体"/>
          <w:sz w:val="24"/>
        </w:rPr>
      </w:pPr>
      <w:r>
        <w:rPr>
          <w:rFonts w:hint="eastAsia" w:hAnsi="宋体"/>
          <w:sz w:val="24"/>
        </w:rPr>
        <w:t>24</w:t>
      </w:r>
      <w:r>
        <w:rPr>
          <w:rFonts w:hAnsi="宋体"/>
          <w:sz w:val="24"/>
        </w:rPr>
        <w:t>.</w:t>
      </w:r>
      <w:r>
        <w:rPr>
          <w:rFonts w:hint="eastAsia" w:hAnsi="宋体"/>
          <w:sz w:val="24"/>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10"/>
        <w:spacing w:line="400" w:lineRule="exact"/>
        <w:ind w:firstLine="480" w:firstLineChars="200"/>
        <w:jc w:val="left"/>
        <w:rPr>
          <w:rFonts w:hAnsi="宋体"/>
          <w:sz w:val="24"/>
        </w:rPr>
      </w:pPr>
      <w:r>
        <w:rPr>
          <w:rFonts w:hint="eastAsia" w:hAnsi="宋体"/>
          <w:sz w:val="24"/>
        </w:rPr>
        <w:t>24.3采购人在合同履行中，需追加与合同标的相同的货物或者服务的，在不改变合同其他条款的前提下，可与供应商协商签订补充合同，但所有补充合同的采购金额不得超过原合同采购金额的10%。</w:t>
      </w:r>
    </w:p>
    <w:p>
      <w:pPr>
        <w:spacing w:line="400" w:lineRule="exact"/>
        <w:ind w:firstLine="480" w:firstLineChars="200"/>
        <w:rPr>
          <w:rFonts w:ascii="宋体" w:hAnsi="宋体"/>
          <w:sz w:val="24"/>
          <w:szCs w:val="24"/>
        </w:rPr>
      </w:pPr>
      <w:r>
        <w:rPr>
          <w:rFonts w:hint="eastAsia"/>
          <w:sz w:val="24"/>
          <w:szCs w:val="24"/>
        </w:rPr>
        <w:t>24.4成交供应商因不可抗力或者自身原因不能履行政府采购合同的，采购人可以与排位在成交供应商之后第一位的成交备选供应商签订政府采购合同，以此类推。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10"/>
        <w:spacing w:line="400" w:lineRule="exact"/>
        <w:jc w:val="left"/>
        <w:rPr>
          <w:rFonts w:hAnsi="宋体"/>
          <w:b/>
          <w:sz w:val="24"/>
        </w:rPr>
      </w:pPr>
      <w:r>
        <w:rPr>
          <w:rFonts w:hint="eastAsia" w:hAnsi="宋体"/>
          <w:b/>
          <w:sz w:val="24"/>
        </w:rPr>
        <w:t>25.成交服务费</w:t>
      </w:r>
    </w:p>
    <w:p>
      <w:pPr>
        <w:spacing w:line="400" w:lineRule="exact"/>
        <w:ind w:firstLine="240" w:firstLineChars="100"/>
        <w:rPr>
          <w:rFonts w:hAnsi="宋体"/>
          <w:sz w:val="24"/>
        </w:rPr>
      </w:pPr>
      <w:r>
        <w:rPr>
          <w:rFonts w:hint="eastAsia" w:hAnsi="宋体"/>
          <w:sz w:val="24"/>
        </w:rPr>
        <w:t>本中心不收取成交服务费。</w:t>
      </w:r>
    </w:p>
    <w:p>
      <w:pPr>
        <w:spacing w:line="360" w:lineRule="auto"/>
        <w:jc w:val="center"/>
        <w:outlineLvl w:val="0"/>
        <w:rPr>
          <w:rFonts w:ascii="宋体" w:hAnsi="宋体" w:cs="宋体"/>
          <w:b/>
          <w:bCs/>
          <w:sz w:val="36"/>
          <w:szCs w:val="36"/>
        </w:rPr>
      </w:pPr>
    </w:p>
    <w:p>
      <w:pPr>
        <w:spacing w:line="360" w:lineRule="auto"/>
        <w:jc w:val="center"/>
        <w:outlineLvl w:val="0"/>
        <w:rPr>
          <w:rFonts w:ascii="宋体" w:hAnsi="宋体" w:cs="宋体"/>
          <w:b/>
          <w:bCs/>
          <w:sz w:val="36"/>
          <w:szCs w:val="36"/>
        </w:rPr>
        <w:sectPr>
          <w:pgSz w:w="11906" w:h="16838"/>
          <w:pgMar w:top="1440" w:right="1797" w:bottom="1440" w:left="1797" w:header="851" w:footer="992" w:gutter="0"/>
          <w:cols w:space="720" w:num="1"/>
          <w:docGrid w:linePitch="312" w:charSpace="0"/>
        </w:sectPr>
      </w:pPr>
    </w:p>
    <w:p>
      <w:pPr>
        <w:jc w:val="center"/>
        <w:rPr>
          <w:rFonts w:hint="eastAsia"/>
          <w:b/>
          <w:bCs/>
          <w:sz w:val="52"/>
          <w:szCs w:val="52"/>
        </w:rPr>
      </w:pPr>
      <w:r>
        <w:rPr>
          <w:rFonts w:hint="eastAsia"/>
          <w:b/>
          <w:bCs/>
          <w:sz w:val="52"/>
          <w:szCs w:val="52"/>
        </w:rPr>
        <w:t>第四章</w:t>
      </w:r>
      <w:r>
        <w:rPr>
          <w:rFonts w:hint="eastAsia"/>
          <w:b/>
          <w:bCs/>
          <w:sz w:val="52"/>
          <w:szCs w:val="52"/>
          <w:lang w:val="en-US" w:eastAsia="zh-CN"/>
        </w:rPr>
        <w:t xml:space="preserve"> </w:t>
      </w:r>
      <w:r>
        <w:rPr>
          <w:rFonts w:hint="eastAsia"/>
          <w:b/>
          <w:bCs/>
          <w:sz w:val="52"/>
          <w:szCs w:val="52"/>
        </w:rPr>
        <w:t>谈判内容及要求</w:t>
      </w:r>
    </w:p>
    <w:p/>
    <w:tbl>
      <w:tblPr>
        <w:tblStyle w:val="17"/>
        <w:tblW w:w="8101" w:type="dxa"/>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1039"/>
        <w:gridCol w:w="3042"/>
        <w:gridCol w:w="496"/>
        <w:gridCol w:w="1056"/>
        <w:gridCol w:w="1056"/>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101" w:type="dxa"/>
            <w:gridSpan w:val="7"/>
            <w:tcBorders>
              <w:top w:val="nil"/>
              <w:left w:val="nil"/>
              <w:bottom w:val="single" w:color="auto" w:sz="4" w:space="0"/>
              <w:right w:val="nil"/>
            </w:tcBorders>
          </w:tcPr>
          <w:p>
            <w:pPr>
              <w:jc w:val="center"/>
              <w:rPr>
                <w:rFonts w:hint="eastAsia"/>
                <w:sz w:val="36"/>
                <w:szCs w:val="36"/>
                <w:vertAlign w:val="baseline"/>
                <w:lang w:val="en-US" w:eastAsia="zh-CN"/>
              </w:rPr>
            </w:pPr>
            <w:r>
              <w:rPr>
                <w:rFonts w:hint="eastAsia"/>
                <w:sz w:val="36"/>
                <w:szCs w:val="36"/>
                <w:lang w:val="en-US" w:eastAsia="zh-CN"/>
              </w:rPr>
              <w:t>设备及材料清单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blHeader/>
        </w:trPr>
        <w:tc>
          <w:tcPr>
            <w:tcW w:w="683" w:type="dxa"/>
            <w:tcBorders>
              <w:top w:val="single" w:color="auto" w:sz="4" w:space="0"/>
            </w:tcBorders>
            <w:vAlign w:val="center"/>
          </w:tcPr>
          <w:p>
            <w:pPr>
              <w:spacing w:line="240" w:lineRule="auto"/>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序号</w:t>
            </w:r>
          </w:p>
        </w:tc>
        <w:tc>
          <w:tcPr>
            <w:tcW w:w="1039" w:type="dxa"/>
            <w:tcBorders>
              <w:top w:val="single" w:color="auto" w:sz="4" w:space="0"/>
            </w:tcBorders>
            <w:vAlign w:val="center"/>
          </w:tcPr>
          <w:p>
            <w:pPr>
              <w:spacing w:line="240" w:lineRule="auto"/>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商品</w:t>
            </w:r>
          </w:p>
          <w:p>
            <w:pPr>
              <w:spacing w:line="240" w:lineRule="auto"/>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名称</w:t>
            </w:r>
          </w:p>
        </w:tc>
        <w:tc>
          <w:tcPr>
            <w:tcW w:w="3042" w:type="dxa"/>
            <w:tcBorders>
              <w:top w:val="single" w:color="auto" w:sz="4" w:space="0"/>
            </w:tcBorders>
            <w:vAlign w:val="center"/>
          </w:tcPr>
          <w:p>
            <w:pPr>
              <w:spacing w:line="240" w:lineRule="auto"/>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配置及参数</w:t>
            </w:r>
          </w:p>
        </w:tc>
        <w:tc>
          <w:tcPr>
            <w:tcW w:w="496" w:type="dxa"/>
            <w:tcBorders>
              <w:top w:val="single" w:color="auto" w:sz="4" w:space="0"/>
            </w:tcBorders>
            <w:vAlign w:val="center"/>
          </w:tcPr>
          <w:p>
            <w:pPr>
              <w:spacing w:line="240" w:lineRule="auto"/>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数量</w:t>
            </w:r>
          </w:p>
        </w:tc>
        <w:tc>
          <w:tcPr>
            <w:tcW w:w="1056" w:type="dxa"/>
            <w:tcBorders>
              <w:top w:val="single" w:color="auto" w:sz="4" w:space="0"/>
            </w:tcBorders>
            <w:vAlign w:val="center"/>
          </w:tcPr>
          <w:p>
            <w:pPr>
              <w:spacing w:line="240" w:lineRule="auto"/>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单价（元）</w:t>
            </w:r>
          </w:p>
        </w:tc>
        <w:tc>
          <w:tcPr>
            <w:tcW w:w="1056" w:type="dxa"/>
            <w:tcBorders>
              <w:top w:val="single" w:color="auto" w:sz="4" w:space="0"/>
            </w:tcBorders>
            <w:vAlign w:val="center"/>
          </w:tcPr>
          <w:p>
            <w:pPr>
              <w:spacing w:line="240" w:lineRule="auto"/>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金额（元）</w:t>
            </w:r>
          </w:p>
        </w:tc>
        <w:tc>
          <w:tcPr>
            <w:tcW w:w="729" w:type="dxa"/>
            <w:tcBorders>
              <w:top w:val="single" w:color="auto" w:sz="4" w:space="0"/>
            </w:tcBorders>
            <w:vAlign w:val="center"/>
          </w:tcPr>
          <w:p>
            <w:pPr>
              <w:spacing w:line="240" w:lineRule="auto"/>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3" w:hRule="atLeast"/>
        </w:trPr>
        <w:tc>
          <w:tcPr>
            <w:tcW w:w="683"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039" w:type="dxa"/>
            <w:vAlign w:val="center"/>
          </w:tcPr>
          <w:p>
            <w:pPr>
              <w:keepNext w:val="0"/>
              <w:keepLines w:val="0"/>
              <w:widowControl/>
              <w:suppressLineNumbers w:val="0"/>
              <w:jc w:val="both"/>
              <w:textAlignment w:val="center"/>
              <w:rPr>
                <w:rFonts w:hint="eastAsia" w:ascii="仿宋_GB2312" w:hAnsi="仿宋_GB2312" w:eastAsia="仿宋_GB2312" w:cs="仿宋_GB2312"/>
                <w:sz w:val="28"/>
                <w:szCs w:val="28"/>
                <w:vertAlign w:val="baseline"/>
                <w:lang w:val="en-US" w:eastAsia="zh-CN"/>
              </w:rPr>
            </w:pPr>
            <w:r>
              <w:rPr>
                <w:rFonts w:hint="eastAsia" w:ascii="宋体" w:hAnsi="宋体" w:eastAsia="宋体" w:cs="宋体"/>
                <w:b/>
                <w:i w:val="0"/>
                <w:color w:val="000000"/>
                <w:kern w:val="0"/>
                <w:sz w:val="18"/>
                <w:szCs w:val="18"/>
                <w:u w:val="none"/>
                <w:lang w:val="en-US" w:eastAsia="zh-CN" w:bidi="ar"/>
              </w:rPr>
              <w:t xml:space="preserve">防溺水演示系统（虚拟） </w:t>
            </w:r>
          </w:p>
        </w:tc>
        <w:tc>
          <w:tcPr>
            <w:tcW w:w="3042" w:type="dxa"/>
            <w:vAlign w:val="center"/>
          </w:tcPr>
          <w:p>
            <w:pPr>
              <w:keepNext w:val="0"/>
              <w:keepLines w:val="0"/>
              <w:widowControl/>
              <w:numPr>
                <w:ilvl w:val="0"/>
                <w:numId w:val="0"/>
              </w:numPr>
              <w:suppressLineNumbers w:val="0"/>
              <w:ind w:leftChars="0"/>
              <w:jc w:val="left"/>
              <w:textAlignment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i w:val="0"/>
                <w:color w:val="000000"/>
                <w:kern w:val="0"/>
                <w:sz w:val="21"/>
                <w:szCs w:val="21"/>
                <w:u w:val="none"/>
                <w:lang w:val="en-US" w:eastAsia="zh-CN" w:bidi="ar"/>
              </w:rPr>
              <w:t>触摸一体机                           1、屏幕尺寸 50 寸，                            配 置：I5\4G\64gSSD；                       2、屏幕比例 16:9（宽 屏 ） ， 最 佳 分 辨 率 1920*1080，亮度 300cd/ ㎡；                   3、红外触摸屏触摸点 数：10 点；                4、精度：小于 2mm；                     5、光标速度：180 点/ 秒。                 6、防溺水互动软件                    7、K型底座</w:t>
            </w:r>
          </w:p>
        </w:tc>
        <w:tc>
          <w:tcPr>
            <w:tcW w:w="496" w:type="dxa"/>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1056" w:type="dxa"/>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rPr>
            </w:pPr>
          </w:p>
        </w:tc>
        <w:tc>
          <w:tcPr>
            <w:tcW w:w="1056"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729"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7" w:hRule="atLeast"/>
        </w:trPr>
        <w:tc>
          <w:tcPr>
            <w:tcW w:w="683"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1039" w:type="dxa"/>
            <w:vAlign w:val="center"/>
          </w:tcPr>
          <w:p>
            <w:pPr>
              <w:keepNext w:val="0"/>
              <w:keepLines w:val="0"/>
              <w:widowControl/>
              <w:suppressLineNumbers w:val="0"/>
              <w:jc w:val="center"/>
              <w:textAlignment w:val="center"/>
              <w:rPr>
                <w:rFonts w:hint="eastAsia" w:ascii="仿宋_GB2312" w:hAnsi="仿宋_GB2312" w:eastAsia="仿宋_GB2312" w:cs="仿宋_GB2312"/>
                <w:sz w:val="28"/>
                <w:szCs w:val="28"/>
                <w:vertAlign w:val="baseline"/>
                <w:lang w:val="en-US" w:eastAsia="zh-CN"/>
              </w:rPr>
            </w:pPr>
            <w:r>
              <w:rPr>
                <w:rFonts w:hint="eastAsia" w:ascii="宋体" w:hAnsi="宋体" w:eastAsia="宋体" w:cs="宋体"/>
                <w:b/>
                <w:i w:val="0"/>
                <w:color w:val="000000"/>
                <w:kern w:val="0"/>
                <w:sz w:val="18"/>
                <w:szCs w:val="18"/>
                <w:u w:val="none"/>
                <w:lang w:val="en-US" w:eastAsia="zh-CN" w:bidi="ar"/>
              </w:rPr>
              <w:t xml:space="preserve">模拟地震体验系统 </w:t>
            </w:r>
          </w:p>
        </w:tc>
        <w:tc>
          <w:tcPr>
            <w:tcW w:w="3042" w:type="dxa"/>
            <w:vAlign w:val="top"/>
          </w:tcPr>
          <w:p>
            <w:pPr>
              <w:numPr>
                <w:ilvl w:val="0"/>
                <w:numId w:val="5"/>
              </w:numPr>
              <w:bidi w:val="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规格尺寸：</w:t>
            </w:r>
            <w:r>
              <w:rPr>
                <w:rFonts w:hint="eastAsia" w:asciiTheme="majorEastAsia" w:hAnsiTheme="majorEastAsia" w:eastAsiaTheme="majorEastAsia" w:cstheme="majorEastAsia"/>
                <w:sz w:val="21"/>
                <w:szCs w:val="21"/>
                <w:lang w:eastAsia="zh-CN"/>
              </w:rPr>
              <w:t>3</w:t>
            </w:r>
            <w:r>
              <w:rPr>
                <w:rFonts w:hint="default" w:ascii="Arial" w:hAnsi="Arial" w:cs="Arial" w:eastAsiaTheme="majorEastAsia"/>
                <w:sz w:val="21"/>
                <w:szCs w:val="21"/>
                <w:lang w:val="en-US" w:eastAsia="zh-CN"/>
              </w:rPr>
              <w:t>×</w:t>
            </w:r>
            <w:r>
              <w:rPr>
                <w:rFonts w:hint="eastAsia" w:asciiTheme="majorEastAsia" w:hAnsiTheme="majorEastAsia" w:eastAsiaTheme="majorEastAsia" w:cstheme="majorEastAsia"/>
                <w:sz w:val="21"/>
                <w:szCs w:val="21"/>
                <w:lang w:eastAsia="zh-CN"/>
              </w:rPr>
              <w:t>3</w:t>
            </w:r>
            <w:r>
              <w:rPr>
                <w:rFonts w:hint="default" w:ascii="Arial" w:hAnsi="Arial" w:cs="Arial" w:eastAsiaTheme="majorEastAsia"/>
                <w:sz w:val="21"/>
                <w:szCs w:val="21"/>
                <w:lang w:val="en-US" w:eastAsia="zh-CN"/>
              </w:rPr>
              <w:t>×</w:t>
            </w:r>
            <w:r>
              <w:rPr>
                <w:rFonts w:hint="eastAsia" w:asciiTheme="majorEastAsia" w:hAnsiTheme="majorEastAsia" w:eastAsiaTheme="majorEastAsia" w:cstheme="majorEastAsia"/>
                <w:sz w:val="21"/>
                <w:szCs w:val="21"/>
                <w:lang w:eastAsia="zh-CN"/>
              </w:rPr>
              <w:t>3</w:t>
            </w:r>
            <w:r>
              <w:rPr>
                <w:rFonts w:hint="eastAsia" w:asciiTheme="majorEastAsia" w:hAnsiTheme="majorEastAsia" w:eastAsiaTheme="majorEastAsia" w:cstheme="majorEastAsia"/>
                <w:sz w:val="21"/>
                <w:szCs w:val="21"/>
                <w:lang w:val="en-US" w:eastAsia="zh-CN"/>
              </w:rPr>
              <w:t xml:space="preserve">m </w:t>
            </w:r>
            <w:r>
              <w:rPr>
                <w:rFonts w:hint="eastAsia" w:asciiTheme="majorEastAsia" w:hAnsiTheme="majorEastAsia" w:eastAsiaTheme="majorEastAsia" w:cstheme="majorEastAsia"/>
                <w:sz w:val="21"/>
                <w:szCs w:val="21"/>
                <w:lang w:val="en-US" w:eastAsia="zh-CN"/>
              </w:rPr>
              <w:tab/>
            </w:r>
            <w:r>
              <w:rPr>
                <w:rFonts w:hint="eastAsia" w:asciiTheme="majorEastAsia" w:hAnsiTheme="majorEastAsia" w:eastAsiaTheme="majorEastAsia" w:cstheme="majorEastAsia"/>
                <w:sz w:val="21"/>
                <w:szCs w:val="21"/>
                <w:lang w:eastAsia="zh-CN"/>
              </w:rPr>
              <w:t>平台面积9㎡</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lang w:eastAsia="zh-CN"/>
              </w:rPr>
              <w:t>平台运动载荷2吨，限乘人数为8人</w:t>
            </w:r>
            <w:r>
              <w:rPr>
                <w:rFonts w:hint="eastAsia" w:asciiTheme="majorEastAsia" w:hAnsiTheme="majorEastAsia" w:eastAsiaTheme="majorEastAsia" w:cstheme="majorEastAsia"/>
                <w:sz w:val="21"/>
                <w:szCs w:val="21"/>
                <w:lang w:val="en-US" w:eastAsia="zh-CN"/>
              </w:rPr>
              <w:t>/</w:t>
            </w:r>
          </w:p>
          <w:p>
            <w:pPr>
              <w:numPr>
                <w:ilvl w:val="0"/>
                <w:numId w:val="5"/>
              </w:numPr>
              <w:bidi w:val="0"/>
              <w:ind w:left="0" w:leftChars="0" w:firstLine="0" w:firstLineChars="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主控机：</w:t>
            </w:r>
            <w:r>
              <w:rPr>
                <w:rFonts w:hint="eastAsia" w:asciiTheme="majorEastAsia" w:hAnsiTheme="majorEastAsia" w:eastAsiaTheme="majorEastAsia" w:cstheme="majorEastAsia"/>
                <w:sz w:val="21"/>
                <w:szCs w:val="21"/>
              </w:rPr>
              <w:t>内存容量：8G</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显卡：集成显卡</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硬盘容量：1TB HDD</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处理器：Intel i3</w:t>
            </w:r>
            <w:r>
              <w:rPr>
                <w:rFonts w:hint="eastAsia" w:asciiTheme="majorEastAsia" w:hAnsiTheme="majorEastAsia" w:eastAsiaTheme="majorEastAsia" w:cstheme="majorEastAsia"/>
                <w:sz w:val="21"/>
                <w:szCs w:val="21"/>
                <w:lang w:val="en-US" w:eastAsia="zh-CN"/>
              </w:rPr>
              <w:t xml:space="preserve"> 4核 3.6GHZ </w:t>
            </w:r>
            <w:r>
              <w:rPr>
                <w:rFonts w:hint="eastAsia" w:asciiTheme="majorEastAsia" w:hAnsiTheme="majorEastAsia" w:eastAsiaTheme="majorEastAsia" w:cstheme="majorEastAsia"/>
                <w:sz w:val="21"/>
                <w:szCs w:val="21"/>
              </w:rPr>
              <w:t>系统：Windows 10</w:t>
            </w:r>
            <w:r>
              <w:rPr>
                <w:rFonts w:hint="eastAsia" w:asciiTheme="majorEastAsia" w:hAnsiTheme="majorEastAsia" w:eastAsiaTheme="majorEastAsia" w:cstheme="majorEastAsia"/>
                <w:sz w:val="21"/>
                <w:szCs w:val="21"/>
                <w:lang w:val="en-US" w:eastAsia="zh-CN"/>
              </w:rPr>
              <w:t xml:space="preserve"> </w:t>
            </w:r>
          </w:p>
          <w:p>
            <w:pPr>
              <w:numPr>
                <w:ilvl w:val="0"/>
                <w:numId w:val="5"/>
              </w:numPr>
              <w:bidi w:val="0"/>
              <w:ind w:left="0" w:leftChars="0" w:firstLine="0" w:firstLineChars="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显示：32寸电视机 分辨率：1920*1080P 屏幕比例：16:9，</w:t>
            </w:r>
          </w:p>
          <w:p>
            <w:pPr>
              <w:keepNext w:val="0"/>
              <w:keepLines w:val="0"/>
              <w:widowControl/>
              <w:numPr>
                <w:ilvl w:val="0"/>
                <w:numId w:val="5"/>
              </w:numPr>
              <w:suppressLineNumbers w:val="0"/>
              <w:ind w:left="0" w:leftChars="0" w:firstLine="0" w:firstLineChars="0"/>
              <w:jc w:val="both"/>
              <w:textAlignment w:val="top"/>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额定功率</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lang w:eastAsia="zh-CN"/>
              </w:rPr>
              <w:t>7.5KW</w:t>
            </w:r>
          </w:p>
          <w:p>
            <w:pPr>
              <w:keepNext w:val="0"/>
              <w:keepLines w:val="0"/>
              <w:widowControl/>
              <w:numPr>
                <w:ilvl w:val="0"/>
                <w:numId w:val="5"/>
              </w:numPr>
              <w:suppressLineNumbers w:val="0"/>
              <w:ind w:left="0" w:leftChars="0" w:firstLine="0" w:firstLineChars="0"/>
              <w:jc w:val="both"/>
              <w:textAlignment w:val="top"/>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eastAsia="zh-CN"/>
              </w:rPr>
              <w:t>电源电压</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lang w:eastAsia="zh-CN"/>
              </w:rPr>
              <w:t>380V</w:t>
            </w:r>
          </w:p>
          <w:p>
            <w:pPr>
              <w:keepNext w:val="0"/>
              <w:keepLines w:val="0"/>
              <w:widowControl/>
              <w:numPr>
                <w:ilvl w:val="0"/>
                <w:numId w:val="5"/>
              </w:numPr>
              <w:suppressLineNumbers w:val="0"/>
              <w:ind w:left="0" w:leftChars="0" w:firstLine="0" w:firstLineChars="0"/>
              <w:jc w:val="both"/>
              <w:textAlignment w:val="top"/>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eastAsia="zh-CN"/>
              </w:rPr>
              <w:t>额定压力</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lang w:eastAsia="zh-CN"/>
              </w:rPr>
              <w:t>8-10MPa</w:t>
            </w:r>
          </w:p>
          <w:p>
            <w:pPr>
              <w:keepNext w:val="0"/>
              <w:keepLines w:val="0"/>
              <w:widowControl/>
              <w:numPr>
                <w:ilvl w:val="0"/>
                <w:numId w:val="5"/>
              </w:numPr>
              <w:suppressLineNumbers w:val="0"/>
              <w:ind w:left="0" w:leftChars="0" w:firstLine="0" w:firstLineChars="0"/>
              <w:jc w:val="both"/>
              <w:textAlignment w:val="top"/>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eastAsia="zh-CN"/>
              </w:rPr>
              <w:t>伺服缸行程</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lang w:eastAsia="zh-CN"/>
              </w:rPr>
              <w:t>±100</w:t>
            </w:r>
          </w:p>
          <w:p>
            <w:pPr>
              <w:keepNext w:val="0"/>
              <w:keepLines w:val="0"/>
              <w:widowControl/>
              <w:numPr>
                <w:ilvl w:val="0"/>
                <w:numId w:val="5"/>
              </w:numPr>
              <w:suppressLineNumbers w:val="0"/>
              <w:ind w:left="0" w:leftChars="0" w:firstLine="0" w:firstLineChars="0"/>
              <w:jc w:val="both"/>
              <w:textAlignment w:val="top"/>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eastAsia="zh-CN"/>
              </w:rPr>
              <w:t>加速度</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lang w:eastAsia="zh-CN"/>
              </w:rPr>
              <w:t>0.4G</w:t>
            </w:r>
          </w:p>
          <w:p>
            <w:pPr>
              <w:keepNext w:val="0"/>
              <w:keepLines w:val="0"/>
              <w:widowControl/>
              <w:numPr>
                <w:ilvl w:val="0"/>
                <w:numId w:val="5"/>
              </w:numPr>
              <w:suppressLineNumbers w:val="0"/>
              <w:ind w:left="0" w:leftChars="0" w:firstLine="0" w:firstLineChars="0"/>
              <w:jc w:val="both"/>
              <w:textAlignment w:val="top"/>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eastAsia="zh-CN"/>
              </w:rPr>
              <w:t>噪声</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lang w:eastAsia="zh-CN"/>
              </w:rPr>
              <w:t>≤60db</w:t>
            </w:r>
          </w:p>
          <w:p>
            <w:pPr>
              <w:keepNext w:val="0"/>
              <w:keepLines w:val="0"/>
              <w:widowControl/>
              <w:numPr>
                <w:ilvl w:val="0"/>
                <w:numId w:val="5"/>
              </w:numPr>
              <w:suppressLineNumbers w:val="0"/>
              <w:ind w:left="0" w:leftChars="0" w:firstLine="0" w:firstLineChars="0"/>
              <w:jc w:val="both"/>
              <w:textAlignment w:val="top"/>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eastAsia="zh-CN"/>
              </w:rPr>
              <w:t>俯仰转角</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lang w:eastAsia="zh-CN"/>
              </w:rPr>
              <w:t>±10º</w:t>
            </w:r>
          </w:p>
          <w:p>
            <w:pPr>
              <w:keepNext w:val="0"/>
              <w:keepLines w:val="0"/>
              <w:widowControl/>
              <w:numPr>
                <w:ilvl w:val="0"/>
                <w:numId w:val="5"/>
              </w:numPr>
              <w:suppressLineNumbers w:val="0"/>
              <w:ind w:left="0" w:leftChars="0" w:firstLine="0" w:firstLineChars="0"/>
              <w:jc w:val="both"/>
              <w:textAlignment w:val="top"/>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eastAsia="zh-CN"/>
              </w:rPr>
              <w:t>侧向转角</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lang w:eastAsia="zh-CN"/>
              </w:rPr>
              <w:t>±15º</w:t>
            </w:r>
          </w:p>
          <w:p>
            <w:pPr>
              <w:keepNext w:val="0"/>
              <w:keepLines w:val="0"/>
              <w:widowControl/>
              <w:numPr>
                <w:ilvl w:val="0"/>
                <w:numId w:val="5"/>
              </w:numPr>
              <w:suppressLineNumbers w:val="0"/>
              <w:ind w:left="0" w:leftChars="0" w:firstLine="0" w:firstLineChars="0"/>
              <w:jc w:val="both"/>
              <w:textAlignment w:val="top"/>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eastAsia="zh-CN"/>
              </w:rPr>
              <w:t>平台载重</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lang w:eastAsia="zh-CN"/>
              </w:rPr>
              <w:t>1T</w:t>
            </w:r>
          </w:p>
          <w:p>
            <w:pPr>
              <w:keepNext w:val="0"/>
              <w:keepLines w:val="0"/>
              <w:widowControl/>
              <w:numPr>
                <w:ilvl w:val="0"/>
                <w:numId w:val="5"/>
              </w:numPr>
              <w:suppressLineNumbers w:val="0"/>
              <w:ind w:left="0" w:leftChars="0" w:firstLine="0" w:firstLineChars="0"/>
              <w:jc w:val="both"/>
              <w:textAlignment w:val="top"/>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eastAsia="zh-CN"/>
              </w:rPr>
              <w:t>环境温度</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lang w:eastAsia="zh-CN"/>
              </w:rPr>
              <w:t>0~35℃</w:t>
            </w:r>
          </w:p>
          <w:p>
            <w:pPr>
              <w:keepNext w:val="0"/>
              <w:keepLines w:val="0"/>
              <w:widowControl/>
              <w:numPr>
                <w:ilvl w:val="0"/>
                <w:numId w:val="5"/>
              </w:numPr>
              <w:suppressLineNumbers w:val="0"/>
              <w:ind w:left="0" w:leftChars="0" w:firstLine="0" w:firstLineChars="0"/>
              <w:jc w:val="both"/>
              <w:textAlignment w:val="top"/>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eastAsia="zh-CN"/>
              </w:rPr>
              <w:t>系统介质</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lang w:eastAsia="zh-CN"/>
              </w:rPr>
              <w:t>L-HL46</w:t>
            </w:r>
          </w:p>
          <w:p>
            <w:pPr>
              <w:keepNext w:val="0"/>
              <w:keepLines w:val="0"/>
              <w:widowControl/>
              <w:numPr>
                <w:ilvl w:val="0"/>
                <w:numId w:val="5"/>
              </w:numPr>
              <w:suppressLineNumbers w:val="0"/>
              <w:ind w:left="0" w:leftChars="0" w:firstLine="0" w:firstLineChars="0"/>
              <w:jc w:val="both"/>
              <w:textAlignment w:val="top"/>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eastAsia="zh-CN"/>
              </w:rPr>
              <w:t>设备自重</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lang w:eastAsia="zh-CN"/>
              </w:rPr>
              <w:t>1.5T</w:t>
            </w:r>
          </w:p>
        </w:tc>
        <w:tc>
          <w:tcPr>
            <w:tcW w:w="496" w:type="dxa"/>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1056" w:type="dxa"/>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rPr>
            </w:pPr>
          </w:p>
        </w:tc>
        <w:tc>
          <w:tcPr>
            <w:tcW w:w="1056"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729"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1039" w:type="dxa"/>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防火教育演示系统</w:t>
            </w:r>
          </w:p>
        </w:tc>
        <w:tc>
          <w:tcPr>
            <w:tcW w:w="3042" w:type="dxa"/>
            <w:vAlign w:val="top"/>
          </w:tcPr>
          <w:p>
            <w:pPr>
              <w:keepNext w:val="0"/>
              <w:keepLines w:val="0"/>
              <w:widowControl/>
              <w:suppressLineNumbers w:val="0"/>
              <w:jc w:val="left"/>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 xml:space="preserve">触摸一体机                           1、屏幕尺寸 60 寸，                            配 置：I5\4G\64gSSD；                       2、屏幕比例 16:9（宽 屏 ） ， 最 佳 分 辨 率 1920*1080，亮度 300cd/ ㎡；                   3、红外触摸屏触摸点 数：10 点； </w:t>
            </w:r>
          </w:p>
          <w:p>
            <w:pPr>
              <w:keepNext w:val="0"/>
              <w:keepLines w:val="0"/>
              <w:widowControl/>
              <w:suppressLineNumbers w:val="0"/>
              <w:jc w:val="left"/>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 xml:space="preserve">4、精度：小于 2mm；                     5、光标速度：180 点/ 秒。            </w:t>
            </w:r>
          </w:p>
          <w:p>
            <w:pPr>
              <w:keepNext w:val="0"/>
              <w:keepLines w:val="0"/>
              <w:widowControl/>
              <w:suppressLineNumbers w:val="0"/>
              <w:jc w:val="left"/>
              <w:textAlignment w:val="top"/>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i w:val="0"/>
                <w:color w:val="000000"/>
                <w:kern w:val="0"/>
                <w:sz w:val="21"/>
                <w:szCs w:val="21"/>
                <w:u w:val="none"/>
                <w:lang w:val="en-US" w:eastAsia="zh-CN" w:bidi="ar"/>
              </w:rPr>
              <w:t xml:space="preserve">6、壁挂支架                           7、防火教育演示软件                     </w:t>
            </w:r>
          </w:p>
        </w:tc>
        <w:tc>
          <w:tcPr>
            <w:tcW w:w="496" w:type="dxa"/>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1056" w:type="dxa"/>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rPr>
            </w:pPr>
          </w:p>
        </w:tc>
        <w:tc>
          <w:tcPr>
            <w:tcW w:w="1056"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729"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683"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1039" w:type="dxa"/>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模拟灭火装置</w:t>
            </w:r>
          </w:p>
        </w:tc>
        <w:tc>
          <w:tcPr>
            <w:tcW w:w="3042" w:type="dxa"/>
            <w:vAlign w:val="top"/>
          </w:tcPr>
          <w:p>
            <w:pPr>
              <w:keepNext w:val="0"/>
              <w:keepLines w:val="0"/>
              <w:widowControl/>
              <w:suppressLineNumbers w:val="0"/>
              <w:jc w:val="left"/>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 xml:space="preserve">电脑一体机                           1、屏幕尺寸 60 寸，                            配 置：I5\4G\64gSSD；                       2、屏幕比例 16:9（宽 屏 ） ， 最 佳 分 辨 率 1920*1080，亮度 300cd/ ㎡；                   3、壁挂支架   </w:t>
            </w:r>
          </w:p>
          <w:p>
            <w:pPr>
              <w:keepNext w:val="0"/>
              <w:keepLines w:val="0"/>
              <w:widowControl/>
              <w:numPr>
                <w:ilvl w:val="0"/>
                <w:numId w:val="6"/>
              </w:numPr>
              <w:suppressLineNumbers w:val="0"/>
              <w:jc w:val="left"/>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 xml:space="preserve">改装电子灭火钢瓶（干粉，泡沫，水剂，二氧化碳）   </w:t>
            </w:r>
          </w:p>
          <w:p>
            <w:pPr>
              <w:keepNext w:val="0"/>
              <w:keepLines w:val="0"/>
              <w:widowControl/>
              <w:numPr>
                <w:ilvl w:val="0"/>
                <w:numId w:val="6"/>
              </w:numPr>
              <w:suppressLineNumbers w:val="0"/>
              <w:jc w:val="left"/>
              <w:textAlignment w:val="top"/>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i w:val="0"/>
                <w:color w:val="000000"/>
                <w:kern w:val="0"/>
                <w:sz w:val="21"/>
                <w:szCs w:val="21"/>
                <w:u w:val="none"/>
                <w:lang w:val="en-US" w:eastAsia="zh-CN" w:bidi="ar"/>
              </w:rPr>
              <w:t xml:space="preserve">模拟灭火软件                    </w:t>
            </w:r>
          </w:p>
        </w:tc>
        <w:tc>
          <w:tcPr>
            <w:tcW w:w="496" w:type="dxa"/>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1056" w:type="dxa"/>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rPr>
            </w:pPr>
          </w:p>
        </w:tc>
        <w:tc>
          <w:tcPr>
            <w:tcW w:w="1056"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729"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trPr>
        <w:tc>
          <w:tcPr>
            <w:tcW w:w="683"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1039" w:type="dxa"/>
            <w:vAlign w:val="center"/>
          </w:tcPr>
          <w:p>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高层逃生演练装置（场馆式）</w:t>
            </w:r>
          </w:p>
        </w:tc>
        <w:tc>
          <w:tcPr>
            <w:tcW w:w="3042" w:type="dxa"/>
            <w:vAlign w:val="top"/>
          </w:tcPr>
          <w:p>
            <w:pPr>
              <w:keepNext w:val="0"/>
              <w:keepLines w:val="0"/>
              <w:widowControl/>
              <w:numPr>
                <w:ilvl w:val="0"/>
                <w:numId w:val="7"/>
              </w:numPr>
              <w:suppressLineNumbers w:val="0"/>
              <w:jc w:val="left"/>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头盔*3</w:t>
            </w:r>
          </w:p>
          <w:p>
            <w:pPr>
              <w:keepNext w:val="0"/>
              <w:keepLines w:val="0"/>
              <w:widowControl/>
              <w:numPr>
                <w:ilvl w:val="0"/>
                <w:numId w:val="7"/>
              </w:numPr>
              <w:suppressLineNumbers w:val="0"/>
              <w:ind w:left="0" w:leftChars="0" w:firstLine="0" w:firstLineChars="0"/>
              <w:jc w:val="left"/>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手套*3</w:t>
            </w:r>
          </w:p>
          <w:p>
            <w:pPr>
              <w:keepNext w:val="0"/>
              <w:keepLines w:val="0"/>
              <w:widowControl/>
              <w:numPr>
                <w:ilvl w:val="0"/>
                <w:numId w:val="7"/>
              </w:numPr>
              <w:suppressLineNumbers w:val="0"/>
              <w:ind w:left="0" w:leftChars="0" w:firstLine="0" w:firstLineChars="0"/>
              <w:jc w:val="left"/>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缓降器*1</w:t>
            </w:r>
          </w:p>
          <w:p>
            <w:pPr>
              <w:keepNext w:val="0"/>
              <w:keepLines w:val="0"/>
              <w:widowControl/>
              <w:numPr>
                <w:ilvl w:val="0"/>
                <w:numId w:val="7"/>
              </w:numPr>
              <w:suppressLineNumbers w:val="0"/>
              <w:ind w:left="0" w:leftChars="0" w:firstLine="0" w:firstLineChars="0"/>
              <w:jc w:val="left"/>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滑竿*1</w:t>
            </w:r>
          </w:p>
          <w:p>
            <w:pPr>
              <w:keepNext w:val="0"/>
              <w:keepLines w:val="0"/>
              <w:widowControl/>
              <w:numPr>
                <w:ilvl w:val="0"/>
                <w:numId w:val="7"/>
              </w:numPr>
              <w:suppressLineNumbers w:val="0"/>
              <w:ind w:left="0" w:leftChars="0" w:firstLine="0" w:firstLineChars="0"/>
              <w:jc w:val="left"/>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软梯*1</w:t>
            </w:r>
          </w:p>
          <w:p>
            <w:pPr>
              <w:keepNext w:val="0"/>
              <w:keepLines w:val="0"/>
              <w:widowControl/>
              <w:numPr>
                <w:ilvl w:val="0"/>
                <w:numId w:val="0"/>
              </w:numPr>
              <w:suppressLineNumbers w:val="0"/>
              <w:ind w:leftChars="0"/>
              <w:jc w:val="left"/>
              <w:textAlignment w:val="top"/>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i w:val="0"/>
                <w:color w:val="000000"/>
                <w:kern w:val="0"/>
                <w:sz w:val="21"/>
                <w:szCs w:val="21"/>
                <w:u w:val="none"/>
                <w:lang w:val="en-US" w:eastAsia="zh-CN" w:bidi="ar"/>
              </w:rPr>
              <w:t>6、缓冲海绵垫</w:t>
            </w:r>
          </w:p>
        </w:tc>
        <w:tc>
          <w:tcPr>
            <w:tcW w:w="496" w:type="dxa"/>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1056" w:type="dxa"/>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rPr>
            </w:pPr>
          </w:p>
        </w:tc>
        <w:tc>
          <w:tcPr>
            <w:tcW w:w="1056"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729"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w:t>
            </w:r>
          </w:p>
        </w:tc>
        <w:tc>
          <w:tcPr>
            <w:tcW w:w="1039" w:type="dxa"/>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自救结绳演练装置</w:t>
            </w:r>
          </w:p>
        </w:tc>
        <w:tc>
          <w:tcPr>
            <w:tcW w:w="3042" w:type="dxa"/>
            <w:vAlign w:val="top"/>
          </w:tcPr>
          <w:p>
            <w:pPr>
              <w:keepNext w:val="0"/>
              <w:keepLines w:val="0"/>
              <w:widowControl/>
              <w:suppressLineNumbers w:val="0"/>
              <w:jc w:val="left"/>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1、显示器：屏幕尺寸32寸，配置SIGMA 芯片SMP8653；播放介质容量：CF卡，SATA、SD卡U盘等做为播放介质.容量支持无上限；</w:t>
            </w:r>
          </w:p>
          <w:p>
            <w:pPr>
              <w:keepNext w:val="0"/>
              <w:keepLines w:val="0"/>
              <w:widowControl/>
              <w:suppressLineNumbers w:val="0"/>
              <w:jc w:val="left"/>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2、结绳器具：满足2人以上同时练习。</w:t>
            </w:r>
          </w:p>
          <w:p>
            <w:pPr>
              <w:keepNext w:val="0"/>
              <w:keepLines w:val="0"/>
              <w:widowControl/>
              <w:suppressLineNumbers w:val="0"/>
              <w:jc w:val="left"/>
              <w:textAlignment w:val="top"/>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i w:val="0"/>
                <w:color w:val="000000"/>
                <w:kern w:val="0"/>
                <w:sz w:val="21"/>
                <w:szCs w:val="21"/>
                <w:u w:val="none"/>
                <w:lang w:val="en-US" w:eastAsia="zh-CN" w:bidi="ar"/>
              </w:rPr>
              <w:t>3、教学软件：播放各种结绳方法。</w:t>
            </w:r>
          </w:p>
        </w:tc>
        <w:tc>
          <w:tcPr>
            <w:tcW w:w="496" w:type="dxa"/>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1056" w:type="dxa"/>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rPr>
            </w:pPr>
          </w:p>
        </w:tc>
        <w:tc>
          <w:tcPr>
            <w:tcW w:w="1056"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729"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8" w:hRule="atLeast"/>
        </w:trPr>
        <w:tc>
          <w:tcPr>
            <w:tcW w:w="683"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w:t>
            </w:r>
          </w:p>
        </w:tc>
        <w:tc>
          <w:tcPr>
            <w:tcW w:w="1039" w:type="dxa"/>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 xml:space="preserve">烟雾逃生通道体验系统 </w:t>
            </w:r>
          </w:p>
        </w:tc>
        <w:tc>
          <w:tcPr>
            <w:tcW w:w="3042" w:type="dxa"/>
            <w:vAlign w:val="top"/>
          </w:tcPr>
          <w:p>
            <w:pPr>
              <w:keepNext w:val="0"/>
              <w:keepLines w:val="0"/>
              <w:widowControl/>
              <w:numPr>
                <w:ilvl w:val="0"/>
                <w:numId w:val="0"/>
              </w:numPr>
              <w:suppressLineNumbers w:val="0"/>
              <w:ind w:leftChars="0"/>
              <w:jc w:val="left"/>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触摸一体机</w:t>
            </w:r>
          </w:p>
          <w:p>
            <w:pPr>
              <w:keepNext w:val="0"/>
              <w:keepLines w:val="0"/>
              <w:widowControl/>
              <w:numPr>
                <w:ilvl w:val="0"/>
                <w:numId w:val="0"/>
              </w:numPr>
              <w:suppressLineNumbers w:val="0"/>
              <w:jc w:val="left"/>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 xml:space="preserve">屏幕尺寸 32 寸，配 置：I5\4G\64gSSD；                       2、屏幕比例 16:10（宽 屏 ） ， 最 佳 分 辨 率 1920*1080，亮度 300cd/ ㎡；            </w:t>
            </w:r>
          </w:p>
          <w:p>
            <w:pPr>
              <w:keepNext w:val="0"/>
              <w:keepLines w:val="0"/>
              <w:widowControl/>
              <w:numPr>
                <w:ilvl w:val="0"/>
                <w:numId w:val="8"/>
              </w:numPr>
              <w:suppressLineNumbers w:val="0"/>
              <w:ind w:left="0" w:leftChars="0" w:firstLine="0" w:firstLineChars="0"/>
              <w:jc w:val="left"/>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 xml:space="preserve">消防应急指示灯*4       </w:t>
            </w:r>
          </w:p>
          <w:p>
            <w:pPr>
              <w:keepNext w:val="0"/>
              <w:keepLines w:val="0"/>
              <w:widowControl/>
              <w:numPr>
                <w:ilvl w:val="0"/>
                <w:numId w:val="8"/>
              </w:numPr>
              <w:suppressLineNumbers w:val="0"/>
              <w:ind w:left="0" w:leftChars="0" w:firstLine="0" w:firstLineChars="0"/>
              <w:jc w:val="left"/>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 xml:space="preserve">消防安全出口指示灯灯*2              4、喇叭音响*2            </w:t>
            </w:r>
          </w:p>
          <w:p>
            <w:pPr>
              <w:keepNext w:val="0"/>
              <w:keepLines w:val="0"/>
              <w:widowControl/>
              <w:numPr>
                <w:ilvl w:val="0"/>
                <w:numId w:val="0"/>
              </w:numPr>
              <w:suppressLineNumbers w:val="0"/>
              <w:ind w:leftChars="0"/>
              <w:jc w:val="left"/>
              <w:textAlignment w:val="top"/>
              <w:rPr>
                <w:rFonts w:hint="default"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5、发烟机*2</w:t>
            </w:r>
          </w:p>
          <w:p>
            <w:pPr>
              <w:keepNext w:val="0"/>
              <w:keepLines w:val="0"/>
              <w:widowControl/>
              <w:numPr>
                <w:ilvl w:val="0"/>
                <w:numId w:val="6"/>
              </w:numPr>
              <w:suppressLineNumbers w:val="0"/>
              <w:ind w:left="0" w:leftChars="0" w:firstLine="0" w:firstLineChars="0"/>
              <w:jc w:val="left"/>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监控摄像头*2</w:t>
            </w:r>
          </w:p>
          <w:p>
            <w:pPr>
              <w:keepNext w:val="0"/>
              <w:keepLines w:val="0"/>
              <w:widowControl/>
              <w:numPr>
                <w:ilvl w:val="0"/>
                <w:numId w:val="6"/>
              </w:numPr>
              <w:suppressLineNumbers w:val="0"/>
              <w:ind w:left="0" w:leftChars="0" w:firstLine="0" w:firstLineChars="0"/>
              <w:jc w:val="left"/>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红外发射器及高度探测系统*7</w:t>
            </w:r>
          </w:p>
          <w:p>
            <w:pPr>
              <w:keepNext w:val="0"/>
              <w:keepLines w:val="0"/>
              <w:widowControl/>
              <w:numPr>
                <w:ilvl w:val="0"/>
                <w:numId w:val="6"/>
              </w:numPr>
              <w:suppressLineNumbers w:val="0"/>
              <w:ind w:left="0" w:leftChars="0" w:firstLine="0" w:firstLineChars="0"/>
              <w:jc w:val="left"/>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应急照明灯*3</w:t>
            </w:r>
          </w:p>
          <w:p>
            <w:pPr>
              <w:keepNext w:val="0"/>
              <w:keepLines w:val="0"/>
              <w:widowControl/>
              <w:numPr>
                <w:ilvl w:val="0"/>
                <w:numId w:val="6"/>
              </w:numPr>
              <w:suppressLineNumbers w:val="0"/>
              <w:ind w:left="0" w:leftChars="0" w:firstLine="0" w:firstLineChars="0"/>
              <w:jc w:val="left"/>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声光报警器*1</w:t>
            </w:r>
          </w:p>
          <w:p>
            <w:pPr>
              <w:keepNext w:val="0"/>
              <w:keepLines w:val="0"/>
              <w:widowControl/>
              <w:numPr>
                <w:ilvl w:val="0"/>
                <w:numId w:val="6"/>
              </w:numPr>
              <w:suppressLineNumbers w:val="0"/>
              <w:ind w:left="0" w:leftChars="0" w:firstLine="0" w:firstLineChars="0"/>
              <w:jc w:val="left"/>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无线键盘*1</w:t>
            </w:r>
          </w:p>
          <w:p>
            <w:pPr>
              <w:keepNext w:val="0"/>
              <w:keepLines w:val="0"/>
              <w:widowControl/>
              <w:numPr>
                <w:ilvl w:val="0"/>
                <w:numId w:val="6"/>
              </w:numPr>
              <w:suppressLineNumbers w:val="0"/>
              <w:ind w:left="0" w:leftChars="0" w:firstLine="0" w:firstLineChars="0"/>
              <w:jc w:val="left"/>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模拟电梯按键*1</w:t>
            </w:r>
          </w:p>
          <w:p>
            <w:pPr>
              <w:keepNext w:val="0"/>
              <w:keepLines w:val="0"/>
              <w:widowControl/>
              <w:numPr>
                <w:ilvl w:val="0"/>
                <w:numId w:val="6"/>
              </w:numPr>
              <w:suppressLineNumbers w:val="0"/>
              <w:ind w:left="0" w:leftChars="0" w:firstLine="0" w:firstLineChars="0"/>
              <w:jc w:val="left"/>
              <w:textAlignment w:val="top"/>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i w:val="0"/>
                <w:color w:val="000000"/>
                <w:kern w:val="0"/>
                <w:sz w:val="21"/>
                <w:szCs w:val="21"/>
                <w:u w:val="none"/>
                <w:lang w:val="en-US" w:eastAsia="zh-CN" w:bidi="ar"/>
              </w:rPr>
              <w:t>逃生通道集控系统</w:t>
            </w:r>
          </w:p>
        </w:tc>
        <w:tc>
          <w:tcPr>
            <w:tcW w:w="496" w:type="dxa"/>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1056" w:type="dxa"/>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rPr>
            </w:pPr>
          </w:p>
        </w:tc>
        <w:tc>
          <w:tcPr>
            <w:tcW w:w="1056"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729"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2" w:hRule="atLeast"/>
        </w:trPr>
        <w:tc>
          <w:tcPr>
            <w:tcW w:w="683"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w:t>
            </w:r>
          </w:p>
        </w:tc>
        <w:tc>
          <w:tcPr>
            <w:tcW w:w="1039" w:type="dxa"/>
            <w:vAlign w:val="center"/>
          </w:tcPr>
          <w:p>
            <w:pPr>
              <w:keepNext w:val="0"/>
              <w:keepLines w:val="0"/>
              <w:widowControl/>
              <w:suppressLineNumbers w:val="0"/>
              <w:jc w:val="center"/>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厨房隐患排查体验系统（场馆）</w:t>
            </w:r>
          </w:p>
        </w:tc>
        <w:tc>
          <w:tcPr>
            <w:tcW w:w="3042" w:type="dxa"/>
            <w:vAlign w:val="top"/>
          </w:tcPr>
          <w:p>
            <w:pPr>
              <w:keepNext w:val="0"/>
              <w:keepLines w:val="0"/>
              <w:widowControl/>
              <w:numPr>
                <w:ilvl w:val="0"/>
                <w:numId w:val="0"/>
              </w:numPr>
              <w:suppressLineNumbers w:val="0"/>
              <w:ind w:leftChars="0"/>
              <w:jc w:val="left"/>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触摸一体机</w:t>
            </w:r>
          </w:p>
          <w:p>
            <w:pPr>
              <w:keepNext w:val="0"/>
              <w:keepLines w:val="0"/>
              <w:widowControl/>
              <w:numPr>
                <w:ilvl w:val="0"/>
                <w:numId w:val="9"/>
              </w:numPr>
              <w:suppressLineNumbers w:val="0"/>
              <w:ind w:leftChars="0"/>
              <w:jc w:val="left"/>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 xml:space="preserve">屏幕尺寸 32 寸，配 置：I5\4G\64gSSD；                       2、屏幕比例 16:10（宽 屏 ） ， 最 佳 分 辨 率 1920*1080，亮度 300cd/ ㎡； </w:t>
            </w:r>
          </w:p>
          <w:p>
            <w:pPr>
              <w:keepNext w:val="0"/>
              <w:keepLines w:val="0"/>
              <w:widowControl/>
              <w:numPr>
                <w:ilvl w:val="0"/>
                <w:numId w:val="0"/>
              </w:numPr>
              <w:suppressLineNumbers w:val="0"/>
              <w:jc w:val="left"/>
              <w:textAlignment w:val="top"/>
              <w:rPr>
                <w:rFonts w:hint="eastAsia" w:asciiTheme="majorEastAsia" w:hAnsiTheme="majorEastAsia" w:eastAsiaTheme="majorEastAsia" w:cstheme="majorEastAsia"/>
                <w:i w:val="0"/>
                <w:color w:val="000000"/>
                <w:kern w:val="0"/>
                <w:sz w:val="21"/>
                <w:szCs w:val="21"/>
                <w:u w:val="none"/>
                <w:lang w:val="en-US" w:eastAsia="zh-CN" w:bidi="ar"/>
              </w:rPr>
            </w:pPr>
          </w:p>
          <w:p>
            <w:pPr>
              <w:keepNext w:val="0"/>
              <w:keepLines w:val="0"/>
              <w:widowControl/>
              <w:numPr>
                <w:ilvl w:val="0"/>
                <w:numId w:val="0"/>
              </w:numPr>
              <w:suppressLineNumbers w:val="0"/>
              <w:ind w:leftChars="0"/>
              <w:jc w:val="left"/>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 xml:space="preserve">3、红外触摸屏触摸点 数：10 点；   </w:t>
            </w:r>
          </w:p>
          <w:p>
            <w:pPr>
              <w:keepNext w:val="0"/>
              <w:keepLines w:val="0"/>
              <w:widowControl/>
              <w:numPr>
                <w:ilvl w:val="0"/>
                <w:numId w:val="0"/>
              </w:numPr>
              <w:suppressLineNumbers w:val="0"/>
              <w:ind w:leftChars="0"/>
              <w:jc w:val="left"/>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4、精度：小于 2mm；                     5、光标速度：180 点/ 秒。            6、壁挂支架</w:t>
            </w:r>
          </w:p>
          <w:p>
            <w:pPr>
              <w:keepNext w:val="0"/>
              <w:keepLines w:val="0"/>
              <w:widowControl/>
              <w:numPr>
                <w:ilvl w:val="0"/>
                <w:numId w:val="10"/>
              </w:numPr>
              <w:suppressLineNumbers w:val="0"/>
              <w:ind w:leftChars="0"/>
              <w:jc w:val="left"/>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 xml:space="preserve">本装置是由实际的厨房模型为载体，配备有（1、火灶2、炒锅3、锅盖4、煤气管道5、煤气罐6、微波炉7、抽油烟机8、通风窗户模型厨房设备） </w:t>
            </w:r>
          </w:p>
          <w:p>
            <w:pPr>
              <w:keepNext w:val="0"/>
              <w:keepLines w:val="0"/>
              <w:widowControl/>
              <w:numPr>
                <w:ilvl w:val="0"/>
                <w:numId w:val="10"/>
              </w:numPr>
              <w:suppressLineNumbers w:val="0"/>
              <w:ind w:leftChars="0"/>
              <w:jc w:val="left"/>
              <w:textAlignment w:val="top"/>
              <w:rPr>
                <w:rFonts w:hint="eastAsia" w:asciiTheme="majorEastAsia" w:hAnsiTheme="majorEastAsia" w:eastAsiaTheme="majorEastAsia" w:cstheme="majorEastAsia"/>
                <w:kern w:val="2"/>
                <w:sz w:val="21"/>
                <w:szCs w:val="21"/>
                <w:vertAlign w:val="baseline"/>
                <w:lang w:val="en-US" w:eastAsia="zh-CN" w:bidi="ar-SA"/>
              </w:rPr>
            </w:pPr>
            <w:r>
              <w:rPr>
                <w:rFonts w:hint="eastAsia" w:asciiTheme="majorEastAsia" w:hAnsiTheme="majorEastAsia" w:eastAsiaTheme="majorEastAsia" w:cstheme="majorEastAsia"/>
                <w:i w:val="0"/>
                <w:color w:val="000000"/>
                <w:kern w:val="0"/>
                <w:sz w:val="21"/>
                <w:szCs w:val="21"/>
                <w:u w:val="none"/>
                <w:lang w:val="en-US" w:eastAsia="zh-CN" w:bidi="ar"/>
              </w:rPr>
              <w:t xml:space="preserve">厨房隐患排查互动软件                     </w:t>
            </w:r>
          </w:p>
        </w:tc>
        <w:tc>
          <w:tcPr>
            <w:tcW w:w="496" w:type="dxa"/>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1056" w:type="dxa"/>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rPr>
            </w:pPr>
          </w:p>
        </w:tc>
        <w:tc>
          <w:tcPr>
            <w:tcW w:w="1056"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729"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0" w:hRule="atLeast"/>
        </w:trPr>
        <w:tc>
          <w:tcPr>
            <w:tcW w:w="683"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w:t>
            </w:r>
          </w:p>
        </w:tc>
        <w:tc>
          <w:tcPr>
            <w:tcW w:w="1039" w:type="dxa"/>
            <w:vAlign w:val="center"/>
          </w:tcPr>
          <w:p>
            <w:pPr>
              <w:keepNext w:val="0"/>
              <w:keepLines w:val="0"/>
              <w:widowControl/>
              <w:suppressLineNumbers w:val="0"/>
              <w:jc w:val="both"/>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模拟驾驶体验系统（虚拟）</w:t>
            </w:r>
          </w:p>
        </w:tc>
        <w:tc>
          <w:tcPr>
            <w:tcW w:w="3042" w:type="dxa"/>
            <w:vAlign w:val="top"/>
          </w:tcPr>
          <w:p>
            <w:pPr>
              <w:keepNext w:val="0"/>
              <w:keepLines w:val="0"/>
              <w:widowControl/>
              <w:suppressLineNumbers w:val="0"/>
              <w:jc w:val="both"/>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1.框架采用汽车专用钢及优质玻璃钢打造而成，具有尊贵典雅、无毒无味、避免漏电的优点.</w:t>
            </w:r>
          </w:p>
          <w:p>
            <w:pPr>
              <w:keepNext w:val="0"/>
              <w:keepLines w:val="0"/>
              <w:widowControl/>
              <w:suppressLineNumbers w:val="0"/>
              <w:jc w:val="both"/>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2.控制台采用玻璃钢一体成型</w:t>
            </w:r>
          </w:p>
          <w:p>
            <w:pPr>
              <w:keepNext w:val="0"/>
              <w:keepLines w:val="0"/>
              <w:widowControl/>
              <w:suppressLineNumbers w:val="0"/>
              <w:jc w:val="both"/>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r>
              <w:rPr>
                <w:rFonts w:hint="eastAsia" w:asciiTheme="majorEastAsia" w:hAnsiTheme="majorEastAsia" w:eastAsiaTheme="majorEastAsia" w:cstheme="majorEastAsia"/>
                <w:i w:val="0"/>
                <w:color w:val="000000"/>
                <w:kern w:val="0"/>
                <w:sz w:val="21"/>
                <w:szCs w:val="21"/>
                <w:u w:val="none"/>
                <w:lang w:val="en-US" w:eastAsia="zh-CN" w:bidi="ar"/>
              </w:rPr>
              <w:t>3.真车方向盘，电机加皮带传动，力感同实车，可自动回位</w:t>
            </w:r>
          </w:p>
          <w:p>
            <w:pPr>
              <w:keepNext w:val="0"/>
              <w:keepLines w:val="0"/>
              <w:widowControl/>
              <w:suppressLineNumbers w:val="0"/>
              <w:jc w:val="both"/>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r>
              <w:rPr>
                <w:rFonts w:hint="eastAsia" w:asciiTheme="majorEastAsia" w:hAnsiTheme="majorEastAsia" w:eastAsiaTheme="majorEastAsia" w:cstheme="majorEastAsia"/>
                <w:i w:val="0"/>
                <w:color w:val="000000"/>
                <w:kern w:val="0"/>
                <w:sz w:val="21"/>
                <w:szCs w:val="21"/>
                <w:u w:val="none"/>
                <w:lang w:val="en-US" w:eastAsia="zh-CN" w:bidi="ar"/>
              </w:rPr>
              <w:t>4.真车配件，采用电磁感应原理，与汽车驻车加速功能一致</w:t>
            </w:r>
          </w:p>
          <w:p>
            <w:pPr>
              <w:keepNext w:val="0"/>
              <w:keepLines w:val="0"/>
              <w:widowControl/>
              <w:suppressLineNumbers w:val="0"/>
              <w:jc w:val="both"/>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r>
              <w:rPr>
                <w:rFonts w:hint="eastAsia" w:asciiTheme="majorEastAsia" w:hAnsiTheme="majorEastAsia" w:eastAsiaTheme="majorEastAsia" w:cstheme="majorEastAsia"/>
                <w:i w:val="0"/>
                <w:color w:val="000000"/>
                <w:kern w:val="0"/>
                <w:sz w:val="21"/>
                <w:szCs w:val="21"/>
                <w:u w:val="none"/>
                <w:lang w:val="en-US" w:eastAsia="zh-CN" w:bidi="ar"/>
              </w:rPr>
              <w:t>5.实车仪表台，实时反馈车速与发动机转速，不工作时回至零位</w:t>
            </w:r>
          </w:p>
          <w:p>
            <w:pPr>
              <w:keepNext w:val="0"/>
              <w:keepLines w:val="0"/>
              <w:widowControl/>
              <w:suppressLineNumbers w:val="0"/>
              <w:jc w:val="both"/>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r>
              <w:rPr>
                <w:rFonts w:hint="eastAsia" w:asciiTheme="majorEastAsia" w:hAnsiTheme="majorEastAsia" w:eastAsiaTheme="majorEastAsia" w:cstheme="majorEastAsia"/>
                <w:i w:val="0"/>
                <w:color w:val="000000"/>
                <w:kern w:val="0"/>
                <w:sz w:val="21"/>
                <w:szCs w:val="21"/>
                <w:u w:val="none"/>
                <w:lang w:val="en-US" w:eastAsia="zh-CN" w:bidi="ar"/>
              </w:rPr>
              <w:t>6.真车座椅，可调节前座椅后及靠背斜度</w:t>
            </w:r>
          </w:p>
          <w:p>
            <w:pPr>
              <w:keepNext w:val="0"/>
              <w:keepLines w:val="0"/>
              <w:widowControl/>
              <w:suppressLineNumbers w:val="0"/>
              <w:jc w:val="both"/>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r>
              <w:rPr>
                <w:rFonts w:hint="eastAsia" w:asciiTheme="majorEastAsia" w:hAnsiTheme="majorEastAsia" w:eastAsiaTheme="majorEastAsia" w:cstheme="majorEastAsia"/>
                <w:i w:val="0"/>
                <w:color w:val="000000"/>
                <w:kern w:val="0"/>
                <w:sz w:val="21"/>
                <w:szCs w:val="21"/>
                <w:u w:val="none"/>
                <w:lang w:val="en-US" w:eastAsia="zh-CN" w:bidi="ar"/>
              </w:rPr>
              <w:t>7.三点式结构，带感应装置，自动提醒插好安全带</w:t>
            </w:r>
          </w:p>
          <w:p>
            <w:pPr>
              <w:keepNext w:val="0"/>
              <w:keepLines w:val="0"/>
              <w:widowControl/>
              <w:suppressLineNumbers w:val="0"/>
              <w:jc w:val="both"/>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r>
              <w:rPr>
                <w:rFonts w:hint="eastAsia" w:asciiTheme="majorEastAsia" w:hAnsiTheme="majorEastAsia" w:eastAsiaTheme="majorEastAsia" w:cstheme="majorEastAsia"/>
                <w:i w:val="0"/>
                <w:color w:val="000000"/>
                <w:kern w:val="0"/>
                <w:sz w:val="21"/>
                <w:szCs w:val="21"/>
                <w:u w:val="none"/>
                <w:lang w:val="en-US" w:eastAsia="zh-CN" w:bidi="ar"/>
              </w:rPr>
              <w:t>8.左转向灯、右转向灯、远光灯、近光灯、雨刷、应急灯、喇叭、点火开关、总电开关等</w:t>
            </w:r>
          </w:p>
          <w:p>
            <w:pPr>
              <w:keepNext w:val="0"/>
              <w:keepLines w:val="0"/>
              <w:widowControl/>
              <w:suppressLineNumbers w:val="0"/>
              <w:jc w:val="both"/>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9.采用非接触式电磁感应原理，避免传感器与硬件之间产生接触与磨损，将电路的使用寿命周期最大化</w:t>
            </w:r>
          </w:p>
          <w:p>
            <w:pPr>
              <w:keepNext w:val="0"/>
              <w:keepLines w:val="0"/>
              <w:widowControl/>
              <w:suppressLineNumbers w:val="0"/>
              <w:jc w:val="both"/>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10.各操作件通过各自的传感器，经数据传感板给计算机信号，然后经计算机处理数据给电视机信号</w:t>
            </w:r>
          </w:p>
          <w:p>
            <w:pPr>
              <w:keepNext w:val="0"/>
              <w:keepLines w:val="0"/>
              <w:widowControl/>
              <w:suppressLineNumbers w:val="0"/>
              <w:jc w:val="both"/>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r>
              <w:rPr>
                <w:rFonts w:hint="eastAsia" w:asciiTheme="majorEastAsia" w:hAnsiTheme="majorEastAsia" w:eastAsiaTheme="majorEastAsia" w:cstheme="majorEastAsia"/>
                <w:i w:val="0"/>
                <w:color w:val="000000"/>
                <w:kern w:val="0"/>
                <w:sz w:val="21"/>
                <w:szCs w:val="21"/>
                <w:u w:val="none"/>
                <w:lang w:val="en-US" w:eastAsia="zh-CN" w:bidi="ar"/>
              </w:rPr>
              <w:t>11.采用嵌入式小键盘，专为汽车模拟器定制，操作简单</w:t>
            </w:r>
          </w:p>
          <w:p>
            <w:pPr>
              <w:keepNext w:val="0"/>
              <w:keepLines w:val="0"/>
              <w:widowControl/>
              <w:suppressLineNumbers w:val="0"/>
              <w:jc w:val="both"/>
              <w:textAlignment w:val="top"/>
              <w:rPr>
                <w:rFonts w:hint="eastAsia"/>
                <w:lang w:val="en-US" w:eastAsia="zh-CN"/>
              </w:rPr>
            </w:pPr>
            <w:r>
              <w:rPr>
                <w:rFonts w:hint="eastAsia" w:asciiTheme="majorEastAsia" w:hAnsiTheme="majorEastAsia" w:eastAsiaTheme="majorEastAsia" w:cstheme="majorEastAsia"/>
                <w:i w:val="0"/>
                <w:color w:val="000000"/>
                <w:kern w:val="0"/>
                <w:sz w:val="21"/>
                <w:szCs w:val="21"/>
                <w:u w:val="none"/>
                <w:lang w:val="en-US" w:eastAsia="zh-CN" w:bidi="ar"/>
              </w:rPr>
              <w:t>12.三屏22寸屏幕液晶显示器</w:t>
            </w:r>
          </w:p>
        </w:tc>
        <w:tc>
          <w:tcPr>
            <w:tcW w:w="496" w:type="dxa"/>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1056" w:type="dxa"/>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rPr>
            </w:pPr>
          </w:p>
        </w:tc>
        <w:tc>
          <w:tcPr>
            <w:tcW w:w="1056"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729"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trPr>
        <w:tc>
          <w:tcPr>
            <w:tcW w:w="683"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10</w:t>
            </w:r>
          </w:p>
        </w:tc>
        <w:tc>
          <w:tcPr>
            <w:tcW w:w="1039" w:type="dxa"/>
            <w:vAlign w:val="center"/>
          </w:tcPr>
          <w:p>
            <w:pPr>
              <w:keepNext w:val="0"/>
              <w:keepLines w:val="0"/>
              <w:widowControl/>
              <w:suppressLineNumbers w:val="0"/>
              <w:jc w:val="center"/>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路口交通安全通行训练系统（红绿灯体验系统）</w:t>
            </w:r>
          </w:p>
        </w:tc>
        <w:tc>
          <w:tcPr>
            <w:tcW w:w="3042" w:type="dxa"/>
            <w:vAlign w:val="top"/>
          </w:tcPr>
          <w:p>
            <w:pPr>
              <w:keepNext w:val="0"/>
              <w:keepLines w:val="0"/>
              <w:widowControl/>
              <w:numPr>
                <w:ilvl w:val="0"/>
                <w:numId w:val="0"/>
              </w:numPr>
              <w:suppressLineNumbers w:val="0"/>
              <w:ind w:leftChars="0"/>
              <w:jc w:val="left"/>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触摸一体机</w:t>
            </w:r>
          </w:p>
          <w:p>
            <w:pPr>
              <w:keepNext w:val="0"/>
              <w:keepLines w:val="0"/>
              <w:widowControl/>
              <w:numPr>
                <w:ilvl w:val="0"/>
                <w:numId w:val="0"/>
              </w:numPr>
              <w:suppressLineNumbers w:val="0"/>
              <w:jc w:val="left"/>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 xml:space="preserve">1、屏幕尺寸 50寸，配 置：I5\4G\64gSSD；                       2、屏幕比例 16:10（宽 屏 ） ， 最 佳 分 辨 率 1920*1080，亮度 300cd/ ㎡； </w:t>
            </w:r>
          </w:p>
          <w:p>
            <w:pPr>
              <w:keepNext w:val="0"/>
              <w:keepLines w:val="0"/>
              <w:widowControl/>
              <w:numPr>
                <w:ilvl w:val="0"/>
                <w:numId w:val="0"/>
              </w:numPr>
              <w:suppressLineNumbers w:val="0"/>
              <w:ind w:leftChars="0"/>
              <w:jc w:val="left"/>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 xml:space="preserve">3、红外触摸屏触摸点 数：10 点；   </w:t>
            </w:r>
          </w:p>
          <w:p>
            <w:pPr>
              <w:keepNext w:val="0"/>
              <w:keepLines w:val="0"/>
              <w:widowControl/>
              <w:numPr>
                <w:ilvl w:val="0"/>
                <w:numId w:val="0"/>
              </w:numPr>
              <w:suppressLineNumbers w:val="0"/>
              <w:ind w:leftChars="0"/>
              <w:jc w:val="left"/>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4、精度：小于 2mm；                     5、光标速度：180 点/ 秒。            6、壁挂支架</w:t>
            </w:r>
          </w:p>
          <w:p>
            <w:pPr>
              <w:keepNext w:val="0"/>
              <w:keepLines w:val="0"/>
              <w:widowControl/>
              <w:numPr>
                <w:ilvl w:val="0"/>
                <w:numId w:val="0"/>
              </w:numPr>
              <w:suppressLineNumbers w:val="0"/>
              <w:ind w:leftChars="0"/>
              <w:jc w:val="left"/>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7、交通车行灯*1</w:t>
            </w:r>
          </w:p>
          <w:p>
            <w:pPr>
              <w:keepNext w:val="0"/>
              <w:keepLines w:val="0"/>
              <w:widowControl/>
              <w:numPr>
                <w:ilvl w:val="0"/>
                <w:numId w:val="0"/>
              </w:numPr>
              <w:suppressLineNumbers w:val="0"/>
              <w:ind w:leftChars="0"/>
              <w:jc w:val="left"/>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8、交通人行灯*1</w:t>
            </w:r>
          </w:p>
          <w:p>
            <w:pPr>
              <w:keepNext w:val="0"/>
              <w:keepLines w:val="0"/>
              <w:widowControl/>
              <w:numPr>
                <w:ilvl w:val="0"/>
                <w:numId w:val="0"/>
              </w:numPr>
              <w:suppressLineNumbers w:val="0"/>
              <w:ind w:leftChars="0"/>
              <w:jc w:val="left"/>
              <w:textAlignment w:val="top"/>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9、闯红灯感应器*1</w:t>
            </w:r>
          </w:p>
          <w:p>
            <w:pPr>
              <w:keepNext w:val="0"/>
              <w:keepLines w:val="0"/>
              <w:widowControl/>
              <w:numPr>
                <w:ilvl w:val="0"/>
                <w:numId w:val="0"/>
              </w:numPr>
              <w:suppressLineNumbers w:val="0"/>
              <w:ind w:leftChars="0"/>
              <w:jc w:val="left"/>
              <w:textAlignment w:val="top"/>
              <w:rPr>
                <w:rFonts w:hint="eastAsia" w:asciiTheme="majorEastAsia" w:hAnsiTheme="majorEastAsia" w:eastAsiaTheme="majorEastAsia" w:cstheme="majorEastAsia"/>
                <w:i w:val="0"/>
                <w:color w:val="000000"/>
                <w:kern w:val="2"/>
                <w:sz w:val="21"/>
                <w:szCs w:val="21"/>
                <w:u w:val="none"/>
                <w:lang w:val="en-US" w:eastAsia="zh-CN" w:bidi="ar-SA"/>
              </w:rPr>
            </w:pPr>
            <w:r>
              <w:rPr>
                <w:rFonts w:hint="eastAsia" w:asciiTheme="majorEastAsia" w:hAnsiTheme="majorEastAsia" w:eastAsiaTheme="majorEastAsia" w:cstheme="majorEastAsia"/>
                <w:i w:val="0"/>
                <w:color w:val="000000"/>
                <w:kern w:val="0"/>
                <w:sz w:val="21"/>
                <w:szCs w:val="21"/>
                <w:u w:val="none"/>
                <w:lang w:val="en-US" w:eastAsia="zh-CN" w:bidi="ar"/>
              </w:rPr>
              <w:t>10、交通违规互动软件</w:t>
            </w:r>
          </w:p>
        </w:tc>
        <w:tc>
          <w:tcPr>
            <w:tcW w:w="496" w:type="dxa"/>
            <w:vAlign w:val="center"/>
          </w:tcPr>
          <w:p>
            <w:pPr>
              <w:jc w:val="center"/>
              <w:rPr>
                <w:rFonts w:hint="default" w:ascii="仿宋_GB2312" w:hAnsi="仿宋_GB2312" w:eastAsia="仿宋_GB2312" w:cs="仿宋_GB2312"/>
                <w:sz w:val="40"/>
                <w:szCs w:val="40"/>
                <w:vertAlign w:val="baseline"/>
                <w:lang w:val="en-US" w:eastAsia="zh-CN"/>
              </w:rPr>
            </w:pPr>
            <w:r>
              <w:rPr>
                <w:rFonts w:hint="eastAsia" w:ascii="仿宋_GB2312" w:hAnsi="仿宋_GB2312" w:eastAsia="仿宋_GB2312" w:cs="仿宋_GB2312"/>
                <w:i w:val="0"/>
                <w:color w:val="000000"/>
                <w:kern w:val="0"/>
                <w:sz w:val="22"/>
                <w:szCs w:val="22"/>
                <w:u w:val="none"/>
                <w:lang w:val="en-US" w:eastAsia="zh-CN" w:bidi="ar"/>
              </w:rPr>
              <w:t>1</w:t>
            </w:r>
          </w:p>
        </w:tc>
        <w:tc>
          <w:tcPr>
            <w:tcW w:w="1056" w:type="dxa"/>
            <w:vAlign w:val="center"/>
          </w:tcPr>
          <w:p>
            <w:pPr>
              <w:jc w:val="center"/>
              <w:rPr>
                <w:rFonts w:hint="default" w:ascii="仿宋_GB2312" w:hAnsi="仿宋_GB2312" w:eastAsia="仿宋_GB2312" w:cs="仿宋_GB2312"/>
                <w:sz w:val="40"/>
                <w:szCs w:val="40"/>
                <w:vertAlign w:val="baseline"/>
                <w:lang w:val="en-US" w:eastAsia="zh-CN"/>
              </w:rPr>
            </w:pPr>
          </w:p>
        </w:tc>
        <w:tc>
          <w:tcPr>
            <w:tcW w:w="1056" w:type="dxa"/>
            <w:vAlign w:val="center"/>
          </w:tcPr>
          <w:p>
            <w:pPr>
              <w:jc w:val="center"/>
              <w:rPr>
                <w:rFonts w:hint="eastAsia" w:ascii="仿宋_GB2312" w:hAnsi="仿宋_GB2312" w:eastAsia="仿宋_GB2312" w:cs="仿宋_GB2312"/>
                <w:sz w:val="40"/>
                <w:szCs w:val="40"/>
                <w:vertAlign w:val="baseline"/>
                <w:lang w:val="en-US" w:eastAsia="zh-CN"/>
              </w:rPr>
            </w:pPr>
          </w:p>
        </w:tc>
        <w:tc>
          <w:tcPr>
            <w:tcW w:w="729" w:type="dxa"/>
            <w:vAlign w:val="center"/>
          </w:tcPr>
          <w:p>
            <w:pPr>
              <w:jc w:val="center"/>
              <w:rPr>
                <w:rFonts w:hint="eastAsia" w:ascii="仿宋_GB2312" w:hAnsi="仿宋_GB2312" w:eastAsia="仿宋_GB2312" w:cs="仿宋_GB2312"/>
                <w:sz w:val="40"/>
                <w:szCs w:val="4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1" w:hRule="atLeast"/>
        </w:trPr>
        <w:tc>
          <w:tcPr>
            <w:tcW w:w="683"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11</w:t>
            </w:r>
          </w:p>
        </w:tc>
        <w:tc>
          <w:tcPr>
            <w:tcW w:w="1039" w:type="dxa"/>
            <w:vAlign w:val="center"/>
          </w:tcPr>
          <w:p>
            <w:pPr>
              <w:keepNext w:val="0"/>
              <w:keepLines w:val="0"/>
              <w:widowControl/>
              <w:suppressLineNumbers w:val="0"/>
              <w:jc w:val="both"/>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 xml:space="preserve">体验馆集中控制平台装置  </w:t>
            </w:r>
          </w:p>
        </w:tc>
        <w:tc>
          <w:tcPr>
            <w:tcW w:w="3042" w:type="dxa"/>
            <w:vAlign w:val="center"/>
          </w:tcPr>
          <w:p>
            <w:pPr>
              <w:pStyle w:val="45"/>
              <w:rPr>
                <w:rFonts w:hint="eastAsia" w:asciiTheme="majorEastAsia" w:hAnsiTheme="majorEastAsia" w:eastAsiaTheme="majorEastAsia" w:cstheme="majorEastAsia"/>
                <w:i w:val="0"/>
                <w:color w:val="000000"/>
                <w:kern w:val="2"/>
                <w:sz w:val="20"/>
                <w:szCs w:val="20"/>
                <w:u w:val="none"/>
                <w:lang w:val="en-US" w:eastAsia="zh-CN" w:bidi="ar-SA"/>
              </w:rPr>
            </w:pPr>
            <w:r>
              <w:rPr>
                <w:rFonts w:hint="eastAsia" w:asciiTheme="majorEastAsia" w:hAnsiTheme="majorEastAsia" w:eastAsiaTheme="majorEastAsia" w:cstheme="majorEastAsia"/>
                <w:i w:val="0"/>
                <w:color w:val="000000"/>
                <w:kern w:val="2"/>
                <w:sz w:val="20"/>
                <w:szCs w:val="20"/>
                <w:u w:val="none"/>
                <w:lang w:val="en-US" w:eastAsia="zh-CN" w:bidi="ar-SA"/>
              </w:rPr>
              <w:t xml:space="preserve">1.人员签到管理：实训人员登记、验证；2.电子设备管理：对电子设备统一接口定义，集中控制管理； </w:t>
            </w:r>
          </w:p>
          <w:p>
            <w:pPr>
              <w:pStyle w:val="45"/>
              <w:rPr>
                <w:rFonts w:hint="eastAsia" w:asciiTheme="majorEastAsia" w:hAnsiTheme="majorEastAsia" w:eastAsiaTheme="majorEastAsia" w:cstheme="majorEastAsia"/>
                <w:i w:val="0"/>
                <w:color w:val="000000"/>
                <w:kern w:val="2"/>
                <w:sz w:val="20"/>
                <w:szCs w:val="20"/>
                <w:u w:val="none"/>
                <w:lang w:val="en-US" w:eastAsia="zh-CN" w:bidi="ar-SA"/>
              </w:rPr>
            </w:pPr>
            <w:r>
              <w:rPr>
                <w:rFonts w:hint="eastAsia" w:asciiTheme="majorEastAsia" w:hAnsiTheme="majorEastAsia" w:eastAsiaTheme="majorEastAsia" w:cstheme="majorEastAsia"/>
                <w:i w:val="0"/>
                <w:color w:val="000000"/>
                <w:kern w:val="2"/>
                <w:sz w:val="20"/>
                <w:szCs w:val="20"/>
                <w:u w:val="none"/>
                <w:lang w:val="en-US" w:eastAsia="zh-CN" w:bidi="ar-SA"/>
              </w:rPr>
              <w:t xml:space="preserve">3.实训单元管理：对实训单元统一接口定义，集中控制管理； </w:t>
            </w:r>
          </w:p>
          <w:p>
            <w:pPr>
              <w:pStyle w:val="45"/>
              <w:rPr>
                <w:rFonts w:hint="eastAsia" w:asciiTheme="majorEastAsia" w:hAnsiTheme="majorEastAsia" w:eastAsiaTheme="majorEastAsia" w:cstheme="majorEastAsia"/>
                <w:i w:val="0"/>
                <w:color w:val="000000"/>
                <w:kern w:val="2"/>
                <w:sz w:val="20"/>
                <w:szCs w:val="20"/>
                <w:u w:val="none"/>
                <w:lang w:val="en-US" w:eastAsia="zh-CN" w:bidi="ar-SA"/>
              </w:rPr>
            </w:pPr>
            <w:r>
              <w:rPr>
                <w:rFonts w:hint="eastAsia" w:asciiTheme="majorEastAsia" w:hAnsiTheme="majorEastAsia" w:eastAsiaTheme="majorEastAsia" w:cstheme="majorEastAsia"/>
                <w:i w:val="0"/>
                <w:color w:val="000000"/>
                <w:kern w:val="2"/>
                <w:sz w:val="20"/>
                <w:szCs w:val="20"/>
                <w:u w:val="none"/>
                <w:lang w:val="en-US" w:eastAsia="zh-CN" w:bidi="ar-SA"/>
              </w:rPr>
              <w:t xml:space="preserve">4.平台管理：用户管理，多媒体文件管理、系统日志管理、配置重载 </w:t>
            </w:r>
          </w:p>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2"/>
                <w:sz w:val="20"/>
                <w:szCs w:val="20"/>
                <w:u w:val="none"/>
                <w:lang w:val="en-US" w:eastAsia="zh-CN" w:bidi="ar-SA"/>
              </w:rPr>
            </w:pPr>
            <w:r>
              <w:rPr>
                <w:rFonts w:hint="eastAsia" w:asciiTheme="majorEastAsia" w:hAnsiTheme="majorEastAsia" w:eastAsiaTheme="majorEastAsia" w:cstheme="majorEastAsia"/>
                <w:i w:val="0"/>
                <w:color w:val="000000"/>
                <w:kern w:val="2"/>
                <w:sz w:val="20"/>
                <w:szCs w:val="20"/>
                <w:u w:val="none"/>
                <w:lang w:val="en-US" w:eastAsia="zh-CN" w:bidi="ar-SA"/>
              </w:rPr>
              <w:t xml:space="preserve">5.统计管理：签到统计、活动统计、设备统计、成绩统计等； </w:t>
            </w:r>
          </w:p>
          <w:p>
            <w:pPr>
              <w:pStyle w:val="45"/>
              <w:rPr>
                <w:rFonts w:hint="eastAsia" w:asciiTheme="majorEastAsia" w:hAnsiTheme="majorEastAsia" w:eastAsiaTheme="majorEastAsia" w:cstheme="majorEastAsia"/>
                <w:i w:val="0"/>
                <w:color w:val="000000"/>
                <w:kern w:val="2"/>
                <w:sz w:val="20"/>
                <w:szCs w:val="20"/>
                <w:u w:val="none"/>
                <w:lang w:val="en-US" w:eastAsia="zh-CN" w:bidi="ar-SA"/>
              </w:rPr>
            </w:pPr>
            <w:r>
              <w:rPr>
                <w:rFonts w:hint="eastAsia" w:asciiTheme="majorEastAsia" w:hAnsiTheme="majorEastAsia" w:eastAsiaTheme="majorEastAsia" w:cstheme="majorEastAsia"/>
                <w:i w:val="0"/>
                <w:color w:val="000000"/>
                <w:kern w:val="2"/>
                <w:sz w:val="20"/>
                <w:szCs w:val="20"/>
                <w:u w:val="none"/>
                <w:lang w:val="en-US" w:eastAsia="zh-CN" w:bidi="ar-SA"/>
              </w:rPr>
              <w:t>组成：1.2米网络机柜/服务器（主机配置I5/8G/128G）/千兆路由器/千兆交换机/19寸显示器等;管理软件</w:t>
            </w:r>
          </w:p>
          <w:p>
            <w:pPr>
              <w:pStyle w:val="45"/>
              <w:rPr>
                <w:rFonts w:hint="eastAsia" w:asciiTheme="majorEastAsia" w:hAnsiTheme="majorEastAsia" w:eastAsiaTheme="majorEastAsia" w:cstheme="majorEastAsia"/>
                <w:i w:val="0"/>
                <w:color w:val="000000"/>
                <w:kern w:val="2"/>
                <w:sz w:val="20"/>
                <w:szCs w:val="20"/>
                <w:u w:val="none"/>
                <w:lang w:val="en-US" w:eastAsia="zh-CN" w:bidi="ar-SA"/>
              </w:rPr>
            </w:pPr>
            <w:r>
              <w:rPr>
                <w:rFonts w:hint="eastAsia" w:asciiTheme="majorEastAsia" w:hAnsiTheme="majorEastAsia" w:eastAsiaTheme="majorEastAsia" w:cstheme="majorEastAsia"/>
                <w:i w:val="0"/>
                <w:color w:val="000000"/>
                <w:kern w:val="2"/>
                <w:sz w:val="20"/>
                <w:szCs w:val="20"/>
                <w:u w:val="none"/>
                <w:lang w:val="en-US" w:eastAsia="zh-CN" w:bidi="ar-SA"/>
              </w:rPr>
              <w:t>签到机：19寸大堂式触摸一体机配置：I5/4G/64G；带底座、打印机、签到软件。</w:t>
            </w:r>
          </w:p>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2"/>
                <w:sz w:val="20"/>
                <w:szCs w:val="20"/>
                <w:u w:val="none"/>
                <w:lang w:val="en-US" w:eastAsia="zh-CN" w:bidi="ar-SA"/>
              </w:rPr>
              <w:t>定制IC刷卡器；定制场馆参观卡、</w:t>
            </w:r>
          </w:p>
        </w:tc>
        <w:tc>
          <w:tcPr>
            <w:tcW w:w="496"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sz w:val="28"/>
                <w:szCs w:val="28"/>
                <w:vertAlign w:val="baseline"/>
                <w:lang w:val="en-US" w:eastAsia="zh-CN"/>
              </w:rPr>
              <w:t>1</w:t>
            </w:r>
          </w:p>
        </w:tc>
        <w:tc>
          <w:tcPr>
            <w:tcW w:w="1056"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056"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729" w:type="dxa"/>
            <w:vAlign w:val="center"/>
          </w:tcPr>
          <w:p>
            <w:pPr>
              <w:jc w:val="center"/>
              <w:rPr>
                <w:rFonts w:hint="eastAsia" w:ascii="仿宋_GB2312" w:hAnsi="仿宋_GB2312" w:eastAsia="仿宋_GB2312" w:cs="仿宋_GB2312"/>
                <w:sz w:val="40"/>
                <w:szCs w:val="4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trPr>
        <w:tc>
          <w:tcPr>
            <w:tcW w:w="683"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12</w:t>
            </w:r>
          </w:p>
        </w:tc>
        <w:tc>
          <w:tcPr>
            <w:tcW w:w="1039" w:type="dxa"/>
            <w:vAlign w:val="center"/>
          </w:tcPr>
          <w:p>
            <w:pPr>
              <w:keepNext w:val="0"/>
              <w:keepLines w:val="0"/>
              <w:widowControl/>
              <w:suppressLineNumbers w:val="0"/>
              <w:jc w:val="both"/>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防碰撞安全带体验装置</w:t>
            </w:r>
          </w:p>
        </w:tc>
        <w:tc>
          <w:tcPr>
            <w:tcW w:w="3042" w:type="dxa"/>
            <w:vAlign w:val="top"/>
          </w:tcPr>
          <w:p>
            <w:pPr>
              <w:keepNext w:val="0"/>
              <w:keepLines w:val="0"/>
              <w:widowControl/>
              <w:numPr>
                <w:ilvl w:val="0"/>
                <w:numId w:val="0"/>
              </w:numPr>
              <w:suppressLineNumbers w:val="0"/>
              <w:jc w:val="both"/>
              <w:textAlignment w:val="top"/>
              <w:rPr>
                <w:rFonts w:hint="eastAsia" w:asciiTheme="majorEastAsia" w:hAnsiTheme="majorEastAsia" w:eastAsiaTheme="majorEastAsia" w:cstheme="majorEastAsia"/>
                <w:i w:val="0"/>
                <w:color w:val="000000"/>
                <w:kern w:val="2"/>
                <w:sz w:val="20"/>
                <w:szCs w:val="20"/>
                <w:u w:val="none"/>
                <w:lang w:val="en-US" w:eastAsia="zh-CN" w:bidi="ar-SA"/>
              </w:rPr>
            </w:pPr>
          </w:p>
          <w:p>
            <w:pPr>
              <w:keepNext w:val="0"/>
              <w:keepLines w:val="0"/>
              <w:widowControl/>
              <w:numPr>
                <w:ilvl w:val="0"/>
                <w:numId w:val="0"/>
              </w:numPr>
              <w:suppressLineNumbers w:val="0"/>
              <w:jc w:val="both"/>
              <w:textAlignment w:val="top"/>
              <w:rPr>
                <w:rFonts w:hint="eastAsia" w:asciiTheme="majorEastAsia" w:hAnsiTheme="majorEastAsia" w:eastAsiaTheme="majorEastAsia" w:cstheme="majorEastAsia"/>
                <w:i w:val="0"/>
                <w:color w:val="000000"/>
                <w:kern w:val="2"/>
                <w:sz w:val="20"/>
                <w:szCs w:val="20"/>
                <w:u w:val="none"/>
                <w:lang w:val="en-US" w:eastAsia="zh-CN" w:bidi="ar-SA"/>
              </w:rPr>
            </w:pPr>
            <w:r>
              <w:rPr>
                <w:rFonts w:hint="eastAsia" w:asciiTheme="majorEastAsia" w:hAnsiTheme="majorEastAsia" w:eastAsiaTheme="majorEastAsia" w:cstheme="majorEastAsia"/>
                <w:i w:val="0"/>
                <w:color w:val="000000"/>
                <w:kern w:val="2"/>
                <w:sz w:val="20"/>
                <w:szCs w:val="20"/>
                <w:u w:val="none"/>
                <w:lang w:val="en-US" w:eastAsia="zh-CN" w:bidi="ar-SA"/>
              </w:rPr>
              <w:t>（一）组成：</w:t>
            </w:r>
          </w:p>
          <w:p>
            <w:pPr>
              <w:keepNext w:val="0"/>
              <w:keepLines w:val="0"/>
              <w:widowControl/>
              <w:numPr>
                <w:ilvl w:val="0"/>
                <w:numId w:val="0"/>
              </w:numPr>
              <w:suppressLineNumbers w:val="0"/>
              <w:jc w:val="both"/>
              <w:textAlignment w:val="top"/>
              <w:rPr>
                <w:rFonts w:hint="eastAsia" w:asciiTheme="majorEastAsia" w:hAnsiTheme="majorEastAsia" w:eastAsiaTheme="majorEastAsia" w:cstheme="majorEastAsia"/>
                <w:i w:val="0"/>
                <w:color w:val="000000"/>
                <w:kern w:val="2"/>
                <w:sz w:val="20"/>
                <w:szCs w:val="20"/>
                <w:u w:val="none"/>
                <w:lang w:val="en-US" w:eastAsia="zh-CN" w:bidi="ar-SA"/>
              </w:rPr>
            </w:pPr>
            <w:r>
              <w:rPr>
                <w:rFonts w:hint="eastAsia" w:asciiTheme="majorEastAsia" w:hAnsiTheme="majorEastAsia" w:eastAsiaTheme="majorEastAsia" w:cstheme="majorEastAsia"/>
                <w:i w:val="0"/>
                <w:color w:val="000000"/>
                <w:kern w:val="2"/>
                <w:sz w:val="20"/>
                <w:szCs w:val="20"/>
                <w:u w:val="none"/>
                <w:lang w:val="en-US" w:eastAsia="zh-CN" w:bidi="ar-SA"/>
              </w:rPr>
              <w:t xml:space="preserve">安全带体验装置结构套件、显示器、控制板、电脑主机、牵引电机及控制变频器、功放喇叭、水平滑动平台、控制机柜、电子配件。 </w:t>
            </w:r>
          </w:p>
          <w:p>
            <w:pPr>
              <w:keepNext w:val="0"/>
              <w:keepLines w:val="0"/>
              <w:widowControl/>
              <w:numPr>
                <w:ilvl w:val="0"/>
                <w:numId w:val="0"/>
              </w:numPr>
              <w:suppressLineNumbers w:val="0"/>
              <w:jc w:val="both"/>
              <w:textAlignment w:val="top"/>
              <w:rPr>
                <w:rFonts w:hint="eastAsia" w:asciiTheme="majorEastAsia" w:hAnsiTheme="majorEastAsia" w:eastAsiaTheme="majorEastAsia" w:cstheme="majorEastAsia"/>
                <w:i w:val="0"/>
                <w:color w:val="000000"/>
                <w:kern w:val="2"/>
                <w:sz w:val="20"/>
                <w:szCs w:val="20"/>
                <w:u w:val="none"/>
                <w:lang w:val="en-US" w:eastAsia="zh-CN" w:bidi="ar-SA"/>
              </w:rPr>
            </w:pPr>
            <w:r>
              <w:rPr>
                <w:rFonts w:hint="eastAsia" w:asciiTheme="majorEastAsia" w:hAnsiTheme="majorEastAsia" w:eastAsiaTheme="majorEastAsia" w:cstheme="majorEastAsia"/>
                <w:i w:val="0"/>
                <w:color w:val="000000"/>
                <w:kern w:val="2"/>
                <w:sz w:val="20"/>
                <w:szCs w:val="20"/>
                <w:u w:val="none"/>
                <w:lang w:val="en-US" w:eastAsia="zh-CN" w:bidi="ar-SA"/>
              </w:rPr>
              <w:t>（二）参数环境要求：</w:t>
            </w:r>
          </w:p>
          <w:p>
            <w:pPr>
              <w:keepNext w:val="0"/>
              <w:keepLines w:val="0"/>
              <w:widowControl/>
              <w:numPr>
                <w:ilvl w:val="0"/>
                <w:numId w:val="0"/>
              </w:numPr>
              <w:suppressLineNumbers w:val="0"/>
              <w:jc w:val="both"/>
              <w:textAlignment w:val="top"/>
              <w:rPr>
                <w:rFonts w:hint="eastAsia" w:asciiTheme="majorEastAsia" w:hAnsiTheme="majorEastAsia" w:eastAsiaTheme="majorEastAsia" w:cstheme="majorEastAsia"/>
                <w:i w:val="0"/>
                <w:color w:val="000000"/>
                <w:kern w:val="2"/>
                <w:sz w:val="20"/>
                <w:szCs w:val="20"/>
                <w:u w:val="none"/>
                <w:lang w:val="en-US" w:eastAsia="zh-CN" w:bidi="ar-SA"/>
              </w:rPr>
            </w:pPr>
            <w:r>
              <w:rPr>
                <w:rFonts w:hint="eastAsia" w:asciiTheme="majorEastAsia" w:hAnsiTheme="majorEastAsia" w:eastAsiaTheme="majorEastAsia" w:cstheme="majorEastAsia"/>
                <w:i w:val="0"/>
                <w:color w:val="000000"/>
                <w:kern w:val="2"/>
                <w:sz w:val="20"/>
                <w:szCs w:val="20"/>
                <w:u w:val="none"/>
                <w:lang w:val="en-US" w:eastAsia="zh-CN" w:bidi="ar-SA"/>
              </w:rPr>
              <w:t>1.温度范围：–10℃-+40℃，辐射低，湿度低，震动小。</w:t>
            </w:r>
          </w:p>
          <w:p>
            <w:pPr>
              <w:keepNext w:val="0"/>
              <w:keepLines w:val="0"/>
              <w:widowControl/>
              <w:numPr>
                <w:ilvl w:val="0"/>
                <w:numId w:val="0"/>
              </w:numPr>
              <w:suppressLineNumbers w:val="0"/>
              <w:jc w:val="both"/>
              <w:textAlignment w:val="top"/>
              <w:rPr>
                <w:rFonts w:hint="eastAsia" w:asciiTheme="majorEastAsia" w:hAnsiTheme="majorEastAsia" w:eastAsiaTheme="majorEastAsia" w:cstheme="majorEastAsia"/>
                <w:i w:val="0"/>
                <w:color w:val="000000"/>
                <w:kern w:val="2"/>
                <w:sz w:val="20"/>
                <w:szCs w:val="20"/>
                <w:u w:val="none"/>
                <w:lang w:val="en-US" w:eastAsia="zh-CN" w:bidi="ar-SA"/>
              </w:rPr>
            </w:pPr>
            <w:r>
              <w:rPr>
                <w:rFonts w:hint="eastAsia" w:asciiTheme="majorEastAsia" w:hAnsiTheme="majorEastAsia" w:eastAsiaTheme="majorEastAsia" w:cstheme="majorEastAsia"/>
                <w:i w:val="0"/>
                <w:color w:val="000000"/>
                <w:kern w:val="2"/>
                <w:sz w:val="20"/>
                <w:szCs w:val="20"/>
                <w:u w:val="none"/>
                <w:lang w:val="en-US" w:eastAsia="zh-CN" w:bidi="ar-SA"/>
              </w:rPr>
              <w:t>2.工业电脑主机主体部分：采用钢制轨道，实车座椅、安全带，液压缓冲器；重量≥850KG；额定功率≥4500W；电压：AC220V／50 Hz。</w:t>
            </w:r>
          </w:p>
          <w:p>
            <w:pPr>
              <w:keepNext w:val="0"/>
              <w:keepLines w:val="0"/>
              <w:widowControl/>
              <w:numPr>
                <w:ilvl w:val="0"/>
                <w:numId w:val="0"/>
              </w:numPr>
              <w:suppressLineNumbers w:val="0"/>
              <w:jc w:val="both"/>
              <w:textAlignment w:val="top"/>
              <w:rPr>
                <w:rFonts w:hint="eastAsia" w:asciiTheme="majorEastAsia" w:hAnsiTheme="majorEastAsia" w:eastAsiaTheme="majorEastAsia" w:cstheme="majorEastAsia"/>
                <w:i w:val="0"/>
                <w:color w:val="000000"/>
                <w:kern w:val="2"/>
                <w:sz w:val="20"/>
                <w:szCs w:val="20"/>
                <w:u w:val="none"/>
                <w:lang w:val="en-US" w:eastAsia="zh-CN" w:bidi="ar-SA"/>
              </w:rPr>
            </w:pPr>
            <w:r>
              <w:rPr>
                <w:rFonts w:hint="eastAsia" w:asciiTheme="majorEastAsia" w:hAnsiTheme="majorEastAsia" w:eastAsiaTheme="majorEastAsia" w:cstheme="majorEastAsia"/>
                <w:i w:val="0"/>
                <w:color w:val="000000"/>
                <w:kern w:val="2"/>
                <w:sz w:val="20"/>
                <w:szCs w:val="20"/>
                <w:u w:val="none"/>
                <w:lang w:val="en-US" w:eastAsia="zh-CN" w:bidi="ar-SA"/>
              </w:rPr>
              <w:t>3.体验周期：1人次/2-3分钟。</w:t>
            </w:r>
          </w:p>
          <w:p>
            <w:pPr>
              <w:keepNext w:val="0"/>
              <w:keepLines w:val="0"/>
              <w:widowControl/>
              <w:numPr>
                <w:ilvl w:val="0"/>
                <w:numId w:val="0"/>
              </w:numPr>
              <w:suppressLineNumbers w:val="0"/>
              <w:jc w:val="both"/>
              <w:textAlignment w:val="top"/>
              <w:rPr>
                <w:rFonts w:hint="eastAsia" w:asciiTheme="majorEastAsia" w:hAnsiTheme="majorEastAsia" w:eastAsiaTheme="majorEastAsia" w:cstheme="majorEastAsia"/>
                <w:i w:val="0"/>
                <w:color w:val="000000"/>
                <w:kern w:val="2"/>
                <w:sz w:val="20"/>
                <w:szCs w:val="20"/>
                <w:u w:val="none"/>
                <w:lang w:val="en-US" w:eastAsia="zh-CN" w:bidi="ar-SA"/>
              </w:rPr>
            </w:pPr>
            <w:r>
              <w:rPr>
                <w:rFonts w:hint="eastAsia" w:asciiTheme="majorEastAsia" w:hAnsiTheme="majorEastAsia" w:eastAsiaTheme="majorEastAsia" w:cstheme="majorEastAsia"/>
                <w:i w:val="0"/>
                <w:color w:val="000000"/>
                <w:kern w:val="2"/>
                <w:sz w:val="20"/>
                <w:szCs w:val="20"/>
                <w:u w:val="none"/>
                <w:lang w:val="en-US" w:eastAsia="zh-CN" w:bidi="ar-SA"/>
              </w:rPr>
              <w:t xml:space="preserve">4.电源：电源电压必须根据机台后面电源插座处要求电压使用。  </w:t>
            </w:r>
          </w:p>
          <w:p>
            <w:pPr>
              <w:keepNext w:val="0"/>
              <w:keepLines w:val="0"/>
              <w:widowControl/>
              <w:numPr>
                <w:ilvl w:val="0"/>
                <w:numId w:val="0"/>
              </w:numPr>
              <w:suppressLineNumbers w:val="0"/>
              <w:jc w:val="both"/>
              <w:textAlignment w:val="top"/>
              <w:rPr>
                <w:rFonts w:hint="eastAsia" w:asciiTheme="majorEastAsia" w:hAnsiTheme="majorEastAsia" w:eastAsiaTheme="majorEastAsia" w:cstheme="majorEastAsia"/>
                <w:i w:val="0"/>
                <w:color w:val="000000"/>
                <w:kern w:val="2"/>
                <w:sz w:val="20"/>
                <w:szCs w:val="20"/>
                <w:u w:val="none"/>
                <w:lang w:val="en-US" w:eastAsia="zh-CN" w:bidi="ar-SA"/>
              </w:rPr>
            </w:pPr>
            <w:r>
              <w:rPr>
                <w:rFonts w:hint="eastAsia" w:asciiTheme="majorEastAsia" w:hAnsiTheme="majorEastAsia" w:eastAsiaTheme="majorEastAsia" w:cstheme="majorEastAsia"/>
                <w:i w:val="0"/>
                <w:color w:val="000000"/>
                <w:kern w:val="2"/>
                <w:sz w:val="20"/>
                <w:szCs w:val="20"/>
                <w:u w:val="none"/>
                <w:lang w:val="en-US" w:eastAsia="zh-CN" w:bidi="ar-SA"/>
              </w:rPr>
              <w:t xml:space="preserve">（三）主要技术指标： </w:t>
            </w:r>
          </w:p>
          <w:p>
            <w:pPr>
              <w:keepNext w:val="0"/>
              <w:keepLines w:val="0"/>
              <w:widowControl/>
              <w:numPr>
                <w:ilvl w:val="0"/>
                <w:numId w:val="0"/>
              </w:numPr>
              <w:suppressLineNumbers w:val="0"/>
              <w:jc w:val="both"/>
              <w:textAlignment w:val="top"/>
              <w:rPr>
                <w:rFonts w:hint="eastAsia" w:asciiTheme="majorEastAsia" w:hAnsiTheme="majorEastAsia" w:eastAsiaTheme="majorEastAsia" w:cstheme="majorEastAsia"/>
                <w:i w:val="0"/>
                <w:color w:val="000000"/>
                <w:kern w:val="2"/>
                <w:sz w:val="20"/>
                <w:szCs w:val="20"/>
                <w:u w:val="none"/>
                <w:lang w:val="en-US" w:eastAsia="zh-CN" w:bidi="ar-SA"/>
              </w:rPr>
            </w:pPr>
            <w:r>
              <w:rPr>
                <w:rFonts w:hint="eastAsia" w:asciiTheme="majorEastAsia" w:hAnsiTheme="majorEastAsia" w:eastAsiaTheme="majorEastAsia" w:cstheme="majorEastAsia"/>
                <w:i w:val="0"/>
                <w:color w:val="000000"/>
                <w:kern w:val="2"/>
                <w:sz w:val="20"/>
                <w:szCs w:val="20"/>
                <w:u w:val="none"/>
                <w:lang w:val="en-US" w:eastAsia="zh-CN" w:bidi="ar-SA"/>
              </w:rPr>
              <w:t>1.结构套件：机加件，钣金件，钢丝绳夹头锁具，钢丝绳等。</w:t>
            </w:r>
          </w:p>
          <w:p>
            <w:pPr>
              <w:keepNext w:val="0"/>
              <w:keepLines w:val="0"/>
              <w:widowControl/>
              <w:numPr>
                <w:ilvl w:val="0"/>
                <w:numId w:val="0"/>
              </w:numPr>
              <w:suppressLineNumbers w:val="0"/>
              <w:jc w:val="both"/>
              <w:textAlignment w:val="top"/>
              <w:rPr>
                <w:rFonts w:hint="eastAsia" w:asciiTheme="majorEastAsia" w:hAnsiTheme="majorEastAsia" w:eastAsiaTheme="majorEastAsia" w:cstheme="majorEastAsia"/>
                <w:i w:val="0"/>
                <w:color w:val="000000"/>
                <w:kern w:val="2"/>
                <w:sz w:val="20"/>
                <w:szCs w:val="20"/>
                <w:u w:val="none"/>
                <w:lang w:val="en-US" w:eastAsia="zh-CN" w:bidi="ar-SA"/>
              </w:rPr>
            </w:pPr>
            <w:r>
              <w:rPr>
                <w:rFonts w:hint="eastAsia" w:asciiTheme="majorEastAsia" w:hAnsiTheme="majorEastAsia" w:eastAsiaTheme="majorEastAsia" w:cstheme="majorEastAsia"/>
                <w:i w:val="0"/>
                <w:color w:val="000000"/>
                <w:kern w:val="2"/>
                <w:sz w:val="20"/>
                <w:szCs w:val="20"/>
                <w:u w:val="none"/>
                <w:lang w:val="en-US" w:eastAsia="zh-CN" w:bidi="ar-SA"/>
              </w:rPr>
              <w:t>2.显示部分：32寸或以上液晶显示单元，分辨率≥1920×1080，铁架，固定部分。</w:t>
            </w:r>
          </w:p>
          <w:p>
            <w:pPr>
              <w:keepNext w:val="0"/>
              <w:keepLines w:val="0"/>
              <w:widowControl/>
              <w:numPr>
                <w:ilvl w:val="0"/>
                <w:numId w:val="0"/>
              </w:numPr>
              <w:suppressLineNumbers w:val="0"/>
              <w:jc w:val="both"/>
              <w:textAlignment w:val="top"/>
              <w:rPr>
                <w:rFonts w:hint="eastAsia" w:asciiTheme="majorEastAsia" w:hAnsiTheme="majorEastAsia" w:eastAsiaTheme="majorEastAsia" w:cstheme="majorEastAsia"/>
                <w:i w:val="0"/>
                <w:color w:val="000000"/>
                <w:kern w:val="2"/>
                <w:sz w:val="20"/>
                <w:szCs w:val="20"/>
                <w:u w:val="none"/>
                <w:lang w:val="en-US" w:eastAsia="zh-CN" w:bidi="ar-SA"/>
              </w:rPr>
            </w:pPr>
            <w:r>
              <w:rPr>
                <w:rFonts w:hint="eastAsia" w:asciiTheme="majorEastAsia" w:hAnsiTheme="majorEastAsia" w:eastAsiaTheme="majorEastAsia" w:cstheme="majorEastAsia"/>
                <w:i w:val="0"/>
                <w:color w:val="000000"/>
                <w:kern w:val="2"/>
                <w:sz w:val="20"/>
                <w:szCs w:val="20"/>
                <w:u w:val="none"/>
                <w:lang w:val="en-US" w:eastAsia="zh-CN" w:bidi="ar-SA"/>
              </w:rPr>
              <w:t>3.控制板：嵌入式软件系统。</w:t>
            </w:r>
          </w:p>
          <w:p>
            <w:pPr>
              <w:keepNext w:val="0"/>
              <w:keepLines w:val="0"/>
              <w:widowControl/>
              <w:numPr>
                <w:ilvl w:val="0"/>
                <w:numId w:val="0"/>
              </w:numPr>
              <w:suppressLineNumbers w:val="0"/>
              <w:jc w:val="both"/>
              <w:textAlignment w:val="top"/>
              <w:rPr>
                <w:rFonts w:hint="eastAsia" w:asciiTheme="majorEastAsia" w:hAnsiTheme="majorEastAsia" w:eastAsiaTheme="majorEastAsia" w:cstheme="majorEastAsia"/>
                <w:i w:val="0"/>
                <w:color w:val="000000"/>
                <w:kern w:val="2"/>
                <w:sz w:val="20"/>
                <w:szCs w:val="20"/>
                <w:u w:val="none"/>
                <w:lang w:val="en-US" w:eastAsia="zh-CN" w:bidi="ar-SA"/>
              </w:rPr>
            </w:pPr>
            <w:r>
              <w:rPr>
                <w:rFonts w:hint="eastAsia" w:asciiTheme="majorEastAsia" w:hAnsiTheme="majorEastAsia" w:eastAsiaTheme="majorEastAsia" w:cstheme="majorEastAsia"/>
                <w:i w:val="0"/>
                <w:color w:val="000000"/>
                <w:kern w:val="2"/>
                <w:sz w:val="20"/>
                <w:szCs w:val="20"/>
                <w:u w:val="none"/>
                <w:lang w:val="en-US" w:eastAsia="zh-CN" w:bidi="ar-SA"/>
              </w:rPr>
              <w:t>4.电脑主机（包含定制系统）：2G及以上内存、H61及以上主板、32G 及以上SSD硬盘、Intel G2030及以上CPU、游戏用嵌入式正版WES系统+电源保护+硬盘保护系统。</w:t>
            </w:r>
          </w:p>
          <w:p>
            <w:pPr>
              <w:keepNext w:val="0"/>
              <w:keepLines w:val="0"/>
              <w:widowControl/>
              <w:numPr>
                <w:ilvl w:val="0"/>
                <w:numId w:val="0"/>
              </w:numPr>
              <w:suppressLineNumbers w:val="0"/>
              <w:jc w:val="both"/>
              <w:textAlignment w:val="top"/>
              <w:rPr>
                <w:rFonts w:hint="eastAsia" w:asciiTheme="majorEastAsia" w:hAnsiTheme="majorEastAsia" w:eastAsiaTheme="majorEastAsia" w:cstheme="majorEastAsia"/>
                <w:i w:val="0"/>
                <w:color w:val="000000"/>
                <w:kern w:val="2"/>
                <w:sz w:val="20"/>
                <w:szCs w:val="20"/>
                <w:u w:val="none"/>
                <w:lang w:val="en-US" w:eastAsia="zh-CN" w:bidi="ar-SA"/>
              </w:rPr>
            </w:pPr>
            <w:r>
              <w:rPr>
                <w:rFonts w:hint="eastAsia" w:asciiTheme="majorEastAsia" w:hAnsiTheme="majorEastAsia" w:eastAsiaTheme="majorEastAsia" w:cstheme="majorEastAsia"/>
                <w:i w:val="0"/>
                <w:color w:val="000000"/>
                <w:kern w:val="2"/>
                <w:sz w:val="20"/>
                <w:szCs w:val="20"/>
                <w:u w:val="none"/>
                <w:lang w:val="en-US" w:eastAsia="zh-CN" w:bidi="ar-SA"/>
              </w:rPr>
              <w:t>5.牵引电机及控制变频器≥3.7KW电机及减速机，单相≥5.5KW变频器。</w:t>
            </w:r>
          </w:p>
          <w:p>
            <w:pPr>
              <w:keepNext w:val="0"/>
              <w:keepLines w:val="0"/>
              <w:widowControl/>
              <w:numPr>
                <w:ilvl w:val="0"/>
                <w:numId w:val="0"/>
              </w:numPr>
              <w:suppressLineNumbers w:val="0"/>
              <w:ind w:left="0" w:leftChars="0" w:firstLine="0" w:firstLineChars="0"/>
              <w:jc w:val="both"/>
              <w:textAlignment w:val="top"/>
              <w:rPr>
                <w:rFonts w:hint="eastAsia" w:asciiTheme="majorEastAsia" w:hAnsiTheme="majorEastAsia" w:eastAsiaTheme="majorEastAsia" w:cstheme="majorEastAsia"/>
                <w:i w:val="0"/>
                <w:color w:val="000000"/>
                <w:kern w:val="2"/>
                <w:sz w:val="20"/>
                <w:szCs w:val="20"/>
                <w:u w:val="none"/>
                <w:lang w:val="en-US" w:eastAsia="zh-CN" w:bidi="ar-SA"/>
              </w:rPr>
            </w:pPr>
            <w:r>
              <w:rPr>
                <w:rFonts w:hint="eastAsia" w:asciiTheme="majorEastAsia" w:hAnsiTheme="majorEastAsia" w:eastAsiaTheme="majorEastAsia" w:cstheme="majorEastAsia"/>
                <w:i w:val="0"/>
                <w:color w:val="000000"/>
                <w:kern w:val="2"/>
                <w:sz w:val="20"/>
                <w:szCs w:val="20"/>
                <w:u w:val="none"/>
                <w:lang w:val="en-US" w:eastAsia="zh-CN" w:bidi="ar-SA"/>
              </w:rPr>
              <w:t>6.功放喇叭：功率不低于40w，定制功放模组。</w:t>
            </w:r>
          </w:p>
        </w:tc>
        <w:tc>
          <w:tcPr>
            <w:tcW w:w="496"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color w:val="000000"/>
                <w:kern w:val="0"/>
                <w:sz w:val="22"/>
                <w:szCs w:val="22"/>
                <w:u w:val="none"/>
                <w:lang w:val="en-US" w:eastAsia="zh-CN" w:bidi="ar"/>
              </w:rPr>
              <w:t>1</w:t>
            </w:r>
          </w:p>
        </w:tc>
        <w:tc>
          <w:tcPr>
            <w:tcW w:w="1056" w:type="dxa"/>
            <w:vAlign w:val="center"/>
          </w:tcPr>
          <w:p>
            <w:pPr>
              <w:keepNext w:val="0"/>
              <w:keepLines w:val="0"/>
              <w:widowControl/>
              <w:suppressLineNumbers w:val="0"/>
              <w:jc w:val="center"/>
              <w:textAlignment w:val="center"/>
              <w:rPr>
                <w:rFonts w:hint="eastAsia" w:ascii="仿宋_GB2312" w:hAnsi="仿宋_GB2312" w:eastAsia="仿宋_GB2312" w:cs="仿宋_GB2312"/>
                <w:sz w:val="28"/>
                <w:szCs w:val="28"/>
                <w:vertAlign w:val="baseline"/>
                <w:lang w:val="en-US" w:eastAsia="zh-CN"/>
              </w:rPr>
            </w:pPr>
          </w:p>
        </w:tc>
        <w:tc>
          <w:tcPr>
            <w:tcW w:w="1056" w:type="dxa"/>
            <w:vAlign w:val="center"/>
          </w:tcPr>
          <w:p>
            <w:pPr>
              <w:keepNext w:val="0"/>
              <w:keepLines w:val="0"/>
              <w:widowControl/>
              <w:suppressLineNumbers w:val="0"/>
              <w:jc w:val="center"/>
              <w:textAlignment w:val="center"/>
              <w:rPr>
                <w:rFonts w:hint="eastAsia" w:ascii="仿宋_GB2312" w:hAnsi="仿宋_GB2312" w:eastAsia="仿宋_GB2312" w:cs="仿宋_GB2312"/>
                <w:sz w:val="28"/>
                <w:szCs w:val="28"/>
                <w:vertAlign w:val="baseline"/>
                <w:lang w:val="en-US" w:eastAsia="zh-CN"/>
              </w:rPr>
            </w:pPr>
          </w:p>
        </w:tc>
        <w:tc>
          <w:tcPr>
            <w:tcW w:w="729" w:type="dxa"/>
            <w:vAlign w:val="center"/>
          </w:tcPr>
          <w:p>
            <w:pPr>
              <w:jc w:val="center"/>
              <w:rPr>
                <w:rFonts w:hint="eastAsia" w:ascii="仿宋_GB2312" w:hAnsi="仿宋_GB2312" w:eastAsia="仿宋_GB2312" w:cs="仿宋_GB2312"/>
                <w:sz w:val="40"/>
                <w:szCs w:val="4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9" w:hRule="atLeast"/>
        </w:trPr>
        <w:tc>
          <w:tcPr>
            <w:tcW w:w="683"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w:t>
            </w:r>
          </w:p>
        </w:tc>
        <w:tc>
          <w:tcPr>
            <w:tcW w:w="1039" w:type="dxa"/>
            <w:vAlign w:val="center"/>
          </w:tcPr>
          <w:p>
            <w:pPr>
              <w:keepNext w:val="0"/>
              <w:keepLines w:val="0"/>
              <w:widowControl/>
              <w:suppressLineNumbers w:val="0"/>
              <w:jc w:val="both"/>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模拟被困电梯训练装置</w:t>
            </w:r>
          </w:p>
        </w:tc>
        <w:tc>
          <w:tcPr>
            <w:tcW w:w="3042" w:type="dxa"/>
            <w:vAlign w:val="top"/>
          </w:tcPr>
          <w:p>
            <w:pPr>
              <w:bidi w:val="0"/>
              <w:rPr>
                <w:rFonts w:hint="eastAsia"/>
                <w:sz w:val="20"/>
                <w:szCs w:val="22"/>
                <w:lang w:val="en-US" w:eastAsia="zh-CN"/>
              </w:rPr>
            </w:pPr>
            <w:r>
              <w:rPr>
                <w:rFonts w:hint="eastAsia"/>
                <w:sz w:val="20"/>
                <w:szCs w:val="22"/>
                <w:lang w:val="en-US" w:eastAsia="zh-CN"/>
              </w:rPr>
              <w:t>轿厢</w:t>
            </w:r>
          </w:p>
          <w:p>
            <w:pPr>
              <w:keepNext w:val="0"/>
              <w:keepLines w:val="0"/>
              <w:widowControl/>
              <w:numPr>
                <w:ilvl w:val="0"/>
                <w:numId w:val="0"/>
              </w:numPr>
              <w:suppressLineNumbers w:val="0"/>
              <w:jc w:val="both"/>
              <w:textAlignment w:val="top"/>
              <w:rPr>
                <w:rFonts w:hint="eastAsia" w:asciiTheme="majorEastAsia" w:hAnsiTheme="majorEastAsia" w:eastAsiaTheme="majorEastAsia" w:cstheme="majorEastAsia"/>
                <w:i w:val="0"/>
                <w:color w:val="000000"/>
                <w:kern w:val="2"/>
                <w:sz w:val="20"/>
                <w:szCs w:val="20"/>
                <w:u w:val="none"/>
                <w:lang w:val="en-US" w:eastAsia="zh-CN" w:bidi="ar-SA"/>
              </w:rPr>
            </w:pPr>
            <w:r>
              <w:rPr>
                <w:rFonts w:hint="eastAsia" w:asciiTheme="majorEastAsia" w:hAnsiTheme="majorEastAsia" w:eastAsiaTheme="majorEastAsia" w:cstheme="majorEastAsia"/>
                <w:i w:val="0"/>
                <w:color w:val="000000"/>
                <w:kern w:val="2"/>
                <w:sz w:val="20"/>
                <w:szCs w:val="20"/>
                <w:u w:val="none"/>
                <w:lang w:val="en-US" w:eastAsia="zh-CN" w:bidi="ar-SA"/>
              </w:rPr>
              <w:t>1.尺寸1300*1050*2000mm</w:t>
            </w:r>
          </w:p>
          <w:p>
            <w:pPr>
              <w:keepNext w:val="0"/>
              <w:keepLines w:val="0"/>
              <w:widowControl/>
              <w:numPr>
                <w:ilvl w:val="0"/>
                <w:numId w:val="0"/>
              </w:numPr>
              <w:suppressLineNumbers w:val="0"/>
              <w:jc w:val="both"/>
              <w:textAlignment w:val="top"/>
              <w:rPr>
                <w:rFonts w:hint="eastAsia" w:asciiTheme="majorEastAsia" w:hAnsiTheme="majorEastAsia" w:eastAsiaTheme="majorEastAsia" w:cstheme="majorEastAsia"/>
                <w:i w:val="0"/>
                <w:color w:val="000000"/>
                <w:kern w:val="2"/>
                <w:sz w:val="20"/>
                <w:szCs w:val="20"/>
                <w:u w:val="none"/>
                <w:lang w:val="en-US" w:eastAsia="zh-CN" w:bidi="ar-SA"/>
              </w:rPr>
            </w:pPr>
            <w:r>
              <w:rPr>
                <w:rFonts w:hint="eastAsia" w:asciiTheme="majorEastAsia" w:hAnsiTheme="majorEastAsia" w:eastAsiaTheme="majorEastAsia" w:cstheme="majorEastAsia"/>
                <w:i w:val="0"/>
                <w:color w:val="000000"/>
                <w:kern w:val="2"/>
                <w:sz w:val="20"/>
                <w:szCs w:val="20"/>
                <w:u w:val="none"/>
                <w:lang w:val="en-US" w:eastAsia="zh-CN" w:bidi="ar-SA"/>
              </w:rPr>
              <w:t>显示屏</w:t>
            </w:r>
          </w:p>
          <w:p>
            <w:pPr>
              <w:keepNext w:val="0"/>
              <w:keepLines w:val="0"/>
              <w:widowControl/>
              <w:numPr>
                <w:ilvl w:val="0"/>
                <w:numId w:val="0"/>
              </w:numPr>
              <w:suppressLineNumbers w:val="0"/>
              <w:jc w:val="both"/>
              <w:textAlignment w:val="top"/>
              <w:rPr>
                <w:rFonts w:hint="eastAsia" w:asciiTheme="majorEastAsia" w:hAnsiTheme="majorEastAsia" w:eastAsiaTheme="majorEastAsia" w:cstheme="majorEastAsia"/>
                <w:i w:val="0"/>
                <w:color w:val="000000"/>
                <w:kern w:val="2"/>
                <w:sz w:val="20"/>
                <w:szCs w:val="20"/>
                <w:u w:val="none"/>
                <w:lang w:val="en-US" w:eastAsia="zh-CN" w:bidi="ar-SA"/>
              </w:rPr>
            </w:pPr>
            <w:r>
              <w:rPr>
                <w:rFonts w:hint="eastAsia" w:asciiTheme="majorEastAsia" w:hAnsiTheme="majorEastAsia" w:eastAsiaTheme="majorEastAsia" w:cstheme="majorEastAsia"/>
                <w:i w:val="0"/>
                <w:color w:val="000000"/>
                <w:kern w:val="2"/>
                <w:sz w:val="20"/>
                <w:szCs w:val="20"/>
                <w:u w:val="none"/>
                <w:lang w:val="en-US" w:eastAsia="zh-CN" w:bidi="ar-SA"/>
              </w:rPr>
              <w:t>1.24寸显示屏：屏幕比例 16:10（宽 屏 ） ， 最 佳 分 辨 率 1920*1080，亮度 300cd/ ㎡；壁挂支架</w:t>
            </w:r>
          </w:p>
          <w:p>
            <w:pPr>
              <w:keepNext w:val="0"/>
              <w:keepLines w:val="0"/>
              <w:widowControl/>
              <w:numPr>
                <w:ilvl w:val="0"/>
                <w:numId w:val="0"/>
              </w:numPr>
              <w:suppressLineNumbers w:val="0"/>
              <w:jc w:val="both"/>
              <w:textAlignment w:val="top"/>
              <w:rPr>
                <w:rFonts w:hint="eastAsia" w:asciiTheme="majorEastAsia" w:hAnsiTheme="majorEastAsia" w:eastAsiaTheme="majorEastAsia" w:cstheme="majorEastAsia"/>
                <w:i w:val="0"/>
                <w:color w:val="000000"/>
                <w:kern w:val="2"/>
                <w:sz w:val="20"/>
                <w:szCs w:val="20"/>
                <w:u w:val="none"/>
                <w:lang w:val="en-US" w:eastAsia="zh-CN" w:bidi="ar-SA"/>
              </w:rPr>
            </w:pPr>
            <w:r>
              <w:rPr>
                <w:rFonts w:hint="eastAsia" w:asciiTheme="majorEastAsia" w:hAnsiTheme="majorEastAsia" w:eastAsiaTheme="majorEastAsia" w:cstheme="majorEastAsia"/>
                <w:i w:val="0"/>
                <w:color w:val="000000"/>
                <w:kern w:val="2"/>
                <w:sz w:val="20"/>
                <w:szCs w:val="20"/>
                <w:u w:val="none"/>
                <w:lang w:val="en-US" w:eastAsia="zh-CN" w:bidi="ar-SA"/>
              </w:rPr>
              <w:t>控制电机</w:t>
            </w:r>
          </w:p>
          <w:p>
            <w:pPr>
              <w:keepNext w:val="0"/>
              <w:keepLines w:val="0"/>
              <w:widowControl/>
              <w:numPr>
                <w:ilvl w:val="0"/>
                <w:numId w:val="0"/>
              </w:numPr>
              <w:suppressLineNumbers w:val="0"/>
              <w:jc w:val="both"/>
              <w:textAlignment w:val="top"/>
              <w:rPr>
                <w:rFonts w:hint="default" w:asciiTheme="majorEastAsia" w:hAnsiTheme="majorEastAsia" w:eastAsiaTheme="majorEastAsia" w:cstheme="majorEastAsia"/>
                <w:i w:val="0"/>
                <w:color w:val="000000"/>
                <w:kern w:val="2"/>
                <w:sz w:val="20"/>
                <w:szCs w:val="20"/>
                <w:u w:val="none"/>
                <w:lang w:val="en-US" w:eastAsia="zh-CN" w:bidi="ar-SA"/>
              </w:rPr>
            </w:pPr>
            <w:r>
              <w:rPr>
                <w:rFonts w:hint="eastAsia" w:asciiTheme="majorEastAsia" w:hAnsiTheme="majorEastAsia" w:eastAsiaTheme="majorEastAsia" w:cstheme="majorEastAsia"/>
                <w:i w:val="0"/>
                <w:color w:val="000000"/>
                <w:kern w:val="2"/>
                <w:sz w:val="20"/>
                <w:szCs w:val="20"/>
                <w:u w:val="none"/>
                <w:lang w:val="en-US" w:eastAsia="zh-CN" w:bidi="ar-SA"/>
              </w:rPr>
              <w:t>1.尺寸 800*390mm</w:t>
            </w:r>
          </w:p>
          <w:p>
            <w:pPr>
              <w:keepNext w:val="0"/>
              <w:keepLines w:val="0"/>
              <w:widowControl/>
              <w:numPr>
                <w:ilvl w:val="0"/>
                <w:numId w:val="0"/>
              </w:numPr>
              <w:suppressLineNumbers w:val="0"/>
              <w:jc w:val="both"/>
              <w:textAlignment w:val="top"/>
              <w:rPr>
                <w:rFonts w:hint="eastAsia" w:asciiTheme="majorEastAsia" w:hAnsiTheme="majorEastAsia" w:eastAsiaTheme="majorEastAsia" w:cstheme="majorEastAsia"/>
                <w:i w:val="0"/>
                <w:color w:val="000000"/>
                <w:kern w:val="2"/>
                <w:sz w:val="20"/>
                <w:szCs w:val="20"/>
                <w:u w:val="none"/>
                <w:lang w:val="en-US" w:eastAsia="zh-CN" w:bidi="ar-SA"/>
              </w:rPr>
            </w:pPr>
            <w:r>
              <w:rPr>
                <w:rFonts w:hint="eastAsia" w:asciiTheme="majorEastAsia" w:hAnsiTheme="majorEastAsia" w:eastAsiaTheme="majorEastAsia" w:cstheme="majorEastAsia"/>
                <w:i w:val="0"/>
                <w:color w:val="000000"/>
                <w:kern w:val="2"/>
                <w:sz w:val="20"/>
                <w:szCs w:val="20"/>
                <w:u w:val="none"/>
                <w:lang w:val="en-US" w:eastAsia="zh-CN" w:bidi="ar-SA"/>
              </w:rPr>
              <w:t>2.工作电压380V，</w:t>
            </w:r>
          </w:p>
          <w:p>
            <w:pPr>
              <w:keepNext w:val="0"/>
              <w:keepLines w:val="0"/>
              <w:widowControl/>
              <w:numPr>
                <w:ilvl w:val="0"/>
                <w:numId w:val="0"/>
              </w:numPr>
              <w:suppressLineNumbers w:val="0"/>
              <w:jc w:val="both"/>
              <w:textAlignment w:val="top"/>
              <w:rPr>
                <w:rFonts w:hint="eastAsia" w:asciiTheme="majorEastAsia" w:hAnsiTheme="majorEastAsia" w:eastAsiaTheme="majorEastAsia" w:cstheme="majorEastAsia"/>
                <w:i w:val="0"/>
                <w:color w:val="000000"/>
                <w:kern w:val="2"/>
                <w:sz w:val="20"/>
                <w:szCs w:val="20"/>
                <w:u w:val="none"/>
                <w:lang w:val="en-US" w:eastAsia="zh-CN" w:bidi="ar-SA"/>
              </w:rPr>
            </w:pPr>
            <w:r>
              <w:rPr>
                <w:rFonts w:hint="eastAsia" w:asciiTheme="majorEastAsia" w:hAnsiTheme="majorEastAsia" w:eastAsiaTheme="majorEastAsia" w:cstheme="majorEastAsia"/>
                <w:i w:val="0"/>
                <w:color w:val="000000"/>
                <w:kern w:val="2"/>
                <w:sz w:val="20"/>
                <w:szCs w:val="20"/>
                <w:u w:val="none"/>
                <w:lang w:val="en-US" w:eastAsia="zh-CN" w:bidi="ar-SA"/>
              </w:rPr>
              <w:t>3.功率3.0KW、</w:t>
            </w:r>
          </w:p>
          <w:p>
            <w:pPr>
              <w:keepNext w:val="0"/>
              <w:keepLines w:val="0"/>
              <w:widowControl/>
              <w:numPr>
                <w:ilvl w:val="0"/>
                <w:numId w:val="0"/>
              </w:numPr>
              <w:suppressLineNumbers w:val="0"/>
              <w:jc w:val="both"/>
              <w:textAlignment w:val="top"/>
              <w:rPr>
                <w:rFonts w:hint="eastAsia" w:asciiTheme="majorEastAsia" w:hAnsiTheme="majorEastAsia" w:eastAsiaTheme="majorEastAsia" w:cstheme="majorEastAsia"/>
                <w:i w:val="0"/>
                <w:color w:val="000000"/>
                <w:kern w:val="2"/>
                <w:sz w:val="20"/>
                <w:szCs w:val="20"/>
                <w:u w:val="none"/>
                <w:lang w:val="en-US" w:eastAsia="zh-CN" w:bidi="ar-SA"/>
              </w:rPr>
            </w:pPr>
            <w:r>
              <w:rPr>
                <w:rFonts w:hint="eastAsia" w:asciiTheme="majorEastAsia" w:hAnsiTheme="majorEastAsia" w:eastAsiaTheme="majorEastAsia" w:cstheme="majorEastAsia"/>
                <w:i w:val="0"/>
                <w:color w:val="000000"/>
                <w:kern w:val="2"/>
                <w:sz w:val="20"/>
                <w:szCs w:val="20"/>
                <w:u w:val="none"/>
                <w:lang w:val="en-US" w:eastAsia="zh-CN" w:bidi="ar-SA"/>
              </w:rPr>
              <w:t xml:space="preserve">4.噪音78dB </w:t>
            </w:r>
          </w:p>
          <w:p>
            <w:pPr>
              <w:keepNext w:val="0"/>
              <w:keepLines w:val="0"/>
              <w:widowControl/>
              <w:numPr>
                <w:ilvl w:val="0"/>
                <w:numId w:val="0"/>
              </w:numPr>
              <w:suppressLineNumbers w:val="0"/>
              <w:jc w:val="both"/>
              <w:textAlignment w:val="top"/>
              <w:rPr>
                <w:rFonts w:hint="eastAsia" w:asciiTheme="majorEastAsia" w:hAnsiTheme="majorEastAsia" w:eastAsiaTheme="majorEastAsia" w:cstheme="majorEastAsia"/>
                <w:i w:val="0"/>
                <w:color w:val="000000"/>
                <w:kern w:val="2"/>
                <w:sz w:val="20"/>
                <w:szCs w:val="20"/>
                <w:u w:val="none"/>
                <w:lang w:val="en-US" w:eastAsia="zh-CN" w:bidi="ar-SA"/>
              </w:rPr>
            </w:pPr>
            <w:r>
              <w:rPr>
                <w:rFonts w:hint="eastAsia" w:asciiTheme="majorEastAsia" w:hAnsiTheme="majorEastAsia" w:eastAsiaTheme="majorEastAsia" w:cstheme="majorEastAsia"/>
                <w:i w:val="0"/>
                <w:color w:val="000000"/>
                <w:kern w:val="2"/>
                <w:sz w:val="20"/>
                <w:szCs w:val="20"/>
                <w:u w:val="none"/>
                <w:lang w:val="en-US" w:eastAsia="zh-CN" w:bidi="ar-SA"/>
              </w:rPr>
              <w:t>5.转速1380r/min</w:t>
            </w:r>
          </w:p>
          <w:p>
            <w:pPr>
              <w:keepNext w:val="0"/>
              <w:keepLines w:val="0"/>
              <w:widowControl/>
              <w:numPr>
                <w:ilvl w:val="0"/>
                <w:numId w:val="0"/>
              </w:numPr>
              <w:suppressLineNumbers w:val="0"/>
              <w:jc w:val="both"/>
              <w:textAlignment w:val="top"/>
              <w:rPr>
                <w:rFonts w:hint="eastAsia" w:asciiTheme="majorEastAsia" w:hAnsiTheme="majorEastAsia" w:eastAsiaTheme="majorEastAsia" w:cstheme="majorEastAsia"/>
                <w:i w:val="0"/>
                <w:color w:val="000000"/>
                <w:kern w:val="2"/>
                <w:sz w:val="20"/>
                <w:szCs w:val="20"/>
                <w:u w:val="none"/>
                <w:lang w:val="en-US" w:eastAsia="zh-CN" w:bidi="ar-SA"/>
              </w:rPr>
            </w:pPr>
            <w:r>
              <w:rPr>
                <w:rFonts w:hint="eastAsia" w:asciiTheme="majorEastAsia" w:hAnsiTheme="majorEastAsia" w:eastAsiaTheme="majorEastAsia" w:cstheme="majorEastAsia"/>
                <w:i w:val="0"/>
                <w:color w:val="000000"/>
                <w:kern w:val="2"/>
                <w:sz w:val="20"/>
                <w:szCs w:val="20"/>
                <w:u w:val="none"/>
                <w:lang w:val="en-US" w:eastAsia="zh-CN" w:bidi="ar-SA"/>
              </w:rPr>
              <w:t xml:space="preserve">6.频率50Hz </w:t>
            </w:r>
          </w:p>
          <w:p>
            <w:pPr>
              <w:keepNext w:val="0"/>
              <w:keepLines w:val="0"/>
              <w:widowControl/>
              <w:numPr>
                <w:ilvl w:val="0"/>
                <w:numId w:val="0"/>
              </w:numPr>
              <w:suppressLineNumbers w:val="0"/>
              <w:jc w:val="both"/>
              <w:textAlignment w:val="top"/>
              <w:rPr>
                <w:rFonts w:hint="default" w:asciiTheme="majorEastAsia" w:hAnsiTheme="majorEastAsia" w:eastAsiaTheme="majorEastAsia" w:cstheme="majorEastAsia"/>
                <w:i w:val="0"/>
                <w:color w:val="000000"/>
                <w:kern w:val="2"/>
                <w:sz w:val="20"/>
                <w:szCs w:val="20"/>
                <w:u w:val="none"/>
                <w:lang w:val="en-US" w:eastAsia="zh-CN" w:bidi="ar-SA"/>
              </w:rPr>
            </w:pPr>
            <w:r>
              <w:rPr>
                <w:rFonts w:hint="eastAsia" w:asciiTheme="majorEastAsia" w:hAnsiTheme="majorEastAsia" w:eastAsiaTheme="majorEastAsia" w:cstheme="majorEastAsia"/>
                <w:i w:val="0"/>
                <w:color w:val="000000"/>
                <w:kern w:val="2"/>
                <w:sz w:val="20"/>
                <w:szCs w:val="20"/>
                <w:u w:val="none"/>
                <w:lang w:val="en-US" w:eastAsia="zh-CN" w:bidi="ar-SA"/>
              </w:rPr>
              <w:t>7.净重52KG。</w:t>
            </w:r>
          </w:p>
          <w:p>
            <w:pPr>
              <w:keepNext w:val="0"/>
              <w:keepLines w:val="0"/>
              <w:widowControl/>
              <w:numPr>
                <w:ilvl w:val="0"/>
                <w:numId w:val="0"/>
              </w:numPr>
              <w:suppressLineNumbers w:val="0"/>
              <w:ind w:left="0" w:leftChars="0" w:firstLine="0" w:firstLineChars="0"/>
              <w:jc w:val="both"/>
              <w:textAlignment w:val="top"/>
              <w:rPr>
                <w:rFonts w:hint="eastAsia" w:asciiTheme="majorEastAsia" w:hAnsiTheme="majorEastAsia" w:eastAsiaTheme="majorEastAsia" w:cstheme="majorEastAsia"/>
                <w:i w:val="0"/>
                <w:color w:val="000000"/>
                <w:kern w:val="2"/>
                <w:sz w:val="20"/>
                <w:szCs w:val="20"/>
                <w:u w:val="none"/>
                <w:lang w:val="en-US" w:eastAsia="zh-CN" w:bidi="ar-SA"/>
              </w:rPr>
            </w:pPr>
            <w:r>
              <w:rPr>
                <w:rFonts w:hint="eastAsia" w:asciiTheme="majorEastAsia" w:hAnsiTheme="majorEastAsia" w:eastAsiaTheme="majorEastAsia" w:cstheme="majorEastAsia"/>
                <w:i w:val="0"/>
                <w:color w:val="000000"/>
                <w:kern w:val="2"/>
                <w:sz w:val="20"/>
                <w:szCs w:val="20"/>
                <w:u w:val="none"/>
                <w:lang w:val="en-US" w:eastAsia="zh-CN" w:bidi="ar-SA"/>
              </w:rPr>
              <w:t>预留空间尺寸：2000*1800*3000mm</w:t>
            </w:r>
          </w:p>
        </w:tc>
        <w:tc>
          <w:tcPr>
            <w:tcW w:w="496" w:type="dxa"/>
            <w:vAlign w:val="center"/>
          </w:tcPr>
          <w:p>
            <w:pPr>
              <w:jc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1056" w:type="dxa"/>
            <w:vAlign w:val="center"/>
          </w:tcPr>
          <w:p>
            <w:pPr>
              <w:jc w:val="center"/>
              <w:rPr>
                <w:rFonts w:hint="eastAsia" w:ascii="仿宋_GB2312" w:hAnsi="仿宋_GB2312" w:eastAsia="仿宋_GB2312" w:cs="仿宋_GB2312"/>
                <w:sz w:val="28"/>
                <w:szCs w:val="28"/>
                <w:vertAlign w:val="baseline"/>
                <w:lang w:val="en-US" w:eastAsia="zh-CN"/>
              </w:rPr>
            </w:pPr>
          </w:p>
        </w:tc>
        <w:tc>
          <w:tcPr>
            <w:tcW w:w="1056" w:type="dxa"/>
            <w:vAlign w:val="center"/>
          </w:tcPr>
          <w:p>
            <w:pPr>
              <w:jc w:val="center"/>
              <w:rPr>
                <w:rFonts w:hint="eastAsia" w:ascii="仿宋_GB2312" w:hAnsi="仿宋_GB2312" w:eastAsia="仿宋_GB2312" w:cs="仿宋_GB2312"/>
                <w:sz w:val="28"/>
                <w:szCs w:val="28"/>
                <w:vertAlign w:val="baseline"/>
                <w:lang w:val="en-US" w:eastAsia="zh-CN"/>
              </w:rPr>
            </w:pPr>
          </w:p>
        </w:tc>
        <w:tc>
          <w:tcPr>
            <w:tcW w:w="729" w:type="dxa"/>
            <w:vAlign w:val="center"/>
          </w:tcPr>
          <w:p>
            <w:pPr>
              <w:jc w:val="center"/>
              <w:rPr>
                <w:rFonts w:hint="eastAsia" w:ascii="仿宋_GB2312" w:hAnsi="仿宋_GB2312" w:eastAsia="仿宋_GB2312" w:cs="仿宋_GB2312"/>
                <w:sz w:val="40"/>
                <w:szCs w:val="4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5" w:hRule="atLeast"/>
        </w:trPr>
        <w:tc>
          <w:tcPr>
            <w:tcW w:w="683"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14</w:t>
            </w:r>
          </w:p>
        </w:tc>
        <w:tc>
          <w:tcPr>
            <w:tcW w:w="1039" w:type="dxa"/>
            <w:vAlign w:val="center"/>
          </w:tcPr>
          <w:p>
            <w:pPr>
              <w:keepNext w:val="0"/>
              <w:keepLines w:val="0"/>
              <w:widowControl/>
              <w:suppressLineNumbers w:val="0"/>
              <w:jc w:val="both"/>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电子留言装置</w:t>
            </w:r>
          </w:p>
        </w:tc>
        <w:tc>
          <w:tcPr>
            <w:tcW w:w="3042" w:type="dxa"/>
            <w:vAlign w:val="top"/>
          </w:tcPr>
          <w:p>
            <w:pPr>
              <w:keepNext w:val="0"/>
              <w:keepLines w:val="0"/>
              <w:widowControl/>
              <w:suppressLineNumbers w:val="0"/>
              <w:jc w:val="left"/>
              <w:textAlignment w:val="top"/>
              <w:rPr>
                <w:rFonts w:hint="eastAsia" w:asciiTheme="majorEastAsia" w:hAnsiTheme="majorEastAsia" w:eastAsiaTheme="majorEastAsia" w:cstheme="majorEastAsia"/>
                <w:i w:val="0"/>
                <w:color w:val="000000"/>
                <w:kern w:val="2"/>
                <w:sz w:val="20"/>
                <w:szCs w:val="20"/>
                <w:u w:val="none"/>
                <w:lang w:val="en-US" w:eastAsia="zh-CN" w:bidi="ar-SA"/>
              </w:rPr>
            </w:pPr>
            <w:r>
              <w:rPr>
                <w:rFonts w:hint="eastAsia" w:asciiTheme="majorEastAsia" w:hAnsiTheme="majorEastAsia" w:eastAsiaTheme="majorEastAsia" w:cstheme="majorEastAsia"/>
                <w:i w:val="0"/>
                <w:color w:val="000000"/>
                <w:kern w:val="2"/>
                <w:sz w:val="20"/>
                <w:szCs w:val="20"/>
                <w:u w:val="none"/>
                <w:lang w:val="en-US" w:eastAsia="zh-CN" w:bidi="ar-SA"/>
              </w:rPr>
              <w:t>触摸一体机</w:t>
            </w:r>
          </w:p>
          <w:p>
            <w:pPr>
              <w:keepNext w:val="0"/>
              <w:keepLines w:val="0"/>
              <w:widowControl/>
              <w:numPr>
                <w:ilvl w:val="0"/>
                <w:numId w:val="0"/>
              </w:numPr>
              <w:suppressLineNumbers w:val="0"/>
              <w:jc w:val="left"/>
              <w:textAlignment w:val="top"/>
              <w:rPr>
                <w:rFonts w:hint="eastAsia" w:asciiTheme="majorEastAsia" w:hAnsiTheme="majorEastAsia" w:eastAsiaTheme="majorEastAsia" w:cstheme="majorEastAsia"/>
                <w:i w:val="0"/>
                <w:color w:val="000000"/>
                <w:kern w:val="0"/>
                <w:sz w:val="20"/>
                <w:szCs w:val="20"/>
                <w:u w:val="none"/>
                <w:lang w:val="en-US" w:eastAsia="zh-CN" w:bidi="ar"/>
              </w:rPr>
            </w:pPr>
            <w:r>
              <w:rPr>
                <w:rFonts w:hint="eastAsia" w:asciiTheme="majorEastAsia" w:hAnsiTheme="majorEastAsia" w:eastAsiaTheme="majorEastAsia" w:cstheme="majorEastAsia"/>
                <w:i w:val="0"/>
                <w:color w:val="000000"/>
                <w:kern w:val="0"/>
                <w:sz w:val="20"/>
                <w:szCs w:val="20"/>
                <w:u w:val="none"/>
                <w:lang w:val="en-US" w:eastAsia="zh-CN" w:bidi="ar"/>
              </w:rPr>
              <w:t xml:space="preserve">1.屏幕尺寸 32 寸，配 置：I5\4G\64gSSD；                       2.屏幕比例 16:10（宽 屏 ） ， 最 佳 分 辨 率 1920*1080，亮度 300cd/ ㎡； </w:t>
            </w:r>
          </w:p>
          <w:p>
            <w:pPr>
              <w:keepNext w:val="0"/>
              <w:keepLines w:val="0"/>
              <w:widowControl/>
              <w:numPr>
                <w:ilvl w:val="0"/>
                <w:numId w:val="0"/>
              </w:numPr>
              <w:suppressLineNumbers w:val="0"/>
              <w:ind w:leftChars="0"/>
              <w:jc w:val="left"/>
              <w:textAlignment w:val="top"/>
              <w:rPr>
                <w:rFonts w:hint="eastAsia" w:asciiTheme="majorEastAsia" w:hAnsiTheme="majorEastAsia" w:eastAsiaTheme="majorEastAsia" w:cstheme="majorEastAsia"/>
                <w:i w:val="0"/>
                <w:color w:val="000000"/>
                <w:kern w:val="0"/>
                <w:sz w:val="20"/>
                <w:szCs w:val="20"/>
                <w:u w:val="none"/>
                <w:lang w:val="en-US" w:eastAsia="zh-CN" w:bidi="ar"/>
              </w:rPr>
            </w:pPr>
            <w:r>
              <w:rPr>
                <w:rFonts w:hint="eastAsia" w:asciiTheme="majorEastAsia" w:hAnsiTheme="majorEastAsia" w:eastAsiaTheme="majorEastAsia" w:cstheme="majorEastAsia"/>
                <w:i w:val="0"/>
                <w:color w:val="000000"/>
                <w:kern w:val="0"/>
                <w:sz w:val="20"/>
                <w:szCs w:val="20"/>
                <w:u w:val="none"/>
                <w:lang w:val="en-US" w:eastAsia="zh-CN" w:bidi="ar"/>
              </w:rPr>
              <w:t xml:space="preserve">3.红外触摸屏触摸点 数：10 点；   </w:t>
            </w:r>
          </w:p>
          <w:p>
            <w:pPr>
              <w:keepNext w:val="0"/>
              <w:keepLines w:val="0"/>
              <w:widowControl/>
              <w:suppressLineNumbers w:val="0"/>
              <w:jc w:val="left"/>
              <w:textAlignment w:val="top"/>
              <w:rPr>
                <w:rFonts w:hint="eastAsia" w:asciiTheme="majorEastAsia" w:hAnsiTheme="majorEastAsia" w:eastAsiaTheme="majorEastAsia" w:cstheme="majorEastAsia"/>
                <w:i w:val="0"/>
                <w:color w:val="000000"/>
                <w:kern w:val="0"/>
                <w:sz w:val="20"/>
                <w:szCs w:val="20"/>
                <w:u w:val="none"/>
                <w:lang w:val="en-US" w:eastAsia="zh-CN" w:bidi="ar"/>
              </w:rPr>
            </w:pPr>
            <w:r>
              <w:rPr>
                <w:rFonts w:hint="eastAsia" w:asciiTheme="majorEastAsia" w:hAnsiTheme="majorEastAsia" w:eastAsiaTheme="majorEastAsia" w:cstheme="majorEastAsia"/>
                <w:i w:val="0"/>
                <w:color w:val="000000"/>
                <w:kern w:val="0"/>
                <w:sz w:val="20"/>
                <w:szCs w:val="20"/>
                <w:u w:val="none"/>
                <w:lang w:val="en-US" w:eastAsia="zh-CN" w:bidi="ar"/>
              </w:rPr>
              <w:t>4.精度：小于 2mm；                     5.光标速度：180 点/ 秒。</w:t>
            </w:r>
          </w:p>
          <w:p>
            <w:pPr>
              <w:keepNext w:val="0"/>
              <w:keepLines w:val="0"/>
              <w:widowControl/>
              <w:suppressLineNumbers w:val="0"/>
              <w:jc w:val="left"/>
              <w:textAlignment w:val="top"/>
              <w:rPr>
                <w:rFonts w:hint="eastAsia" w:asciiTheme="majorEastAsia" w:hAnsiTheme="majorEastAsia" w:eastAsiaTheme="majorEastAsia" w:cstheme="majorEastAsia"/>
                <w:i w:val="0"/>
                <w:color w:val="000000"/>
                <w:kern w:val="0"/>
                <w:sz w:val="20"/>
                <w:szCs w:val="20"/>
                <w:u w:val="none"/>
                <w:lang w:val="en-US" w:eastAsia="zh-CN" w:bidi="ar"/>
              </w:rPr>
            </w:pPr>
            <w:r>
              <w:rPr>
                <w:rFonts w:hint="eastAsia" w:asciiTheme="majorEastAsia" w:hAnsiTheme="majorEastAsia" w:eastAsiaTheme="majorEastAsia" w:cstheme="majorEastAsia"/>
                <w:i w:val="0"/>
                <w:color w:val="000000"/>
                <w:kern w:val="0"/>
                <w:sz w:val="20"/>
                <w:szCs w:val="20"/>
                <w:u w:val="none"/>
                <w:lang w:val="en-US" w:eastAsia="zh-CN" w:bidi="ar"/>
              </w:rPr>
              <w:t>6.K型底座</w:t>
            </w:r>
          </w:p>
          <w:p>
            <w:pPr>
              <w:keepNext w:val="0"/>
              <w:keepLines w:val="0"/>
              <w:widowControl/>
              <w:suppressLineNumbers w:val="0"/>
              <w:jc w:val="left"/>
              <w:textAlignment w:val="top"/>
              <w:rPr>
                <w:rFonts w:hint="eastAsia" w:asciiTheme="majorEastAsia" w:hAnsiTheme="majorEastAsia" w:eastAsiaTheme="majorEastAsia" w:cstheme="majorEastAsia"/>
                <w:i w:val="0"/>
                <w:color w:val="000000"/>
                <w:kern w:val="0"/>
                <w:sz w:val="20"/>
                <w:szCs w:val="20"/>
                <w:u w:val="none"/>
                <w:lang w:val="en-US" w:eastAsia="zh-CN" w:bidi="ar"/>
              </w:rPr>
            </w:pPr>
            <w:r>
              <w:rPr>
                <w:rFonts w:hint="eastAsia" w:asciiTheme="majorEastAsia" w:hAnsiTheme="majorEastAsia" w:eastAsiaTheme="majorEastAsia" w:cstheme="majorEastAsia"/>
                <w:i w:val="0"/>
                <w:color w:val="000000"/>
                <w:kern w:val="0"/>
                <w:sz w:val="20"/>
                <w:szCs w:val="20"/>
                <w:u w:val="none"/>
                <w:lang w:val="en-US" w:eastAsia="zh-CN" w:bidi="ar"/>
              </w:rPr>
              <w:t>摄像头</w:t>
            </w:r>
          </w:p>
          <w:p>
            <w:pPr>
              <w:bidi w:val="0"/>
              <w:rPr>
                <w:rFonts w:hint="eastAsia"/>
                <w:sz w:val="20"/>
                <w:szCs w:val="22"/>
              </w:rPr>
            </w:pPr>
            <w:r>
              <w:rPr>
                <w:rFonts w:hint="eastAsia"/>
                <w:sz w:val="20"/>
                <w:szCs w:val="22"/>
                <w:lang w:val="en-US" w:eastAsia="zh-CN"/>
              </w:rPr>
              <w:t>品</w:t>
            </w:r>
            <w:r>
              <w:rPr>
                <w:rFonts w:hint="eastAsia"/>
                <w:sz w:val="20"/>
                <w:szCs w:val="22"/>
              </w:rPr>
              <w:t>牌罗技 Logitech</w:t>
            </w:r>
          </w:p>
          <w:p>
            <w:pPr>
              <w:bidi w:val="0"/>
              <w:rPr>
                <w:rFonts w:hint="eastAsia"/>
                <w:sz w:val="20"/>
                <w:szCs w:val="22"/>
              </w:rPr>
            </w:pPr>
            <w:r>
              <w:rPr>
                <w:rFonts w:hint="eastAsia"/>
                <w:sz w:val="20"/>
                <w:szCs w:val="22"/>
              </w:rPr>
              <w:t>型号C270</w:t>
            </w:r>
          </w:p>
          <w:p>
            <w:pPr>
              <w:bidi w:val="0"/>
              <w:rPr>
                <w:rFonts w:hint="eastAsia" w:asciiTheme="majorEastAsia" w:hAnsiTheme="majorEastAsia" w:eastAsiaTheme="majorEastAsia" w:cstheme="majorEastAsia"/>
                <w:i w:val="0"/>
                <w:color w:val="000000"/>
                <w:kern w:val="2"/>
                <w:sz w:val="20"/>
                <w:szCs w:val="20"/>
                <w:u w:val="none"/>
                <w:lang w:val="en-US" w:eastAsia="zh-CN" w:bidi="ar-SA"/>
              </w:rPr>
            </w:pPr>
          </w:p>
        </w:tc>
        <w:tc>
          <w:tcPr>
            <w:tcW w:w="496" w:type="dxa"/>
            <w:vAlign w:val="center"/>
          </w:tcPr>
          <w:p>
            <w:pPr>
              <w:jc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1056" w:type="dxa"/>
            <w:vAlign w:val="center"/>
          </w:tcPr>
          <w:p>
            <w:pPr>
              <w:jc w:val="center"/>
              <w:rPr>
                <w:rFonts w:hint="eastAsia" w:ascii="仿宋_GB2312" w:hAnsi="仿宋_GB2312" w:eastAsia="仿宋_GB2312" w:cs="仿宋_GB2312"/>
                <w:i w:val="0"/>
                <w:color w:val="000000"/>
                <w:kern w:val="0"/>
                <w:sz w:val="28"/>
                <w:szCs w:val="28"/>
                <w:u w:val="none"/>
                <w:lang w:val="en-US" w:eastAsia="zh-CN" w:bidi="ar"/>
              </w:rPr>
            </w:pPr>
          </w:p>
        </w:tc>
        <w:tc>
          <w:tcPr>
            <w:tcW w:w="1056" w:type="dxa"/>
            <w:vAlign w:val="center"/>
          </w:tcPr>
          <w:p>
            <w:pPr>
              <w:jc w:val="center"/>
              <w:rPr>
                <w:rFonts w:hint="eastAsia" w:ascii="仿宋_GB2312" w:hAnsi="仿宋_GB2312" w:eastAsia="仿宋_GB2312" w:cs="仿宋_GB2312"/>
                <w:i w:val="0"/>
                <w:color w:val="000000"/>
                <w:kern w:val="0"/>
                <w:sz w:val="28"/>
                <w:szCs w:val="28"/>
                <w:u w:val="none"/>
                <w:lang w:val="en-US" w:eastAsia="zh-CN" w:bidi="ar"/>
              </w:rPr>
            </w:pPr>
          </w:p>
        </w:tc>
        <w:tc>
          <w:tcPr>
            <w:tcW w:w="729" w:type="dxa"/>
            <w:vAlign w:val="center"/>
          </w:tcPr>
          <w:p>
            <w:pPr>
              <w:jc w:val="center"/>
              <w:rPr>
                <w:rFonts w:hint="eastAsia" w:ascii="仿宋_GB2312" w:hAnsi="仿宋_GB2312" w:eastAsia="仿宋_GB2312" w:cs="仿宋_GB2312"/>
                <w:sz w:val="40"/>
                <w:szCs w:val="40"/>
                <w:vertAlign w:val="baseline"/>
                <w:lang w:val="en-US" w:eastAsia="zh-CN"/>
              </w:rPr>
            </w:pPr>
          </w:p>
        </w:tc>
      </w:tr>
    </w:tbl>
    <w:p>
      <w:pPr>
        <w:pStyle w:val="2"/>
        <w:rPr>
          <w:rFonts w:hint="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项目要求：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8"/>
          <w:szCs w:val="28"/>
          <w:lang w:val="en-US" w:eastAsia="zh-CN"/>
        </w:rPr>
      </w:pPr>
      <w:r>
        <w:rPr>
          <w:rFonts w:hint="eastAsia"/>
          <w:sz w:val="28"/>
          <w:szCs w:val="28"/>
          <w:lang w:val="en-US" w:eastAsia="zh-CN"/>
        </w:rPr>
        <w:t>1、竞标单位需配合业主方完成设计、研发、安装、售后等系列相关服务。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2、为便于维护，以上所需设备统一集中采购（不分批次采购）。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3、投标公司产品质保期至少3年以上，如发生故障48小时之内需安排专业维修人员上门维修。如因各种原因不能及时上门维修，业主方将从质保金内扣除相应费用用于设备维修。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4、投标公司需提供售后服务承诺、保修时间、售后服务体系（含培训），并提供方案。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5、中标企业须无偿委派一名指导老师，常驻铜仁为期一年的指导培训。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6、中标企业在质保期内，每年需委派工程师无偿上门进行常规维护保养。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7、中标企业在质保期内需无偿为甲方进行软件升级及更新。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8、供货周期或安装工期：自签订合同生效之日起50日（其中包含周六、周日）之内全部完工，并交付投入使用。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9、付款方式：具体付款方式以中标单位中标后再议（设备质保金5%）。</w:t>
      </w:r>
    </w:p>
    <w:p>
      <w:pPr>
        <w:pStyle w:val="2"/>
        <w:rPr>
          <w:rFonts w:hint="eastAsia"/>
          <w:lang w:val="en-US" w:eastAsia="zh-CN"/>
        </w:rPr>
      </w:pPr>
    </w:p>
    <w:p>
      <w:pPr>
        <w:rPr>
          <w:rFonts w:hint="eastAsia"/>
          <w:lang w:val="en-US" w:eastAsia="zh-CN"/>
        </w:rPr>
      </w:pPr>
    </w:p>
    <w:p>
      <w:pPr>
        <w:pStyle w:val="2"/>
        <w:keepNext w:val="0"/>
        <w:keepLines w:val="0"/>
        <w:pageBreakBefore w:val="0"/>
        <w:numPr>
          <w:ilvl w:val="0"/>
          <w:numId w:val="0"/>
        </w:numPr>
        <w:kinsoku/>
        <w:wordWrap/>
        <w:overflowPunct/>
        <w:topLinePunct w:val="0"/>
        <w:bidi w:val="0"/>
        <w:spacing w:line="520" w:lineRule="exact"/>
        <w:ind w:firstLine="643" w:firstLineChars="200"/>
        <w:textAlignment w:val="auto"/>
        <w:rPr>
          <w:rFonts w:hint="eastAsia" w:ascii="宋体" w:hAnsi="宋体"/>
          <w:b/>
          <w:bCs/>
          <w:color w:val="000000" w:themeColor="text1"/>
          <w:sz w:val="36"/>
          <w:szCs w:val="36"/>
          <w:lang w:eastAsia="zh-CN"/>
        </w:rPr>
      </w:pPr>
      <w:r>
        <w:rPr>
          <w:rFonts w:hint="eastAsia" w:ascii="宋体" w:hAnsi="宋体"/>
          <w:b/>
          <w:bCs/>
          <w:color w:val="000000" w:themeColor="text1"/>
          <w:sz w:val="32"/>
          <w:szCs w:val="32"/>
          <w:lang w:eastAsia="zh-CN"/>
        </w:rPr>
        <w:t>注</w:t>
      </w:r>
      <w:r>
        <w:rPr>
          <w:rFonts w:hint="eastAsia" w:ascii="宋体" w:hAnsi="宋体"/>
          <w:b/>
          <w:bCs/>
          <w:color w:val="auto"/>
          <w:sz w:val="32"/>
          <w:szCs w:val="32"/>
          <w:lang w:eastAsia="zh-CN"/>
        </w:rPr>
        <w:t>：招标</w:t>
      </w:r>
      <w:r>
        <w:rPr>
          <w:rFonts w:hint="eastAsia" w:ascii="宋体" w:hAnsi="宋体"/>
          <w:b/>
          <w:bCs/>
          <w:color w:val="000000" w:themeColor="text1"/>
          <w:sz w:val="32"/>
          <w:szCs w:val="32"/>
          <w:lang w:eastAsia="zh-CN"/>
        </w:rPr>
        <w:t>文件论证费和专家评审费由中标人承担。</w:t>
      </w:r>
    </w:p>
    <w:p>
      <w:pPr>
        <w:pStyle w:val="2"/>
        <w:rPr>
          <w:rFonts w:hint="eastAsia"/>
          <w:lang w:eastAsia="zh-CN"/>
        </w:rPr>
      </w:pPr>
    </w:p>
    <w:p>
      <w:pPr>
        <w:sectPr>
          <w:pgSz w:w="11906" w:h="16838"/>
          <w:pgMar w:top="1440" w:right="1752" w:bottom="1440" w:left="1752" w:header="851" w:footer="992" w:gutter="0"/>
          <w:cols w:space="720" w:num="1"/>
          <w:docGrid w:linePitch="312" w:charSpace="0"/>
        </w:sectPr>
      </w:pPr>
    </w:p>
    <w:p>
      <w:pPr>
        <w:spacing w:line="360" w:lineRule="auto"/>
        <w:jc w:val="center"/>
        <w:rPr>
          <w:rFonts w:ascii="宋体" w:hAnsi="宋体"/>
          <w:b/>
          <w:sz w:val="44"/>
          <w:szCs w:val="44"/>
        </w:rPr>
      </w:pPr>
      <w:bookmarkStart w:id="5" w:name="_Toc268599010"/>
      <w:r>
        <w:rPr>
          <w:rFonts w:ascii="宋体" w:hAnsi="宋体"/>
          <w:b/>
          <w:bCs/>
          <w:sz w:val="36"/>
          <w:szCs w:val="36"/>
        </w:rPr>
        <w:t>第</w:t>
      </w:r>
      <w:r>
        <w:rPr>
          <w:rFonts w:hint="eastAsia" w:ascii="宋体" w:hAnsi="宋体"/>
          <w:b/>
          <w:bCs/>
          <w:sz w:val="36"/>
          <w:szCs w:val="36"/>
        </w:rPr>
        <w:t>五章  铜仁市</w:t>
      </w:r>
      <w:r>
        <w:rPr>
          <w:rFonts w:hint="eastAsia" w:ascii="宋体" w:hAnsi="宋体"/>
          <w:b/>
          <w:sz w:val="36"/>
          <w:szCs w:val="36"/>
        </w:rPr>
        <w:t>政府采购合同（参考文本）</w:t>
      </w:r>
    </w:p>
    <w:bookmarkEnd w:id="5"/>
    <w:p>
      <w:pPr>
        <w:spacing w:line="360" w:lineRule="auto"/>
        <w:rPr>
          <w:rFonts w:ascii="宋体" w:hAnsi="宋体"/>
          <w:sz w:val="24"/>
        </w:rPr>
      </w:pPr>
      <w:bookmarkStart w:id="6" w:name="_Toc268599011"/>
      <w:r>
        <w:rPr>
          <w:rFonts w:hint="eastAsia" w:ascii="宋体" w:hAnsi="宋体"/>
          <w:sz w:val="24"/>
        </w:rPr>
        <w:t>甲方</w:t>
      </w:r>
      <w:r>
        <w:rPr>
          <w:rFonts w:ascii="宋体" w:hAnsi="宋体"/>
          <w:sz w:val="24"/>
        </w:rPr>
        <w:t>（</w:t>
      </w:r>
      <w:r>
        <w:rPr>
          <w:rFonts w:hint="eastAsia" w:ascii="宋体" w:hAnsi="宋体"/>
          <w:sz w:val="24"/>
        </w:rPr>
        <w:t>采购人</w:t>
      </w:r>
      <w:r>
        <w:rPr>
          <w:rFonts w:ascii="宋体" w:hAnsi="宋体"/>
          <w:sz w:val="24"/>
        </w:rPr>
        <w:t>）</w:t>
      </w:r>
      <w:r>
        <w:rPr>
          <w:rFonts w:hint="eastAsia" w:ascii="宋体" w:hAnsi="宋体"/>
          <w:sz w:val="24"/>
        </w:rPr>
        <w:t>：  签订地点：</w:t>
      </w:r>
    </w:p>
    <w:p>
      <w:pPr>
        <w:spacing w:line="360" w:lineRule="auto"/>
        <w:rPr>
          <w:rFonts w:ascii="宋体" w:hAnsi="宋体"/>
          <w:sz w:val="24"/>
          <w:u w:val="single"/>
        </w:rPr>
      </w:pPr>
      <w:r>
        <w:rPr>
          <w:rFonts w:hint="eastAsia" w:ascii="宋体" w:hAnsi="宋体"/>
          <w:sz w:val="24"/>
        </w:rPr>
        <w:t xml:space="preserve">乙方（成交供应商）：签订日期： </w:t>
      </w:r>
      <w:r>
        <w:rPr>
          <w:rFonts w:hint="eastAsia" w:ascii="宋体" w:hAnsi="宋体"/>
          <w:sz w:val="24"/>
          <w:u w:val="single"/>
        </w:rPr>
        <w:t xml:space="preserve">     年   月   日</w:t>
      </w:r>
    </w:p>
    <w:p>
      <w:pPr>
        <w:spacing w:line="360" w:lineRule="auto"/>
        <w:rPr>
          <w:rFonts w:ascii="宋体" w:hAnsi="宋体"/>
          <w:sz w:val="24"/>
        </w:rPr>
      </w:pPr>
      <w:r>
        <w:rPr>
          <w:rFonts w:hint="eastAsia" w:ascii="宋体" w:hAnsi="宋体"/>
          <w:sz w:val="24"/>
        </w:rPr>
        <w:t xml:space="preserve">    根据甲方委托</w:t>
      </w:r>
      <w:r>
        <w:rPr>
          <w:rFonts w:hint="eastAsia" w:ascii="宋体" w:hAnsi="宋体"/>
          <w:sz w:val="24"/>
          <w:u w:val="single"/>
        </w:rPr>
        <w:t>（采购代理机构）</w:t>
      </w:r>
      <w:r>
        <w:rPr>
          <w:rFonts w:hint="eastAsia" w:ascii="宋体" w:hAnsi="宋体"/>
          <w:sz w:val="24"/>
        </w:rPr>
        <w:t>对进行采购（项目编号：）的采购结果，乙方为成交供应商，现依照谈判文件、</w:t>
      </w:r>
      <w:r>
        <w:rPr>
          <w:rFonts w:hint="eastAsia" w:ascii="宋体" w:hAnsi="宋体"/>
          <w:sz w:val="24"/>
          <w:u w:val="single"/>
        </w:rPr>
        <w:t>（成交供应商）</w:t>
      </w:r>
      <w:r>
        <w:rPr>
          <w:rFonts w:hint="eastAsia" w:ascii="宋体" w:hAnsi="宋体"/>
          <w:sz w:val="24"/>
        </w:rPr>
        <w:t>响应文件及有关法律、法规、规章规定的内容，双方达成如下协议：</w:t>
      </w:r>
    </w:p>
    <w:p>
      <w:pPr>
        <w:spacing w:line="360" w:lineRule="auto"/>
        <w:ind w:firstLine="480" w:firstLineChars="200"/>
        <w:rPr>
          <w:rFonts w:ascii="宋体" w:hAnsi="宋体" w:cs="Arial"/>
          <w:sz w:val="24"/>
        </w:rPr>
      </w:pPr>
      <w:r>
        <w:rPr>
          <w:rFonts w:hint="eastAsia" w:ascii="宋体" w:hAnsi="宋体" w:cs="Arial"/>
          <w:sz w:val="24"/>
        </w:rPr>
        <w:t>1.合同标物的和合同价格</w:t>
      </w:r>
    </w:p>
    <w:tbl>
      <w:tblPr>
        <w:tblStyle w:val="16"/>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668"/>
        <w:gridCol w:w="1668"/>
        <w:gridCol w:w="1148"/>
        <w:gridCol w:w="1148"/>
        <w:gridCol w:w="1148"/>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jc w:val="center"/>
              <w:rPr>
                <w:rFonts w:ascii="宋体" w:hAnsi="宋体"/>
                <w:b/>
                <w:sz w:val="24"/>
              </w:rPr>
            </w:pPr>
            <w:r>
              <w:rPr>
                <w:rFonts w:hint="eastAsia" w:ascii="宋体" w:hAnsi="宋体"/>
                <w:b/>
                <w:sz w:val="24"/>
              </w:rPr>
              <w:t>产品名称</w:t>
            </w:r>
          </w:p>
        </w:tc>
        <w:tc>
          <w:tcPr>
            <w:tcW w:w="1668" w:type="dxa"/>
            <w:vAlign w:val="center"/>
          </w:tcPr>
          <w:p>
            <w:pPr>
              <w:spacing w:line="360" w:lineRule="auto"/>
              <w:jc w:val="center"/>
              <w:rPr>
                <w:rFonts w:ascii="宋体" w:hAnsi="宋体"/>
                <w:b/>
                <w:sz w:val="24"/>
              </w:rPr>
            </w:pPr>
            <w:r>
              <w:rPr>
                <w:rFonts w:hint="eastAsia" w:ascii="宋体" w:hAnsi="宋体"/>
                <w:b/>
                <w:sz w:val="24"/>
              </w:rPr>
              <w:t>规格型号</w:t>
            </w:r>
          </w:p>
        </w:tc>
        <w:tc>
          <w:tcPr>
            <w:tcW w:w="1668" w:type="dxa"/>
            <w:vAlign w:val="center"/>
          </w:tcPr>
          <w:p>
            <w:pPr>
              <w:spacing w:line="360" w:lineRule="auto"/>
              <w:jc w:val="center"/>
              <w:rPr>
                <w:rFonts w:ascii="宋体" w:hAnsi="宋体"/>
                <w:b/>
                <w:sz w:val="24"/>
              </w:rPr>
            </w:pPr>
            <w:r>
              <w:rPr>
                <w:rFonts w:hint="eastAsia" w:ascii="宋体" w:hAnsi="宋体"/>
                <w:b/>
                <w:sz w:val="24"/>
              </w:rPr>
              <w:t>生产厂家</w:t>
            </w:r>
          </w:p>
        </w:tc>
        <w:tc>
          <w:tcPr>
            <w:tcW w:w="1148" w:type="dxa"/>
            <w:vAlign w:val="center"/>
          </w:tcPr>
          <w:p>
            <w:pPr>
              <w:spacing w:line="360" w:lineRule="auto"/>
              <w:jc w:val="center"/>
              <w:rPr>
                <w:rFonts w:ascii="宋体" w:hAnsi="宋体"/>
                <w:b/>
                <w:sz w:val="24"/>
              </w:rPr>
            </w:pPr>
            <w:r>
              <w:rPr>
                <w:rFonts w:hint="eastAsia" w:ascii="宋体" w:hAnsi="宋体"/>
                <w:b/>
                <w:sz w:val="24"/>
              </w:rPr>
              <w:t>数 量</w:t>
            </w:r>
          </w:p>
        </w:tc>
        <w:tc>
          <w:tcPr>
            <w:tcW w:w="1148" w:type="dxa"/>
            <w:vAlign w:val="center"/>
          </w:tcPr>
          <w:p>
            <w:pPr>
              <w:spacing w:line="360" w:lineRule="auto"/>
              <w:jc w:val="center"/>
              <w:rPr>
                <w:rFonts w:ascii="宋体" w:hAnsi="宋体"/>
                <w:b/>
                <w:sz w:val="24"/>
              </w:rPr>
            </w:pPr>
            <w:r>
              <w:rPr>
                <w:rFonts w:hint="eastAsia" w:ascii="宋体" w:hAnsi="宋体"/>
                <w:b/>
                <w:sz w:val="24"/>
              </w:rPr>
              <w:t>单 价</w:t>
            </w:r>
          </w:p>
        </w:tc>
        <w:tc>
          <w:tcPr>
            <w:tcW w:w="1148" w:type="dxa"/>
            <w:vAlign w:val="center"/>
          </w:tcPr>
          <w:p>
            <w:pPr>
              <w:spacing w:line="360" w:lineRule="auto"/>
              <w:jc w:val="center"/>
              <w:rPr>
                <w:rFonts w:ascii="宋体" w:hAnsi="宋体"/>
                <w:b/>
                <w:sz w:val="24"/>
              </w:rPr>
            </w:pPr>
            <w:r>
              <w:rPr>
                <w:rFonts w:hint="eastAsia" w:ascii="宋体" w:hAnsi="宋体"/>
                <w:b/>
                <w:sz w:val="24"/>
              </w:rPr>
              <w:t>总 价</w:t>
            </w:r>
          </w:p>
        </w:tc>
        <w:tc>
          <w:tcPr>
            <w:tcW w:w="1316" w:type="dxa"/>
            <w:vAlign w:val="center"/>
          </w:tcPr>
          <w:p>
            <w:pPr>
              <w:spacing w:line="360" w:lineRule="auto"/>
              <w:jc w:val="center"/>
              <w:rPr>
                <w:rFonts w:ascii="宋体" w:hAnsi="宋体"/>
                <w:b/>
                <w:sz w:val="24"/>
              </w:rPr>
            </w:pPr>
            <w:r>
              <w:rPr>
                <w:rFonts w:hint="eastAsia" w:ascii="宋体" w:hAnsi="宋体"/>
                <w:b/>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bl>
    <w:p>
      <w:pPr>
        <w:spacing w:line="360" w:lineRule="auto"/>
        <w:ind w:firstLine="480" w:firstLineChars="200"/>
        <w:rPr>
          <w:rFonts w:ascii="宋体" w:hAnsi="宋体" w:cs="Arial"/>
          <w:sz w:val="24"/>
        </w:rPr>
      </w:pPr>
      <w:r>
        <w:rPr>
          <w:rFonts w:hint="eastAsia" w:ascii="宋体" w:hAnsi="宋体" w:cs="Arial"/>
          <w:sz w:val="24"/>
        </w:rPr>
        <w:t>2.交货方式和交货地点</w:t>
      </w:r>
    </w:p>
    <w:p>
      <w:pPr>
        <w:spacing w:line="360" w:lineRule="auto"/>
        <w:ind w:firstLine="480" w:firstLineChars="200"/>
        <w:rPr>
          <w:rFonts w:ascii="宋体" w:hAnsi="宋体"/>
          <w:sz w:val="24"/>
          <w:u w:val="single"/>
        </w:rPr>
      </w:pPr>
      <w:r>
        <w:rPr>
          <w:rFonts w:ascii="宋体" w:hAnsi="宋体"/>
          <w:sz w:val="24"/>
        </w:rPr>
        <w:t>2.1</w:t>
      </w:r>
      <w:r>
        <w:rPr>
          <w:rFonts w:hint="eastAsia" w:ascii="宋体" w:hAnsi="宋体"/>
          <w:sz w:val="24"/>
        </w:rPr>
        <w:t xml:space="preserve">交货方式： </w:t>
      </w:r>
    </w:p>
    <w:p>
      <w:pPr>
        <w:spacing w:line="360" w:lineRule="auto"/>
        <w:ind w:firstLine="480" w:firstLineChars="200"/>
        <w:rPr>
          <w:rFonts w:ascii="宋体" w:hAnsi="宋体"/>
          <w:sz w:val="24"/>
        </w:rPr>
      </w:pPr>
      <w:r>
        <w:rPr>
          <w:rFonts w:ascii="宋体" w:hAnsi="宋体"/>
          <w:sz w:val="24"/>
        </w:rPr>
        <w:t>2.2</w:t>
      </w:r>
      <w:r>
        <w:rPr>
          <w:rFonts w:hint="eastAsia" w:ascii="宋体" w:hAnsi="宋体"/>
          <w:sz w:val="24"/>
        </w:rPr>
        <w:t>交货地点：</w:t>
      </w:r>
    </w:p>
    <w:p>
      <w:pPr>
        <w:spacing w:line="360" w:lineRule="auto"/>
        <w:ind w:firstLine="480" w:firstLineChars="200"/>
        <w:rPr>
          <w:rFonts w:ascii="宋体" w:hAnsi="宋体" w:cs="Arial"/>
          <w:sz w:val="24"/>
        </w:rPr>
      </w:pPr>
      <w:r>
        <w:rPr>
          <w:rFonts w:ascii="宋体" w:hAnsi="宋体" w:cs="Arial"/>
          <w:sz w:val="24"/>
        </w:rPr>
        <w:t>3</w:t>
      </w:r>
      <w:r>
        <w:rPr>
          <w:rFonts w:hint="eastAsia" w:ascii="宋体" w:hAnsi="宋体" w:cs="Arial"/>
          <w:sz w:val="24"/>
        </w:rPr>
        <w:t>.供货清单</w:t>
      </w:r>
    </w:p>
    <w:p>
      <w:pPr>
        <w:spacing w:line="360" w:lineRule="auto"/>
        <w:ind w:firstLine="480" w:firstLineChars="200"/>
        <w:rPr>
          <w:rFonts w:ascii="宋体" w:hAnsi="宋体" w:cs="Arial"/>
          <w:sz w:val="24"/>
        </w:rPr>
      </w:pPr>
      <w:r>
        <w:rPr>
          <w:rFonts w:ascii="宋体" w:hAnsi="宋体" w:cs="Arial"/>
          <w:sz w:val="24"/>
        </w:rPr>
        <w:t>3.1</w:t>
      </w:r>
      <w:r>
        <w:rPr>
          <w:rFonts w:hint="eastAsia" w:ascii="宋体" w:hAnsi="宋体" w:cs="Arial"/>
          <w:sz w:val="24"/>
        </w:rPr>
        <w:t>供货清单：包括产品主机、随机备品备件、专用工具的名称及数量。（采购人对包装及运输有特别要求的，应作具体约定。）</w:t>
      </w:r>
    </w:p>
    <w:p>
      <w:pPr>
        <w:spacing w:line="360" w:lineRule="auto"/>
        <w:ind w:firstLine="480" w:firstLineChars="200"/>
        <w:rPr>
          <w:rFonts w:ascii="宋体" w:hAnsi="宋体" w:cs="Arial"/>
          <w:sz w:val="24"/>
        </w:rPr>
      </w:pPr>
      <w:r>
        <w:rPr>
          <w:rFonts w:hint="eastAsia" w:ascii="宋体" w:hAnsi="宋体" w:cs="Arial"/>
          <w:sz w:val="24"/>
        </w:rPr>
        <w:t>4.付款方式与条件</w:t>
      </w:r>
    </w:p>
    <w:p>
      <w:pPr>
        <w:spacing w:line="360" w:lineRule="auto"/>
        <w:ind w:firstLine="480" w:firstLineChars="200"/>
        <w:rPr>
          <w:rFonts w:ascii="宋体" w:hAnsi="宋体" w:cs="Arial"/>
          <w:sz w:val="24"/>
        </w:rPr>
      </w:pPr>
      <w:r>
        <w:rPr>
          <w:rFonts w:hint="eastAsia" w:ascii="宋体" w:hAnsi="宋体" w:cs="Arial"/>
          <w:sz w:val="24"/>
        </w:rPr>
        <w:t>4.1货物交货付款</w:t>
      </w:r>
    </w:p>
    <w:p>
      <w:pPr>
        <w:spacing w:line="360" w:lineRule="auto"/>
        <w:rPr>
          <w:rFonts w:ascii="宋体" w:hAnsi="宋体"/>
          <w:sz w:val="24"/>
        </w:rPr>
      </w:pPr>
      <w:r>
        <w:rPr>
          <w:rFonts w:hint="eastAsia" w:ascii="宋体" w:hAnsi="宋体"/>
          <w:sz w:val="24"/>
        </w:rPr>
        <w:t xml:space="preserve">    全部货物交货并经验收合格后，甲方凭收讫货物的验收凭证和货物验收合格文件等材料以方式向乙方一次性支付%的货物价款。（若乙方有支付履约保证金的，可在支付货款时予以扣除。）</w:t>
      </w:r>
    </w:p>
    <w:p>
      <w:pPr>
        <w:spacing w:line="360" w:lineRule="auto"/>
        <w:rPr>
          <w:rFonts w:ascii="宋体" w:hAnsi="宋体"/>
          <w:sz w:val="24"/>
        </w:rPr>
      </w:pPr>
      <w:r>
        <w:rPr>
          <w:rFonts w:hint="eastAsia" w:ascii="宋体" w:hAnsi="宋体"/>
          <w:sz w:val="24"/>
        </w:rPr>
        <w:t xml:space="preserve">    现场交货条件下，乙方要求付款应提交下列单证和文件。</w:t>
      </w:r>
    </w:p>
    <w:p>
      <w:pPr>
        <w:spacing w:line="360" w:lineRule="auto"/>
        <w:ind w:firstLine="480" w:firstLineChars="200"/>
        <w:rPr>
          <w:rFonts w:ascii="宋体" w:hAnsi="宋体" w:cs="Arial"/>
          <w:sz w:val="24"/>
        </w:rPr>
      </w:pPr>
      <w:r>
        <w:rPr>
          <w:rFonts w:ascii="宋体" w:hAnsi="宋体" w:cs="Arial"/>
          <w:sz w:val="24"/>
        </w:rPr>
        <w:t>a.</w:t>
      </w:r>
      <w:r>
        <w:rPr>
          <w:rFonts w:hint="eastAsia" w:ascii="宋体" w:hAnsi="宋体" w:cs="Arial"/>
          <w:sz w:val="24"/>
        </w:rPr>
        <w:t>金额为有关合同货物价格%的正式发票。</w:t>
      </w:r>
    </w:p>
    <w:p>
      <w:pPr>
        <w:spacing w:line="360" w:lineRule="auto"/>
        <w:ind w:firstLine="480" w:firstLineChars="200"/>
        <w:rPr>
          <w:rFonts w:ascii="宋体" w:hAnsi="宋体" w:cs="Arial"/>
          <w:sz w:val="24"/>
        </w:rPr>
      </w:pPr>
      <w:r>
        <w:rPr>
          <w:rFonts w:ascii="宋体" w:hAnsi="宋体" w:cs="Arial"/>
          <w:sz w:val="24"/>
        </w:rPr>
        <w:t>b.</w:t>
      </w:r>
      <w:r>
        <w:rPr>
          <w:rFonts w:hint="eastAsia" w:ascii="宋体" w:hAnsi="宋体" w:cs="Arial"/>
          <w:sz w:val="24"/>
        </w:rPr>
        <w:t>制造厂家出具的货物质量合格证书。</w:t>
      </w:r>
    </w:p>
    <w:p>
      <w:pPr>
        <w:spacing w:line="360" w:lineRule="auto"/>
        <w:ind w:firstLine="480" w:firstLineChars="200"/>
        <w:rPr>
          <w:rFonts w:ascii="宋体" w:hAnsi="宋体" w:cs="Arial"/>
          <w:sz w:val="24"/>
        </w:rPr>
      </w:pPr>
      <w:r>
        <w:rPr>
          <w:rFonts w:ascii="宋体" w:hAnsi="宋体" w:cs="Arial"/>
          <w:sz w:val="24"/>
        </w:rPr>
        <w:t>c.</w:t>
      </w:r>
      <w:r>
        <w:rPr>
          <w:rFonts w:hint="eastAsia" w:ascii="宋体" w:hAnsi="宋体" w:cs="Arial"/>
          <w:sz w:val="24"/>
        </w:rPr>
        <w:t xml:space="preserve"> 甲方已收讫货物的验收凭证。</w:t>
      </w:r>
    </w:p>
    <w:p>
      <w:pPr>
        <w:spacing w:line="360" w:lineRule="auto"/>
        <w:ind w:firstLine="480" w:firstLineChars="200"/>
        <w:rPr>
          <w:rFonts w:ascii="宋体" w:hAnsi="宋体" w:cs="Arial"/>
          <w:sz w:val="24"/>
        </w:rPr>
      </w:pPr>
      <w:r>
        <w:rPr>
          <w:rFonts w:ascii="宋体" w:hAnsi="宋体" w:cs="Arial"/>
          <w:sz w:val="24"/>
        </w:rPr>
        <w:t>d.</w:t>
      </w:r>
      <w:r>
        <w:rPr>
          <w:rFonts w:hint="eastAsia" w:ascii="宋体" w:hAnsi="宋体" w:cs="Arial"/>
          <w:sz w:val="24"/>
        </w:rPr>
        <w:t xml:space="preserve"> 甲方签发的验收合格文件。</w:t>
      </w:r>
    </w:p>
    <w:p>
      <w:pPr>
        <w:spacing w:line="360" w:lineRule="auto"/>
        <w:rPr>
          <w:rFonts w:ascii="宋体" w:hAnsi="宋体"/>
          <w:sz w:val="24"/>
        </w:rPr>
      </w:pPr>
      <w:r>
        <w:rPr>
          <w:rFonts w:hint="eastAsia" w:ascii="宋体" w:hAnsi="宋体" w:cs="Arial"/>
          <w:sz w:val="24"/>
        </w:rPr>
        <w:t>4.</w:t>
      </w:r>
      <w:r>
        <w:rPr>
          <w:rFonts w:hint="eastAsia" w:ascii="宋体" w:hAnsi="宋体"/>
          <w:sz w:val="24"/>
        </w:rPr>
        <w:t>2分期支付货款的，余下的货款应于（时间）支付。</w:t>
      </w:r>
    </w:p>
    <w:p>
      <w:pPr>
        <w:spacing w:line="360" w:lineRule="auto"/>
        <w:ind w:firstLine="480" w:firstLineChars="200"/>
        <w:rPr>
          <w:rFonts w:ascii="宋体" w:hAnsi="宋体" w:cs="Arial"/>
          <w:sz w:val="24"/>
        </w:rPr>
      </w:pPr>
      <w:r>
        <w:rPr>
          <w:rFonts w:hint="eastAsia" w:ascii="宋体" w:hAnsi="宋体" w:cs="Arial"/>
          <w:sz w:val="24"/>
        </w:rPr>
        <w:t>5.质量要求和技术标准</w:t>
      </w:r>
    </w:p>
    <w:p>
      <w:pPr>
        <w:spacing w:line="360" w:lineRule="auto"/>
        <w:ind w:firstLine="480" w:firstLineChars="200"/>
        <w:rPr>
          <w:rFonts w:ascii="宋体" w:hAnsi="宋体" w:cs="Arial"/>
          <w:sz w:val="24"/>
        </w:rPr>
      </w:pPr>
      <w:r>
        <w:rPr>
          <w:rFonts w:hint="eastAsia" w:ascii="宋体" w:hAnsi="宋体" w:cs="Arial"/>
          <w:sz w:val="24"/>
        </w:rPr>
        <w:t>质量条款可细分为产品质量、包装质量、技术资料质量等内容。</w:t>
      </w:r>
    </w:p>
    <w:p>
      <w:pPr>
        <w:spacing w:line="360" w:lineRule="auto"/>
        <w:ind w:firstLine="480" w:firstLineChars="200"/>
        <w:rPr>
          <w:rFonts w:ascii="宋体" w:hAnsi="宋体" w:cs="Arial"/>
          <w:sz w:val="24"/>
        </w:rPr>
      </w:pPr>
      <w:r>
        <w:rPr>
          <w:rFonts w:hint="eastAsia" w:ascii="宋体" w:hAnsi="宋体" w:cs="Arial"/>
          <w:sz w:val="24"/>
        </w:rPr>
        <w:t>（质量要求和技术标准应按谈判文件要求填列。）</w:t>
      </w:r>
    </w:p>
    <w:p>
      <w:pPr>
        <w:spacing w:line="360" w:lineRule="auto"/>
        <w:ind w:firstLine="480" w:firstLineChars="200"/>
        <w:rPr>
          <w:rFonts w:ascii="宋体" w:hAnsi="宋体" w:cs="Arial"/>
          <w:sz w:val="24"/>
        </w:rPr>
      </w:pPr>
      <w:r>
        <w:rPr>
          <w:rFonts w:ascii="宋体" w:hAnsi="宋体" w:cs="Arial"/>
          <w:sz w:val="24"/>
        </w:rPr>
        <w:t>6</w:t>
      </w:r>
      <w:r>
        <w:rPr>
          <w:rFonts w:hint="eastAsia" w:ascii="宋体" w:hAnsi="宋体" w:cs="Arial"/>
          <w:sz w:val="24"/>
        </w:rPr>
        <w:t>.安装调试、技术服务、人员培训及技术资料</w:t>
      </w:r>
    </w:p>
    <w:p>
      <w:pPr>
        <w:spacing w:line="360" w:lineRule="auto"/>
        <w:ind w:firstLine="480" w:firstLineChars="200"/>
        <w:rPr>
          <w:rFonts w:ascii="宋体" w:hAnsi="宋体" w:cs="Arial"/>
          <w:sz w:val="24"/>
        </w:rPr>
      </w:pPr>
      <w:r>
        <w:rPr>
          <w:rFonts w:hint="eastAsia" w:ascii="宋体" w:hAnsi="宋体" w:cs="Arial"/>
          <w:sz w:val="24"/>
        </w:rPr>
        <w:t xml:space="preserve">  （安装调试、技术服务、人员培训及技术资料应按谈判文件要求填列。）</w:t>
      </w:r>
    </w:p>
    <w:p>
      <w:pPr>
        <w:spacing w:line="360" w:lineRule="auto"/>
        <w:ind w:firstLine="480" w:firstLineChars="200"/>
        <w:rPr>
          <w:rFonts w:ascii="宋体" w:hAnsi="宋体" w:cs="Arial"/>
          <w:sz w:val="24"/>
        </w:rPr>
      </w:pPr>
      <w:r>
        <w:rPr>
          <w:rFonts w:ascii="宋体" w:hAnsi="宋体" w:cs="Arial"/>
          <w:sz w:val="24"/>
        </w:rPr>
        <w:t>7</w:t>
      </w:r>
      <w:r>
        <w:rPr>
          <w:rFonts w:hint="eastAsia" w:ascii="宋体" w:hAnsi="宋体" w:cs="Arial"/>
          <w:sz w:val="24"/>
        </w:rPr>
        <w:t>.验收</w:t>
      </w:r>
    </w:p>
    <w:p>
      <w:pPr>
        <w:spacing w:line="360" w:lineRule="auto"/>
        <w:ind w:firstLine="480" w:firstLineChars="200"/>
        <w:rPr>
          <w:rFonts w:ascii="宋体" w:hAnsi="宋体" w:cs="Arial"/>
          <w:sz w:val="24"/>
        </w:rPr>
      </w:pPr>
      <w:r>
        <w:rPr>
          <w:rFonts w:hint="eastAsia" w:ascii="宋体" w:hAnsi="宋体" w:cs="Arial"/>
          <w:sz w:val="24"/>
        </w:rPr>
        <w:t>（货物验收标准和方法应按谈判文件要求填列。）验收结果经双方确认后，双方代表必须按规定的验收交接单上的项目对照本合同填好验收结果并签名盖章。</w:t>
      </w:r>
    </w:p>
    <w:p>
      <w:pPr>
        <w:spacing w:line="360" w:lineRule="auto"/>
        <w:ind w:firstLine="480" w:firstLineChars="200"/>
        <w:rPr>
          <w:rFonts w:ascii="宋体" w:hAnsi="宋体" w:cs="Arial"/>
          <w:sz w:val="24"/>
        </w:rPr>
      </w:pPr>
      <w:r>
        <w:rPr>
          <w:rFonts w:hint="eastAsia" w:ascii="宋体" w:hAnsi="宋体" w:cs="Arial"/>
          <w:sz w:val="24"/>
        </w:rPr>
        <w:t>验收可细分为到货时的外在质量的验收，投产前的质量验收，大型设备可能还存在更多的验收步骤和验收方式，采购人可在谈判文件中细化规定。</w:t>
      </w:r>
    </w:p>
    <w:p>
      <w:pPr>
        <w:spacing w:line="360" w:lineRule="auto"/>
        <w:ind w:firstLine="480" w:firstLineChars="200"/>
        <w:rPr>
          <w:rFonts w:ascii="宋体" w:hAnsi="宋体" w:cs="Arial"/>
          <w:sz w:val="24"/>
        </w:rPr>
      </w:pPr>
      <w:r>
        <w:rPr>
          <w:rFonts w:hint="eastAsia" w:ascii="宋体" w:hAnsi="宋体" w:cs="Arial"/>
          <w:sz w:val="24"/>
        </w:rPr>
        <w:t>8.质量保证</w:t>
      </w:r>
    </w:p>
    <w:p>
      <w:pPr>
        <w:spacing w:line="360" w:lineRule="auto"/>
        <w:ind w:firstLine="480" w:firstLineChars="200"/>
        <w:rPr>
          <w:rFonts w:ascii="宋体" w:hAnsi="宋体"/>
          <w:sz w:val="24"/>
        </w:rPr>
      </w:pPr>
      <w:r>
        <w:rPr>
          <w:rFonts w:hint="eastAsia" w:ascii="宋体" w:hAnsi="宋体"/>
          <w:sz w:val="24"/>
        </w:rPr>
        <w:t>各合同包货物质保期要求均为货物经最终验收合格后 个月，在质量保证期内设备运行发生故障时，乙方在接到甲方故障通知后小时内应委派专业技术人员到现场免费提供咨询、维修和更换零部件等服务，并及时填写维修报告（包括故障原因、处理情况及甲方意见等）报甲方备案，若小时内无法排除故障，则应先提供同档次备用机供甲方使用。其中发生一切费用由乙方承担。质量保证期内乙方有责任对设备进行不定期的巡查检修。谈判响应供应商视自身能力在响应文件中提供更优、更合理的维修服务承诺。</w:t>
      </w:r>
    </w:p>
    <w:p>
      <w:pPr>
        <w:spacing w:line="360" w:lineRule="auto"/>
        <w:ind w:firstLine="480" w:firstLineChars="200"/>
        <w:rPr>
          <w:rFonts w:ascii="宋体" w:hAnsi="宋体" w:cs="Arial"/>
          <w:sz w:val="24"/>
        </w:rPr>
      </w:pPr>
      <w:r>
        <w:rPr>
          <w:rFonts w:hint="eastAsia" w:ascii="宋体" w:hAnsi="宋体" w:cs="Arial"/>
          <w:sz w:val="24"/>
        </w:rPr>
        <w:t>9.知识产权：</w:t>
      </w:r>
    </w:p>
    <w:p>
      <w:pPr>
        <w:spacing w:line="360" w:lineRule="auto"/>
        <w:ind w:firstLine="480" w:firstLineChars="200"/>
        <w:rPr>
          <w:rFonts w:ascii="宋体" w:hAnsi="宋体" w:cs="Arial"/>
          <w:sz w:val="24"/>
        </w:rPr>
      </w:pPr>
      <w:r>
        <w:rPr>
          <w:rFonts w:hint="eastAsia" w:ascii="宋体" w:hAnsi="宋体" w:cs="Arial"/>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firstLine="480" w:firstLineChars="200"/>
        <w:rPr>
          <w:rFonts w:ascii="宋体" w:hAnsi="宋体" w:cs="Arial"/>
          <w:sz w:val="24"/>
        </w:rPr>
      </w:pPr>
      <w:r>
        <w:rPr>
          <w:rFonts w:hint="eastAsia" w:ascii="宋体" w:hAnsi="宋体" w:cs="Arial"/>
          <w:sz w:val="24"/>
        </w:rPr>
        <w:t>10.违约责任</w:t>
      </w:r>
    </w:p>
    <w:p>
      <w:pPr>
        <w:spacing w:line="360" w:lineRule="auto"/>
        <w:ind w:firstLine="480" w:firstLineChars="200"/>
        <w:rPr>
          <w:rFonts w:ascii="宋体" w:hAnsi="宋体"/>
          <w:sz w:val="24"/>
          <w:u w:val="single"/>
        </w:rPr>
      </w:pPr>
      <w:r>
        <w:rPr>
          <w:rFonts w:hint="eastAsia" w:ascii="宋体" w:hAnsi="宋体" w:cs="Arial"/>
          <w:sz w:val="24"/>
        </w:rPr>
        <w:t>10.1未按期交货的违约责任：</w:t>
      </w:r>
    </w:p>
    <w:p>
      <w:pPr>
        <w:spacing w:line="360" w:lineRule="auto"/>
        <w:ind w:firstLine="480" w:firstLineChars="200"/>
        <w:rPr>
          <w:rFonts w:ascii="宋体" w:hAnsi="宋体" w:cs="Arial"/>
          <w:sz w:val="24"/>
        </w:rPr>
      </w:pPr>
      <w:r>
        <w:rPr>
          <w:rFonts w:ascii="宋体" w:hAnsi="宋体" w:cs="Arial"/>
          <w:sz w:val="24"/>
        </w:rPr>
        <w:t>1</w:t>
      </w:r>
      <w:r>
        <w:rPr>
          <w:rFonts w:hint="eastAsia" w:ascii="宋体" w:hAnsi="宋体" w:cs="Arial"/>
          <w:sz w:val="24"/>
        </w:rPr>
        <w:t>1.违约终止合同</w:t>
      </w:r>
    </w:p>
    <w:p>
      <w:pPr>
        <w:spacing w:line="360" w:lineRule="auto"/>
        <w:ind w:firstLine="480" w:firstLineChars="200"/>
        <w:rPr>
          <w:rFonts w:ascii="宋体" w:hAnsi="宋体" w:cs="Arial"/>
          <w:sz w:val="24"/>
        </w:rPr>
      </w:pPr>
      <w:r>
        <w:rPr>
          <w:rFonts w:ascii="宋体" w:hAnsi="宋体" w:cs="Arial"/>
          <w:sz w:val="24"/>
        </w:rPr>
        <w:t>11.</w:t>
      </w:r>
      <w:r>
        <w:rPr>
          <w:rFonts w:hint="eastAsia" w:ascii="宋体" w:hAnsi="宋体" w:cs="Arial"/>
          <w:sz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ascii="宋体" w:hAnsi="宋体" w:cs="Arial"/>
          <w:sz w:val="24"/>
        </w:rPr>
      </w:pPr>
      <w:r>
        <w:rPr>
          <w:rFonts w:ascii="宋体" w:hAnsi="宋体" w:cs="Arial"/>
          <w:sz w:val="24"/>
        </w:rPr>
        <w:t>11.1.1</w:t>
      </w:r>
      <w:r>
        <w:rPr>
          <w:rFonts w:hint="eastAsia" w:ascii="宋体" w:hAnsi="宋体" w:cs="Arial"/>
          <w:sz w:val="24"/>
        </w:rPr>
        <w:t>如果乙方未能在合同规定的期限内或双方另行确定的延期交货时间内交付合同约定的货物。</w:t>
      </w:r>
    </w:p>
    <w:p>
      <w:pPr>
        <w:spacing w:line="360" w:lineRule="auto"/>
        <w:ind w:firstLine="480" w:firstLineChars="200"/>
        <w:rPr>
          <w:rFonts w:ascii="宋体" w:hAnsi="宋体" w:cs="Arial"/>
          <w:sz w:val="24"/>
        </w:rPr>
      </w:pPr>
      <w:r>
        <w:rPr>
          <w:rFonts w:ascii="宋体" w:hAnsi="宋体" w:cs="Arial"/>
          <w:sz w:val="24"/>
        </w:rPr>
        <w:t>11.1.2</w:t>
      </w:r>
      <w:r>
        <w:rPr>
          <w:rFonts w:hint="eastAsia" w:ascii="宋体" w:hAnsi="宋体" w:cs="Arial"/>
          <w:sz w:val="24"/>
        </w:rPr>
        <w:t>乙方未能履行合同项下的任何其它义务。</w:t>
      </w:r>
    </w:p>
    <w:p>
      <w:pPr>
        <w:spacing w:line="360" w:lineRule="auto"/>
        <w:ind w:firstLine="480" w:firstLineChars="200"/>
        <w:rPr>
          <w:rFonts w:ascii="宋体" w:hAnsi="宋体" w:cs="Arial"/>
          <w:sz w:val="24"/>
        </w:rPr>
      </w:pPr>
      <w:r>
        <w:rPr>
          <w:rFonts w:hint="eastAsia" w:ascii="宋体" w:hAnsi="宋体" w:cs="Arial"/>
          <w:sz w:val="24"/>
        </w:rPr>
        <w:t>12.不可抗力</w:t>
      </w:r>
    </w:p>
    <w:p>
      <w:pPr>
        <w:spacing w:line="360" w:lineRule="auto"/>
        <w:ind w:firstLine="480" w:firstLineChars="200"/>
        <w:rPr>
          <w:rFonts w:ascii="宋体" w:hAnsi="宋体" w:cs="Arial"/>
          <w:sz w:val="24"/>
        </w:rPr>
      </w:pPr>
      <w:r>
        <w:rPr>
          <w:rFonts w:hint="eastAsia" w:ascii="宋体" w:hAnsi="宋体" w:cs="Arial"/>
          <w:sz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ascii="宋体" w:hAnsi="宋体" w:cs="Arial"/>
          <w:sz w:val="24"/>
        </w:rPr>
      </w:pPr>
      <w:r>
        <w:rPr>
          <w:rFonts w:hint="eastAsia" w:ascii="宋体" w:hAnsi="宋体" w:cs="Arial"/>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0" w:firstLineChars="200"/>
        <w:rPr>
          <w:rFonts w:ascii="宋体" w:hAnsi="宋体" w:cs="Arial"/>
          <w:sz w:val="24"/>
        </w:rPr>
      </w:pPr>
      <w:r>
        <w:rPr>
          <w:rFonts w:hint="eastAsia" w:ascii="宋体" w:hAnsi="宋体" w:cs="Arial"/>
          <w:sz w:val="24"/>
        </w:rPr>
        <w:t>13.合同纠纷处理方式：因本合同或与本合同有关的一切事项发生争议，由双方友好协商解决。协商不成的，选择以下其中一种方式解决：</w:t>
      </w:r>
    </w:p>
    <w:p>
      <w:pPr>
        <w:spacing w:line="360" w:lineRule="auto"/>
        <w:ind w:firstLine="480" w:firstLineChars="200"/>
        <w:rPr>
          <w:rFonts w:ascii="宋体" w:hAnsi="宋体" w:cs="Arial"/>
          <w:sz w:val="24"/>
        </w:rPr>
      </w:pPr>
      <w:r>
        <w:rPr>
          <w:rFonts w:hint="eastAsia" w:ascii="宋体" w:hAnsi="宋体" w:cs="Arial"/>
          <w:sz w:val="24"/>
        </w:rPr>
        <w:t>（  ）向（</w:t>
      </w:r>
      <w:r>
        <w:rPr>
          <w:rFonts w:hint="eastAsia" w:ascii="宋体" w:hAnsi="宋体" w:cs="Arial"/>
          <w:sz w:val="24"/>
          <w:u w:val="single"/>
        </w:rPr>
        <w:t>甲方所在地）</w:t>
      </w:r>
      <w:r>
        <w:rPr>
          <w:rFonts w:hint="eastAsia" w:ascii="宋体" w:hAnsi="宋体" w:cs="Arial"/>
          <w:sz w:val="24"/>
        </w:rPr>
        <w:t>仲裁委员会申请仲裁；</w:t>
      </w:r>
    </w:p>
    <w:p>
      <w:pPr>
        <w:spacing w:line="360" w:lineRule="auto"/>
        <w:ind w:firstLine="480" w:firstLineChars="200"/>
        <w:rPr>
          <w:rFonts w:ascii="宋体" w:hAnsi="宋体" w:cs="Arial"/>
          <w:sz w:val="24"/>
        </w:rPr>
      </w:pPr>
      <w:r>
        <w:rPr>
          <w:rFonts w:hint="eastAsia" w:ascii="宋体" w:hAnsi="宋体" w:cs="Arial"/>
          <w:sz w:val="24"/>
        </w:rPr>
        <w:t>（  ）向有管辖权的人民法院提起诉讼。</w:t>
      </w:r>
    </w:p>
    <w:p>
      <w:pPr>
        <w:spacing w:line="360" w:lineRule="auto"/>
        <w:ind w:firstLine="480" w:firstLineChars="200"/>
        <w:rPr>
          <w:rFonts w:ascii="宋体" w:hAnsi="宋体" w:cs="Arial"/>
          <w:sz w:val="24"/>
        </w:rPr>
      </w:pPr>
      <w:r>
        <w:rPr>
          <w:rFonts w:hint="eastAsia" w:ascii="宋体" w:hAnsi="宋体" w:cs="Arial"/>
          <w:sz w:val="24"/>
        </w:rPr>
        <w:t>14.其他约定</w:t>
      </w:r>
    </w:p>
    <w:p>
      <w:pPr>
        <w:spacing w:line="360" w:lineRule="auto"/>
        <w:ind w:firstLine="480" w:firstLineChars="200"/>
        <w:rPr>
          <w:rFonts w:ascii="宋体" w:hAnsi="宋体" w:cs="Arial"/>
          <w:sz w:val="24"/>
        </w:rPr>
      </w:pPr>
      <w:r>
        <w:rPr>
          <w:rFonts w:hint="eastAsia" w:ascii="宋体" w:hAnsi="宋体" w:cs="Arial"/>
          <w:sz w:val="24"/>
        </w:rPr>
        <w:t>14.1本采购项目的谈判文件、成交供应商的响应文件以及相关的澄清确认函（如果有的话）均为本合同不可分割的一部分，与本合同具有同等法律效力。</w:t>
      </w:r>
    </w:p>
    <w:p>
      <w:pPr>
        <w:spacing w:line="360" w:lineRule="auto"/>
        <w:ind w:firstLine="480" w:firstLineChars="200"/>
        <w:rPr>
          <w:rFonts w:ascii="宋体" w:hAnsi="宋体" w:cs="Arial"/>
          <w:sz w:val="24"/>
        </w:rPr>
      </w:pPr>
      <w:r>
        <w:rPr>
          <w:rFonts w:hint="eastAsia" w:ascii="宋体" w:hAnsi="宋体" w:cs="Arial"/>
          <w:sz w:val="24"/>
        </w:rPr>
        <w:t>14.2本合同未尽事宜，双方另行补充。</w:t>
      </w:r>
    </w:p>
    <w:p>
      <w:pPr>
        <w:spacing w:line="360" w:lineRule="auto"/>
        <w:ind w:firstLine="480" w:firstLineChars="200"/>
        <w:rPr>
          <w:rFonts w:ascii="宋体" w:hAnsi="宋体" w:cs="Arial"/>
          <w:sz w:val="24"/>
        </w:rPr>
      </w:pPr>
      <w:r>
        <w:rPr>
          <w:rFonts w:hint="eastAsia" w:ascii="宋体" w:hAnsi="宋体" w:cs="Arial"/>
          <w:sz w:val="24"/>
        </w:rPr>
        <w:t>14.3本合同一式三份，经双方授权代表签字并加盖公章后生效。甲方、乙方各执一份，送采购代理机构备案一份，具有同等效力。</w:t>
      </w:r>
    </w:p>
    <w:p>
      <w:pPr>
        <w:spacing w:line="360" w:lineRule="auto"/>
        <w:ind w:firstLine="480" w:firstLineChars="200"/>
        <w:rPr>
          <w:rFonts w:ascii="宋体" w:hAnsi="宋体" w:cs="Arial"/>
          <w:sz w:val="24"/>
        </w:rPr>
      </w:pPr>
      <w:r>
        <w:rPr>
          <w:rFonts w:hint="eastAsia" w:ascii="宋体" w:hAnsi="宋体" w:cs="Arial"/>
          <w:sz w:val="24"/>
        </w:rPr>
        <w:t>14.4甲方应当自合同签订之日起2个工作日，将合同在铜仁市政府采购网上公告，但合同中涉及国家秘密、商业秘密的内容除外。</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甲    方：                            乙    方：</w:t>
      </w:r>
    </w:p>
    <w:p>
      <w:pPr>
        <w:spacing w:line="360" w:lineRule="auto"/>
        <w:rPr>
          <w:rFonts w:ascii="宋体" w:hAnsi="宋体"/>
          <w:sz w:val="24"/>
        </w:rPr>
      </w:pPr>
      <w:r>
        <w:rPr>
          <w:rFonts w:hint="eastAsia" w:ascii="宋体" w:hAnsi="宋体"/>
          <w:sz w:val="24"/>
        </w:rPr>
        <w:t>单位地址：                            单位地址：</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电    话：                            电    话：</w:t>
      </w:r>
    </w:p>
    <w:p>
      <w:pPr>
        <w:spacing w:line="360" w:lineRule="auto"/>
        <w:rPr>
          <w:rFonts w:ascii="宋体" w:hAnsi="宋体"/>
          <w:sz w:val="24"/>
        </w:rPr>
      </w:pPr>
      <w:r>
        <w:rPr>
          <w:rFonts w:hint="eastAsia" w:ascii="宋体" w:hAnsi="宋体"/>
          <w:sz w:val="24"/>
        </w:rPr>
        <w:t>开户银行：                            开户银行：</w:t>
      </w:r>
    </w:p>
    <w:p>
      <w:pPr>
        <w:spacing w:line="360" w:lineRule="auto"/>
        <w:outlineLvl w:val="0"/>
        <w:rPr>
          <w:rFonts w:ascii="宋体" w:hAnsi="宋体"/>
          <w:sz w:val="24"/>
        </w:rPr>
      </w:pPr>
      <w:r>
        <w:rPr>
          <w:rFonts w:hint="eastAsia" w:ascii="宋体" w:hAnsi="宋体"/>
          <w:sz w:val="24"/>
        </w:rPr>
        <w:t>账    号：                            账    号：</w:t>
      </w: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jc w:val="center"/>
        <w:outlineLvl w:val="0"/>
        <w:rPr>
          <w:rFonts w:ascii="宋体" w:hAnsi="宋体"/>
          <w:b/>
          <w:bCs/>
          <w:sz w:val="44"/>
          <w:szCs w:val="44"/>
        </w:rPr>
      </w:pPr>
    </w:p>
    <w:p>
      <w:pPr>
        <w:spacing w:line="360" w:lineRule="auto"/>
        <w:jc w:val="center"/>
        <w:outlineLvl w:val="0"/>
        <w:rPr>
          <w:rFonts w:ascii="宋体" w:hAnsi="宋体"/>
          <w:b/>
          <w:bCs/>
          <w:sz w:val="44"/>
          <w:szCs w:val="44"/>
        </w:rPr>
      </w:pPr>
      <w:r>
        <w:rPr>
          <w:rFonts w:hint="eastAsia" w:ascii="宋体" w:hAnsi="宋体"/>
          <w:b/>
          <w:bCs/>
          <w:sz w:val="44"/>
          <w:szCs w:val="44"/>
        </w:rPr>
        <w:t>第六章　响应文件格式</w:t>
      </w:r>
      <w:bookmarkEnd w:id="6"/>
    </w:p>
    <w:p>
      <w:pPr>
        <w:spacing w:line="360" w:lineRule="auto"/>
        <w:jc w:val="center"/>
        <w:rPr>
          <w:rFonts w:ascii="宋体" w:hAnsi="宋体"/>
          <w:b/>
          <w:color w:val="000000"/>
          <w:sz w:val="36"/>
          <w:szCs w:val="36"/>
        </w:rPr>
      </w:pPr>
      <w:r>
        <w:rPr>
          <w:rFonts w:hint="eastAsia" w:ascii="宋体" w:hAnsi="宋体"/>
          <w:b/>
          <w:color w:val="000000"/>
          <w:sz w:val="36"/>
          <w:szCs w:val="36"/>
        </w:rPr>
        <w:t>投标密封袋及文件封面格式</w:t>
      </w:r>
    </w:p>
    <w:p>
      <w:pPr>
        <w:spacing w:line="480" w:lineRule="auto"/>
        <w:jc w:val="center"/>
        <w:rPr>
          <w:rFonts w:ascii="宋体" w:hAnsi="宋体" w:cs="宋体"/>
          <w:b/>
          <w:color w:val="000000"/>
          <w:sz w:val="28"/>
          <w:szCs w:val="28"/>
        </w:rPr>
      </w:pP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 xml:space="preserve">                               注:投标文件标明</w:t>
      </w:r>
      <w:r>
        <w:rPr>
          <w:rFonts w:hint="eastAsia" w:ascii="宋体" w:hAnsi="宋体" w:cs="宋体"/>
          <w:b/>
          <w:color w:val="000000"/>
          <w:sz w:val="28"/>
          <w:szCs w:val="28"/>
          <w:u w:val="single"/>
        </w:rPr>
        <w:t>正本或副本</w:t>
      </w:r>
    </w:p>
    <w:p>
      <w:pPr>
        <w:spacing w:line="480" w:lineRule="auto"/>
        <w:jc w:val="center"/>
        <w:rPr>
          <w:rFonts w:ascii="宋体" w:hAnsi="宋体" w:cs="宋体"/>
          <w:bCs/>
          <w:color w:val="000000"/>
          <w:sz w:val="28"/>
          <w:szCs w:val="28"/>
        </w:rPr>
      </w:pPr>
      <w:r>
        <w:rPr>
          <w:rFonts w:hint="eastAsia" w:ascii="宋体" w:hAnsi="宋体" w:cs="宋体"/>
          <w:bCs/>
          <w:color w:val="000000"/>
          <w:sz w:val="28"/>
          <w:szCs w:val="28"/>
        </w:rPr>
        <w:t>铜仁市公共资源交易中心（政府采购）项目</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响</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应</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文</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件</w:t>
      </w: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采购项目名称:</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采购项目编号:</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p>
    <w:p>
      <w:pPr>
        <w:spacing w:line="400" w:lineRule="exact"/>
        <w:ind w:left="180" w:firstLine="280" w:firstLineChars="100"/>
        <w:rPr>
          <w:rFonts w:hint="default"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投标单位名称:</w:t>
      </w:r>
      <w:r>
        <w:rPr>
          <w:rFonts w:hint="eastAsia" w:ascii="宋体" w:hAnsi="宋体" w:cs="宋体"/>
          <w:bCs/>
          <w:color w:val="FF0000"/>
          <w:sz w:val="28"/>
          <w:szCs w:val="28"/>
          <w:u w:val="single"/>
          <w:lang w:val="en-US" w:eastAsia="zh-CN"/>
        </w:rPr>
        <w:t xml:space="preserve">       </w:t>
      </w:r>
      <w:r>
        <w:rPr>
          <w:rFonts w:hint="eastAsia" w:ascii="宋体" w:hAnsi="宋体" w:cs="宋体"/>
          <w:bCs/>
          <w:color w:val="FF0000"/>
          <w:sz w:val="28"/>
          <w:szCs w:val="28"/>
          <w:u w:val="single"/>
        </w:rPr>
        <w:t>（请盖单位公章</w:t>
      </w:r>
      <w:r>
        <w:rPr>
          <w:rFonts w:hint="eastAsia" w:ascii="宋体" w:hAnsi="宋体" w:cs="宋体"/>
          <w:bCs/>
          <w:color w:val="FF0000"/>
          <w:sz w:val="28"/>
          <w:szCs w:val="28"/>
          <w:u w:val="single"/>
          <w:lang w:val="en-US" w:eastAsia="zh-CN"/>
        </w:rPr>
        <w:t xml:space="preserve">）         </w:t>
      </w:r>
    </w:p>
    <w:p>
      <w:pPr>
        <w:spacing w:line="400" w:lineRule="exact"/>
        <w:ind w:left="180" w:firstLine="280" w:firstLineChars="100"/>
        <w:rPr>
          <w:rFonts w:hint="eastAsia"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地        址:</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联   系   人:</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
          <w:color w:val="000000"/>
          <w:sz w:val="28"/>
          <w:szCs w:val="28"/>
          <w:u w:val="single"/>
        </w:rPr>
      </w:pPr>
      <w:r>
        <w:rPr>
          <w:rFonts w:hint="eastAsia" w:ascii="宋体" w:hAnsi="宋体" w:cs="宋体"/>
          <w:bCs/>
          <w:color w:val="000000"/>
          <w:sz w:val="28"/>
          <w:szCs w:val="28"/>
        </w:rPr>
        <w:t>联  系 电 话:</w:t>
      </w:r>
      <w:r>
        <w:rPr>
          <w:rFonts w:hint="eastAsia" w:ascii="宋体" w:hAnsi="宋体" w:cs="宋体"/>
          <w:bCs/>
          <w:color w:val="000000"/>
          <w:sz w:val="28"/>
          <w:szCs w:val="28"/>
          <w:u w:val="single"/>
        </w:rPr>
        <w:t xml:space="preserve">                                </w:t>
      </w:r>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rPr>
      </w:pPr>
    </w:p>
    <w:p>
      <w:pPr>
        <w:spacing w:line="360" w:lineRule="auto"/>
        <w:jc w:val="center"/>
        <w:rPr>
          <w:rFonts w:ascii="宋体" w:hAnsi="宋体"/>
          <w:b/>
          <w:sz w:val="36"/>
        </w:rPr>
      </w:pPr>
      <w:r>
        <w:rPr>
          <w:rFonts w:hint="eastAsia" w:ascii="宋体" w:hAnsi="宋体"/>
          <w:b/>
          <w:sz w:val="36"/>
        </w:rPr>
        <w:t>一谈判响应声明函</w:t>
      </w:r>
    </w:p>
    <w:p>
      <w:pPr>
        <w:pStyle w:val="10"/>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致：铜仁市公共资源交易中心</w:t>
      </w:r>
    </w:p>
    <w:p>
      <w:pPr>
        <w:kinsoku w:val="0"/>
        <w:wordWrap w:val="0"/>
        <w:spacing w:line="40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根据贵方为</w:t>
      </w:r>
      <w:r>
        <w:rPr>
          <w:rFonts w:hint="eastAsia" w:asciiTheme="minorEastAsia" w:hAnsiTheme="minorEastAsia" w:cstheme="minorEastAsia"/>
          <w:color w:val="000000"/>
          <w:sz w:val="24"/>
          <w:szCs w:val="24"/>
          <w:u w:val="single"/>
        </w:rPr>
        <w:t xml:space="preserve"> （项目名称） </w:t>
      </w:r>
      <w:r>
        <w:rPr>
          <w:rFonts w:hint="eastAsia" w:asciiTheme="minorEastAsia" w:hAnsiTheme="minorEastAsia" w:cstheme="minorEastAsia"/>
          <w:color w:val="000000"/>
          <w:sz w:val="24"/>
          <w:szCs w:val="24"/>
        </w:rPr>
        <w:t>项目的招标公告，签字代表</w:t>
      </w:r>
      <w:r>
        <w:rPr>
          <w:rFonts w:hint="eastAsia" w:asciiTheme="minorEastAsia" w:hAnsiTheme="minorEastAsia" w:cstheme="minorEastAsia"/>
          <w:color w:val="000000"/>
          <w:sz w:val="24"/>
          <w:szCs w:val="24"/>
          <w:u w:val="single"/>
        </w:rPr>
        <w:t>（姓名、职务）</w:t>
      </w:r>
      <w:r>
        <w:rPr>
          <w:rFonts w:hint="eastAsia" w:asciiTheme="minorEastAsia" w:hAnsiTheme="minorEastAsia" w:cstheme="minorEastAsia"/>
          <w:color w:val="000000"/>
          <w:sz w:val="24"/>
          <w:szCs w:val="24"/>
        </w:rPr>
        <w:t>经正式授权并代表投标人</w:t>
      </w:r>
      <w:r>
        <w:rPr>
          <w:rFonts w:hint="eastAsia" w:asciiTheme="minorEastAsia" w:hAnsiTheme="minorEastAsia" w:cstheme="minorEastAsia"/>
          <w:color w:val="000000"/>
          <w:sz w:val="24"/>
          <w:szCs w:val="24"/>
          <w:u w:val="single"/>
        </w:rPr>
        <w:t>（投标人名称、地址）</w:t>
      </w:r>
      <w:r>
        <w:rPr>
          <w:rFonts w:hint="eastAsia" w:asciiTheme="minorEastAsia" w:hAnsiTheme="minorEastAsia" w:cstheme="minorEastAsia"/>
          <w:color w:val="000000"/>
          <w:sz w:val="24"/>
          <w:szCs w:val="24"/>
        </w:rPr>
        <w:t>提交本项目投标文件正本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份及副本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份。据此函，签字代表宣布同意如下：</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1、所附投标价格表中规定的应提交和交付的货物投标总价为</w:t>
      </w:r>
      <w:r>
        <w:rPr>
          <w:rFonts w:hint="eastAsia" w:asciiTheme="minorEastAsia" w:hAnsiTheme="minorEastAsia" w:cstheme="minorEastAsia"/>
          <w:color w:val="000000"/>
          <w:sz w:val="24"/>
          <w:szCs w:val="24"/>
          <w:u w:val="single"/>
        </w:rPr>
        <w:t>（注明币种，并用文字和数字表示投标总价）（必须按要求填写清楚）</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2、交货期：</w:t>
      </w:r>
      <w:r>
        <w:rPr>
          <w:rFonts w:hint="eastAsia" w:asciiTheme="minorEastAsia" w:hAnsiTheme="minorEastAsia" w:cstheme="minorEastAsia"/>
          <w:color w:val="000000"/>
          <w:sz w:val="24"/>
          <w:szCs w:val="24"/>
          <w:u w:val="single"/>
        </w:rPr>
        <w:t xml:space="preserve">        （日历天）</w:t>
      </w:r>
      <w:r>
        <w:rPr>
          <w:rFonts w:hint="eastAsia" w:asciiTheme="minorEastAsia" w:hAnsiTheme="minorEastAsia" w:cstheme="minorEastAsia"/>
          <w:color w:val="000000"/>
          <w:sz w:val="24"/>
          <w:szCs w:val="24"/>
        </w:rPr>
        <w:t>，保修期：</w:t>
      </w:r>
      <w:r>
        <w:rPr>
          <w:rFonts w:hint="eastAsia" w:asciiTheme="minorEastAsia" w:hAnsiTheme="minorEastAsia" w:cstheme="minorEastAsia"/>
          <w:color w:val="000000"/>
          <w:sz w:val="24"/>
          <w:szCs w:val="24"/>
          <w:u w:val="single"/>
        </w:rPr>
        <w:t xml:space="preserve">        （月）</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3、投标人将按招标文件的规定履行合同责任和义务。</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5、本投标有效期为开标日起个日历日。</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7、完全理解贵方不一定要接受最低价的投标或收到的任何投标。</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8、我单位承诺满足招标文件要求的付款方式和条件。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电子信箱：</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p>
    <w:p>
      <w:pPr>
        <w:spacing w:line="360" w:lineRule="auto"/>
        <w:rPr>
          <w:rFonts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spacing w:line="360" w:lineRule="auto"/>
        <w:jc w:val="center"/>
        <w:rPr>
          <w:rFonts w:asciiTheme="minorEastAsia" w:hAnsiTheme="minorEastAsia" w:cstheme="minorEastAsia"/>
          <w:b/>
          <w:sz w:val="36"/>
          <w:szCs w:val="36"/>
        </w:rPr>
      </w:pPr>
    </w:p>
    <w:p>
      <w:pPr>
        <w:spacing w:line="360" w:lineRule="auto"/>
        <w:jc w:val="center"/>
        <w:rPr>
          <w:rFonts w:asciiTheme="minorEastAsia" w:hAnsiTheme="minorEastAsia" w:cstheme="minorEastAsia"/>
          <w:b/>
          <w:bCs/>
          <w:color w:val="000000"/>
          <w:sz w:val="36"/>
          <w:szCs w:val="36"/>
        </w:rPr>
      </w:pPr>
      <w:r>
        <w:rPr>
          <w:rFonts w:hint="eastAsia" w:asciiTheme="minorEastAsia" w:hAnsiTheme="minorEastAsia" w:cstheme="minorEastAsia"/>
          <w:b/>
          <w:sz w:val="36"/>
          <w:szCs w:val="36"/>
        </w:rPr>
        <w:t>二</w:t>
      </w:r>
      <w:r>
        <w:rPr>
          <w:rFonts w:hint="eastAsia" w:asciiTheme="minorEastAsia" w:hAnsiTheme="minorEastAsia" w:cstheme="minorEastAsia"/>
          <w:b/>
          <w:sz w:val="36"/>
          <w:szCs w:val="36"/>
          <w:lang w:val="en-US" w:eastAsia="zh-CN"/>
        </w:rPr>
        <w:t xml:space="preserve"> </w:t>
      </w:r>
      <w:r>
        <w:rPr>
          <w:rFonts w:hint="eastAsia" w:asciiTheme="minorEastAsia" w:hAnsiTheme="minorEastAsia" w:cstheme="minorEastAsia"/>
          <w:b/>
          <w:sz w:val="36"/>
          <w:szCs w:val="36"/>
        </w:rPr>
        <w:t>谈判报价一览表</w:t>
      </w:r>
    </w:p>
    <w:p>
      <w:pPr>
        <w:jc w:val="cente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采购编号：__________</w:t>
      </w: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采购项目名称：__________</w:t>
      </w:r>
    </w:p>
    <w:p>
      <w:pPr>
        <w:rPr>
          <w:rFonts w:asciiTheme="minorEastAsia" w:hAnsiTheme="minorEastAsia" w:cstheme="minorEastAsia"/>
          <w:color w:val="000000"/>
          <w:sz w:val="24"/>
          <w:szCs w:val="24"/>
        </w:rPr>
      </w:pPr>
    </w:p>
    <w:p>
      <w:pPr>
        <w:ind w:firstLine="2168" w:firstLineChars="900"/>
        <w:jc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价格单位：人民币万元</w:t>
      </w:r>
    </w:p>
    <w:tbl>
      <w:tblPr>
        <w:tblStyle w:val="16"/>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序号</w:t>
            </w:r>
          </w:p>
        </w:tc>
        <w:tc>
          <w:tcPr>
            <w:tcW w:w="3325" w:type="dxa"/>
            <w:tcBorders>
              <w:top w:val="double" w:color="auto" w:sz="4" w:space="0"/>
            </w:tcBorders>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投标总价</w:t>
            </w:r>
          </w:p>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（项目现场完税价，包括所有的服务）</w:t>
            </w:r>
          </w:p>
        </w:tc>
        <w:tc>
          <w:tcPr>
            <w:tcW w:w="1982" w:type="dxa"/>
            <w:tcBorders>
              <w:top w:val="double" w:color="auto" w:sz="4" w:space="0"/>
              <w:righ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服务期限</w:t>
            </w:r>
          </w:p>
        </w:tc>
        <w:tc>
          <w:tcPr>
            <w:tcW w:w="2102" w:type="dxa"/>
            <w:tcBorders>
              <w:top w:val="double" w:color="auto" w:sz="4" w:space="0"/>
              <w:lef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w:t>
            </w:r>
          </w:p>
        </w:tc>
        <w:tc>
          <w:tcPr>
            <w:tcW w:w="3325" w:type="dxa"/>
          </w:tcPr>
          <w:p>
            <w:pPr>
              <w:rPr>
                <w:rFonts w:asciiTheme="minorEastAsia" w:hAnsiTheme="minorEastAsia" w:cstheme="minorEastAsia"/>
                <w:color w:val="000000"/>
                <w:sz w:val="24"/>
                <w:szCs w:val="24"/>
                <w:u w:val="single"/>
              </w:rPr>
            </w:pPr>
          </w:p>
        </w:tc>
        <w:tc>
          <w:tcPr>
            <w:tcW w:w="1982" w:type="dxa"/>
            <w:tcBorders>
              <w:right w:val="single" w:color="auto" w:sz="4" w:space="0"/>
            </w:tcBorders>
          </w:tcPr>
          <w:p>
            <w:pPr>
              <w:rPr>
                <w:rFonts w:asciiTheme="minorEastAsia" w:hAnsiTheme="minorEastAsia" w:cstheme="minorEastAsia"/>
                <w:color w:val="000000"/>
                <w:sz w:val="24"/>
                <w:szCs w:val="24"/>
                <w:u w:val="single"/>
              </w:rPr>
            </w:pPr>
          </w:p>
        </w:tc>
        <w:tc>
          <w:tcPr>
            <w:tcW w:w="2102" w:type="dxa"/>
            <w:tcBorders>
              <w:left w:val="single" w:color="auto" w:sz="4" w:space="0"/>
            </w:tcBorders>
          </w:tcPr>
          <w:p>
            <w:pPr>
              <w:rPr>
                <w:rFonts w:asciiTheme="minorEastAsia" w:hAnsiTheme="minorEastAsia" w:cstheme="minorEastAsia"/>
                <w:color w:val="000000"/>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w:t>
            </w:r>
          </w:p>
        </w:tc>
        <w:tc>
          <w:tcPr>
            <w:tcW w:w="3325" w:type="dxa"/>
          </w:tcPr>
          <w:p>
            <w:pPr>
              <w:rPr>
                <w:rFonts w:asciiTheme="minorEastAsia" w:hAnsiTheme="minorEastAsia" w:cstheme="minorEastAsia"/>
                <w:color w:val="000000"/>
                <w:sz w:val="24"/>
                <w:szCs w:val="24"/>
              </w:rPr>
            </w:pPr>
          </w:p>
        </w:tc>
        <w:tc>
          <w:tcPr>
            <w:tcW w:w="1982" w:type="dxa"/>
            <w:tcBorders>
              <w:right w:val="single" w:color="auto" w:sz="4" w:space="0"/>
            </w:tcBorders>
          </w:tcPr>
          <w:p>
            <w:pPr>
              <w:rPr>
                <w:rFonts w:asciiTheme="minorEastAsia" w:hAnsiTheme="minorEastAsia" w:cstheme="minorEastAsia"/>
                <w:color w:val="000000"/>
                <w:sz w:val="24"/>
                <w:szCs w:val="24"/>
              </w:rPr>
            </w:pPr>
          </w:p>
        </w:tc>
        <w:tc>
          <w:tcPr>
            <w:tcW w:w="2102" w:type="dxa"/>
            <w:tcBorders>
              <w:left w:val="single" w:color="auto" w:sz="4" w:space="0"/>
            </w:tcBorders>
          </w:tcPr>
          <w:p>
            <w:pPr>
              <w:rPr>
                <w:rFonts w:asciiTheme="minorEastAsia" w:hAnsiTheme="minorEastAsia" w:cstheme="minorEastAsia"/>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w:t>
            </w:r>
          </w:p>
        </w:tc>
        <w:tc>
          <w:tcPr>
            <w:tcW w:w="3325" w:type="dxa"/>
          </w:tcPr>
          <w:p>
            <w:pPr>
              <w:rPr>
                <w:rFonts w:asciiTheme="minorEastAsia" w:hAnsiTheme="minorEastAsia" w:cstheme="minorEastAsia"/>
                <w:color w:val="000000"/>
                <w:sz w:val="24"/>
                <w:szCs w:val="24"/>
              </w:rPr>
            </w:pPr>
          </w:p>
        </w:tc>
        <w:tc>
          <w:tcPr>
            <w:tcW w:w="1982" w:type="dxa"/>
            <w:tcBorders>
              <w:right w:val="single" w:color="auto" w:sz="4" w:space="0"/>
            </w:tcBorders>
          </w:tcPr>
          <w:p>
            <w:pPr>
              <w:rPr>
                <w:rFonts w:asciiTheme="minorEastAsia" w:hAnsiTheme="minorEastAsia" w:cstheme="minorEastAsia"/>
                <w:color w:val="000000"/>
                <w:sz w:val="24"/>
                <w:szCs w:val="24"/>
              </w:rPr>
            </w:pPr>
          </w:p>
        </w:tc>
        <w:tc>
          <w:tcPr>
            <w:tcW w:w="2102" w:type="dxa"/>
            <w:tcBorders>
              <w:left w:val="single" w:color="auto" w:sz="4" w:space="0"/>
            </w:tcBorders>
          </w:tcPr>
          <w:p>
            <w:pPr>
              <w:rPr>
                <w:rFonts w:asciiTheme="minorEastAsia" w:hAnsiTheme="minorEastAsia" w:cstheme="minorEastAsia"/>
                <w:color w:val="000000"/>
                <w:sz w:val="24"/>
                <w:szCs w:val="24"/>
              </w:rPr>
            </w:pPr>
          </w:p>
        </w:tc>
      </w:tr>
    </w:tbl>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投标人名称：                （单位公章）</w:t>
      </w: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授权代表：                  （签字）</w:t>
      </w:r>
    </w:p>
    <w:p>
      <w:pPr>
        <w:spacing w:line="360" w:lineRule="auto"/>
        <w:rPr>
          <w:rFonts w:asciiTheme="minorEastAsia" w:hAnsiTheme="minorEastAsia" w:cstheme="minorEastAsia"/>
          <w:color w:val="000000"/>
          <w:sz w:val="24"/>
          <w:szCs w:val="24"/>
        </w:rPr>
      </w:pPr>
    </w:p>
    <w:p>
      <w:pPr>
        <w:spacing w:line="360" w:lineRule="auto"/>
        <w:rPr>
          <w:rFonts w:asciiTheme="minorEastAsia" w:hAnsiTheme="minorEastAsia" w:cstheme="minorEastAsia"/>
          <w:color w:val="000000"/>
          <w:sz w:val="28"/>
          <w:szCs w:val="28"/>
        </w:rPr>
      </w:pPr>
      <w:r>
        <w:rPr>
          <w:rFonts w:hint="eastAsia" w:asciiTheme="minorEastAsia" w:hAnsiTheme="minorEastAsia" w:cstheme="minorEastAsia"/>
          <w:color w:val="000000"/>
          <w:sz w:val="24"/>
          <w:szCs w:val="24"/>
        </w:rPr>
        <w:t xml:space="preserve">日期：   </w:t>
      </w: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r>
        <w:rPr>
          <w:rFonts w:hint="eastAsia" w:ascii="宋体" w:hAnsi="宋体"/>
          <w:b/>
          <w:sz w:val="36"/>
          <w:szCs w:val="36"/>
        </w:rPr>
        <w:t>三</w:t>
      </w:r>
      <w:r>
        <w:rPr>
          <w:rFonts w:hint="eastAsia" w:ascii="宋体" w:hAnsi="宋体"/>
          <w:b/>
          <w:sz w:val="36"/>
          <w:szCs w:val="36"/>
          <w:lang w:val="en-US" w:eastAsia="zh-CN"/>
        </w:rPr>
        <w:t xml:space="preserve"> </w:t>
      </w:r>
      <w:r>
        <w:rPr>
          <w:rFonts w:hint="eastAsia" w:ascii="宋体" w:hAnsi="宋体"/>
          <w:b/>
          <w:sz w:val="36"/>
          <w:szCs w:val="36"/>
        </w:rPr>
        <w:t>谈判分项报价表（格式）</w:t>
      </w:r>
    </w:p>
    <w:p>
      <w:pPr>
        <w:pStyle w:val="10"/>
        <w:spacing w:line="360" w:lineRule="auto"/>
        <w:jc w:val="left"/>
        <w:rPr>
          <w:rFonts w:hAnsi="宋体"/>
          <w:sz w:val="24"/>
        </w:rPr>
      </w:pPr>
    </w:p>
    <w:p>
      <w:pPr>
        <w:pStyle w:val="10"/>
        <w:spacing w:line="360" w:lineRule="auto"/>
        <w:jc w:val="left"/>
        <w:rPr>
          <w:rFonts w:hAnsi="宋体"/>
          <w:bCs/>
          <w:sz w:val="24"/>
        </w:rPr>
      </w:pPr>
      <w:r>
        <w:rPr>
          <w:rFonts w:hAnsi="宋体"/>
          <w:bCs/>
          <w:sz w:val="24"/>
        </w:rPr>
        <w:t>谈判响应供应商名称：</w:t>
      </w:r>
      <w:r>
        <w:rPr>
          <w:rFonts w:hint="eastAsia" w:hAnsi="宋体"/>
          <w:bCs/>
          <w:sz w:val="24"/>
          <w:lang w:val="en-US" w:eastAsia="zh-CN"/>
        </w:rPr>
        <w:t xml:space="preserve">                         </w:t>
      </w:r>
      <w:r>
        <w:rPr>
          <w:rFonts w:hAnsi="宋体"/>
          <w:bCs/>
          <w:sz w:val="24"/>
        </w:rPr>
        <w:t>项目编号：</w:t>
      </w:r>
      <w:r>
        <w:rPr>
          <w:rFonts w:hint="eastAsia" w:hAnsi="宋体"/>
          <w:bCs/>
          <w:sz w:val="24"/>
          <w:lang w:val="en-US" w:eastAsia="zh-CN"/>
        </w:rPr>
        <w:t xml:space="preserve">                 </w:t>
      </w:r>
      <w:r>
        <w:rPr>
          <w:rFonts w:hAnsi="宋体"/>
          <w:bCs/>
          <w:sz w:val="24"/>
        </w:rPr>
        <w:t>货币单位：</w:t>
      </w:r>
    </w:p>
    <w:p>
      <w:pPr>
        <w:pStyle w:val="10"/>
        <w:spacing w:line="360" w:lineRule="auto"/>
        <w:jc w:val="center"/>
        <w:rPr>
          <w:rFonts w:hAnsi="宋体"/>
          <w:bCs/>
          <w:sz w:val="24"/>
        </w:rPr>
      </w:pPr>
      <w:r>
        <w:rPr>
          <w:rFonts w:hint="eastAsia" w:hAnsi="宋体"/>
          <w:bCs/>
          <w:sz w:val="24"/>
        </w:rPr>
        <w:t>格式自拟</w:t>
      </w: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28"/>
        <w:spacing w:line="360" w:lineRule="auto"/>
        <w:outlineLvl w:val="9"/>
        <w:rPr>
          <w:rFonts w:hAnsi="宋体"/>
          <w:bCs/>
          <w:sz w:val="24"/>
          <w:u w:val="single"/>
        </w:rPr>
      </w:pPr>
      <w:r>
        <w:rPr>
          <w:rFonts w:hint="eastAsia" w:hAnsi="宋体"/>
          <w:bCs/>
          <w:sz w:val="24"/>
        </w:rPr>
        <w:t>谈判响应供应商代表签名：</w:t>
      </w:r>
    </w:p>
    <w:p>
      <w:pPr>
        <w:spacing w:line="360" w:lineRule="auto"/>
        <w:rPr>
          <w:rFonts w:ascii="宋体" w:hAnsi="宋体"/>
          <w:b/>
          <w:sz w:val="32"/>
        </w:rPr>
      </w:pPr>
    </w:p>
    <w:p>
      <w:pPr>
        <w:spacing w:line="360" w:lineRule="auto"/>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rPr>
          <w:rFonts w:hint="eastAsia" w:ascii="宋体" w:hAnsi="宋体" w:eastAsiaTheme="minorEastAsia"/>
          <w:b/>
          <w:sz w:val="32"/>
          <w:lang w:eastAsia="zh-CN"/>
        </w:rPr>
        <w:sectPr>
          <w:pgSz w:w="11906" w:h="16838"/>
          <w:pgMar w:top="1440" w:right="1797" w:bottom="1440" w:left="1797" w:header="851" w:footer="992" w:gutter="0"/>
          <w:cols w:space="720" w:num="1"/>
          <w:docGrid w:linePitch="312" w:charSpace="0"/>
        </w:sectPr>
      </w:pPr>
      <w:r>
        <w:rPr>
          <w:rFonts w:hint="eastAsia" w:ascii="宋体" w:hAnsi="宋体"/>
          <w:b/>
          <w:sz w:val="32"/>
        </w:rPr>
        <w:t>备注：请明确所投产品品牌</w:t>
      </w:r>
      <w:r>
        <w:rPr>
          <w:rFonts w:hint="eastAsia" w:ascii="宋体" w:hAnsi="宋体"/>
          <w:b/>
          <w:sz w:val="32"/>
          <w:lang w:eastAsia="zh-CN"/>
        </w:rPr>
        <w:t>及型号</w:t>
      </w:r>
    </w:p>
    <w:p>
      <w:pPr>
        <w:autoSpaceDE w:val="0"/>
        <w:autoSpaceDN w:val="0"/>
        <w:adjustRightInd w:val="0"/>
        <w:spacing w:line="360" w:lineRule="auto"/>
        <w:jc w:val="center"/>
        <w:rPr>
          <w:rFonts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四技术规格偏离表</w:t>
      </w:r>
    </w:p>
    <w:p>
      <w:pPr>
        <w:autoSpaceDE w:val="0"/>
        <w:autoSpaceDN w:val="0"/>
        <w:adjustRightInd w:val="0"/>
        <w:spacing w:line="312"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10"/>
        <w:spacing w:line="360" w:lineRule="auto"/>
        <w:rPr>
          <w:rFonts w:hAnsi="宋体" w:eastAsia="宋体" w:cs="宋体"/>
          <w:color w:val="000000"/>
          <w:sz w:val="24"/>
          <w:szCs w:val="24"/>
          <w:lang w:val="zh-CN"/>
        </w:rPr>
      </w:pPr>
      <w:r>
        <w:rPr>
          <w:rFonts w:hint="eastAsia" w:hAnsi="宋体" w:eastAsia="宋体" w:cs="宋体"/>
          <w:color w:val="000000"/>
          <w:sz w:val="24"/>
          <w:szCs w:val="24"/>
          <w:lang w:val="zh-CN"/>
        </w:rPr>
        <w:t>项目名称（盖章）：</w:t>
      </w:r>
    </w:p>
    <w:tbl>
      <w:tblPr>
        <w:tblStyle w:val="16"/>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谈判要求参数</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响应实际参数</w:t>
            </w:r>
          </w:p>
        </w:tc>
        <w:tc>
          <w:tcPr>
            <w:tcW w:w="22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bl>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autoSpaceDE w:val="0"/>
        <w:autoSpaceDN w:val="0"/>
        <w:adjustRightInd w:val="0"/>
        <w:spacing w:line="440" w:lineRule="exac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w:t>
      </w:r>
    </w:p>
    <w:p>
      <w:pPr>
        <w:pStyle w:val="4"/>
        <w:numPr>
          <w:ilvl w:val="1"/>
          <w:numId w:val="0"/>
        </w:numPr>
        <w:jc w:val="left"/>
        <w:rPr>
          <w:rFonts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widowControl/>
        <w:jc w:val="left"/>
        <w:rPr>
          <w:rFonts w:ascii="宋体" w:hAnsi="宋体"/>
          <w:b/>
          <w:color w:val="000000"/>
          <w:kern w:val="0"/>
          <w:sz w:val="36"/>
          <w:szCs w:val="36"/>
        </w:rPr>
      </w:pPr>
      <w:r>
        <w:rPr>
          <w:rFonts w:hAnsi="宋体"/>
          <w:b/>
          <w:color w:val="000000"/>
          <w:sz w:val="36"/>
          <w:szCs w:val="36"/>
        </w:rPr>
        <w:br w:type="page"/>
      </w:r>
    </w:p>
    <w:p>
      <w:pPr>
        <w:pStyle w:val="10"/>
        <w:spacing w:line="360" w:lineRule="auto"/>
        <w:jc w:val="center"/>
        <w:rPr>
          <w:rFonts w:hAnsi="宋体"/>
          <w:b/>
          <w:color w:val="000000"/>
          <w:sz w:val="36"/>
          <w:szCs w:val="36"/>
        </w:rPr>
      </w:pPr>
      <w:r>
        <w:rPr>
          <w:rFonts w:hint="eastAsia" w:hAnsi="宋体"/>
          <w:b/>
          <w:color w:val="000000"/>
          <w:sz w:val="36"/>
          <w:szCs w:val="36"/>
        </w:rPr>
        <w:t>五商务条款偏离表</w:t>
      </w:r>
    </w:p>
    <w:p>
      <w:pPr>
        <w:pStyle w:val="10"/>
        <w:spacing w:line="360" w:lineRule="auto"/>
        <w:rPr>
          <w:rFonts w:hAnsi="宋体"/>
          <w:color w:val="000000"/>
          <w:sz w:val="28"/>
          <w:szCs w:val="28"/>
        </w:rPr>
      </w:pPr>
      <w:r>
        <w:rPr>
          <w:rFonts w:hint="eastAsia" w:hAnsi="宋体"/>
          <w:color w:val="000000"/>
          <w:sz w:val="28"/>
          <w:szCs w:val="28"/>
        </w:rPr>
        <w:t xml:space="preserve">供应商名称：           </w:t>
      </w:r>
    </w:p>
    <w:p>
      <w:pPr>
        <w:pStyle w:val="10"/>
        <w:spacing w:line="360" w:lineRule="auto"/>
        <w:rPr>
          <w:rFonts w:hAnsi="宋体"/>
          <w:color w:val="000000"/>
          <w:sz w:val="28"/>
          <w:szCs w:val="28"/>
        </w:rPr>
      </w:pPr>
      <w:r>
        <w:rPr>
          <w:rFonts w:hint="eastAsia" w:hAnsi="宋体"/>
          <w:color w:val="000000"/>
          <w:sz w:val="28"/>
          <w:szCs w:val="28"/>
        </w:rPr>
        <w:t>采购编号：</w:t>
      </w:r>
    </w:p>
    <w:tbl>
      <w:tblPr>
        <w:tblStyle w:val="16"/>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jc w:val="center"/>
              <w:rPr>
                <w:rFonts w:hAnsi="宋体"/>
                <w:color w:val="000000"/>
                <w:sz w:val="28"/>
                <w:szCs w:val="28"/>
              </w:rPr>
            </w:pPr>
            <w:r>
              <w:rPr>
                <w:rFonts w:hint="eastAsia" w:hAnsi="宋体"/>
                <w:color w:val="000000"/>
                <w:sz w:val="28"/>
                <w:szCs w:val="28"/>
              </w:rPr>
              <w:t>序号</w:t>
            </w:r>
          </w:p>
        </w:tc>
        <w:tc>
          <w:tcPr>
            <w:tcW w:w="2118" w:type="dxa"/>
          </w:tcPr>
          <w:p>
            <w:pPr>
              <w:pStyle w:val="10"/>
              <w:spacing w:line="400" w:lineRule="exact"/>
              <w:jc w:val="center"/>
              <w:rPr>
                <w:rFonts w:hAnsi="宋体"/>
                <w:color w:val="000000"/>
                <w:sz w:val="28"/>
                <w:szCs w:val="28"/>
              </w:rPr>
            </w:pPr>
            <w:r>
              <w:rPr>
                <w:rFonts w:hint="eastAsia" w:hAnsi="宋体"/>
                <w:color w:val="000000"/>
                <w:sz w:val="28"/>
                <w:szCs w:val="28"/>
              </w:rPr>
              <w:t>谈判文件条目号</w:t>
            </w:r>
          </w:p>
        </w:tc>
        <w:tc>
          <w:tcPr>
            <w:tcW w:w="2118" w:type="dxa"/>
          </w:tcPr>
          <w:p>
            <w:pPr>
              <w:pStyle w:val="10"/>
              <w:spacing w:line="400" w:lineRule="exact"/>
              <w:jc w:val="center"/>
              <w:rPr>
                <w:rFonts w:hAnsi="宋体"/>
                <w:color w:val="000000"/>
                <w:sz w:val="28"/>
                <w:szCs w:val="28"/>
              </w:rPr>
            </w:pPr>
            <w:r>
              <w:rPr>
                <w:rFonts w:hint="eastAsia" w:hAnsi="宋体"/>
                <w:color w:val="000000"/>
                <w:sz w:val="28"/>
                <w:szCs w:val="28"/>
              </w:rPr>
              <w:t>谈判文件商务要求</w:t>
            </w:r>
          </w:p>
        </w:tc>
        <w:tc>
          <w:tcPr>
            <w:tcW w:w="2118" w:type="dxa"/>
          </w:tcPr>
          <w:p>
            <w:pPr>
              <w:pStyle w:val="10"/>
              <w:spacing w:line="400" w:lineRule="exact"/>
              <w:jc w:val="center"/>
              <w:rPr>
                <w:rFonts w:hAnsi="宋体"/>
                <w:color w:val="000000"/>
                <w:sz w:val="28"/>
                <w:szCs w:val="28"/>
              </w:rPr>
            </w:pPr>
            <w:r>
              <w:rPr>
                <w:rFonts w:hint="eastAsia" w:hAnsi="宋体"/>
                <w:color w:val="000000"/>
                <w:sz w:val="28"/>
                <w:szCs w:val="28"/>
              </w:rPr>
              <w:t>谈判文件商务响应</w:t>
            </w:r>
          </w:p>
        </w:tc>
        <w:tc>
          <w:tcPr>
            <w:tcW w:w="1245" w:type="dxa"/>
          </w:tcPr>
          <w:p>
            <w:pPr>
              <w:pStyle w:val="10"/>
              <w:spacing w:line="400" w:lineRule="exact"/>
              <w:jc w:val="center"/>
              <w:rPr>
                <w:rFonts w:hAnsi="宋体"/>
                <w:color w:val="000000"/>
                <w:sz w:val="28"/>
                <w:szCs w:val="28"/>
              </w:rPr>
            </w:pPr>
            <w:r>
              <w:rPr>
                <w:rFonts w:hint="eastAsia" w:hAnsi="宋体"/>
                <w:color w:val="000000"/>
                <w:sz w:val="28"/>
                <w:szCs w:val="28"/>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4"/>
                <w:szCs w:val="24"/>
              </w:rPr>
            </w:pPr>
          </w:p>
        </w:tc>
        <w:tc>
          <w:tcPr>
            <w:tcW w:w="2118" w:type="dxa"/>
          </w:tcPr>
          <w:p>
            <w:pPr>
              <w:pStyle w:val="10"/>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见招标文件</w:t>
            </w:r>
          </w:p>
        </w:tc>
        <w:tc>
          <w:tcPr>
            <w:tcW w:w="2118" w:type="dxa"/>
          </w:tcPr>
          <w:p>
            <w:pPr>
              <w:pStyle w:val="10"/>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见招标文件</w:t>
            </w:r>
          </w:p>
        </w:tc>
        <w:tc>
          <w:tcPr>
            <w:tcW w:w="2118" w:type="dxa"/>
          </w:tcPr>
          <w:p>
            <w:pPr>
              <w:pStyle w:val="10"/>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响应招标文件</w:t>
            </w:r>
          </w:p>
        </w:tc>
        <w:tc>
          <w:tcPr>
            <w:tcW w:w="1245" w:type="dxa"/>
          </w:tcPr>
          <w:p>
            <w:pPr>
              <w:pStyle w:val="10"/>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4"/>
                <w:szCs w:val="24"/>
              </w:rPr>
            </w:pPr>
          </w:p>
        </w:tc>
        <w:tc>
          <w:tcPr>
            <w:tcW w:w="2118" w:type="dxa"/>
          </w:tcPr>
          <w:p>
            <w:pPr>
              <w:pStyle w:val="10"/>
              <w:spacing w:line="400" w:lineRule="exact"/>
              <w:rPr>
                <w:rFonts w:hAnsi="宋体"/>
                <w:color w:val="000000"/>
                <w:sz w:val="24"/>
                <w:szCs w:val="24"/>
              </w:rPr>
            </w:pPr>
          </w:p>
        </w:tc>
        <w:tc>
          <w:tcPr>
            <w:tcW w:w="2118" w:type="dxa"/>
          </w:tcPr>
          <w:p>
            <w:pPr>
              <w:pStyle w:val="10"/>
              <w:spacing w:line="400" w:lineRule="exact"/>
              <w:rPr>
                <w:rFonts w:hAnsi="宋体"/>
                <w:color w:val="000000"/>
                <w:sz w:val="24"/>
                <w:szCs w:val="24"/>
              </w:rPr>
            </w:pPr>
          </w:p>
        </w:tc>
        <w:tc>
          <w:tcPr>
            <w:tcW w:w="2118" w:type="dxa"/>
          </w:tcPr>
          <w:p>
            <w:pPr>
              <w:pStyle w:val="10"/>
              <w:spacing w:line="400" w:lineRule="exact"/>
              <w:rPr>
                <w:rFonts w:hAnsi="宋体"/>
                <w:color w:val="000000"/>
                <w:sz w:val="24"/>
                <w:szCs w:val="24"/>
              </w:rPr>
            </w:pPr>
          </w:p>
        </w:tc>
        <w:tc>
          <w:tcPr>
            <w:tcW w:w="1245" w:type="dxa"/>
          </w:tcPr>
          <w:p>
            <w:pPr>
              <w:pStyle w:val="10"/>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bl>
    <w:p>
      <w:pPr>
        <w:pStyle w:val="10"/>
        <w:spacing w:line="360" w:lineRule="auto"/>
        <w:jc w:val="center"/>
        <w:rPr>
          <w:rFonts w:hAnsi="宋体"/>
          <w:b/>
          <w:color w:val="000000"/>
          <w:sz w:val="28"/>
          <w:szCs w:val="28"/>
        </w:rPr>
      </w:pPr>
    </w:p>
    <w:p>
      <w:pPr>
        <w:pStyle w:val="10"/>
        <w:spacing w:line="360" w:lineRule="auto"/>
        <w:jc w:val="center"/>
        <w:rPr>
          <w:rFonts w:hAnsi="宋体"/>
          <w:b/>
          <w:color w:val="000000"/>
          <w:sz w:val="28"/>
          <w:szCs w:val="28"/>
        </w:rPr>
      </w:pPr>
    </w:p>
    <w:p>
      <w:pPr>
        <w:pStyle w:val="10"/>
        <w:spacing w:line="360" w:lineRule="auto"/>
        <w:jc w:val="center"/>
        <w:rPr>
          <w:rFonts w:hAnsi="宋体"/>
          <w:b/>
          <w:color w:val="000000"/>
          <w:sz w:val="28"/>
          <w:szCs w:val="28"/>
        </w:rPr>
      </w:pPr>
    </w:p>
    <w:p>
      <w:pPr>
        <w:pStyle w:val="10"/>
        <w:spacing w:line="360" w:lineRule="auto"/>
        <w:rPr>
          <w:rFonts w:hAnsi="宋体"/>
          <w:b/>
          <w:color w:val="000000"/>
          <w:sz w:val="28"/>
          <w:szCs w:val="28"/>
        </w:rPr>
      </w:pPr>
    </w:p>
    <w:p>
      <w:pPr>
        <w:pStyle w:val="10"/>
        <w:spacing w:line="360" w:lineRule="auto"/>
        <w:rPr>
          <w:rFonts w:hAnsi="宋体"/>
          <w:color w:val="000000"/>
          <w:sz w:val="28"/>
          <w:szCs w:val="28"/>
        </w:rPr>
      </w:pPr>
      <w:r>
        <w:rPr>
          <w:rFonts w:hint="eastAsia" w:hAnsi="宋体"/>
          <w:color w:val="000000"/>
          <w:sz w:val="28"/>
          <w:szCs w:val="28"/>
        </w:rPr>
        <w:t>授权代表签字：</w:t>
      </w:r>
      <w:r>
        <w:rPr>
          <w:rFonts w:hint="eastAsia" w:hAnsi="宋体"/>
          <w:color w:val="000000"/>
          <w:spacing w:val="15"/>
          <w:sz w:val="28"/>
          <w:szCs w:val="28"/>
        </w:rPr>
        <w:t>供应商（盖章）</w:t>
      </w:r>
    </w:p>
    <w:p>
      <w:pPr>
        <w:spacing w:line="360" w:lineRule="auto"/>
        <w:rPr>
          <w:rFonts w:ascii="宋体" w:hAnsi="宋体"/>
          <w:sz w:val="24"/>
        </w:rPr>
      </w:pPr>
    </w:p>
    <w:p>
      <w:pPr>
        <w:spacing w:line="360" w:lineRule="auto"/>
        <w:ind w:right="-122" w:rightChars="-58"/>
        <w:rPr>
          <w:rFonts w:ascii="宋体" w:hAnsi="宋体"/>
          <w:sz w:val="24"/>
        </w:rPr>
        <w:sectPr>
          <w:pgSz w:w="11906" w:h="16838"/>
          <w:pgMar w:top="1440" w:right="1797" w:bottom="1440" w:left="1797" w:header="851" w:footer="992" w:gutter="0"/>
          <w:cols w:space="720" w:num="1"/>
          <w:docGrid w:linePitch="312" w:charSpace="0"/>
        </w:sectPr>
      </w:pPr>
    </w:p>
    <w:p>
      <w:pPr>
        <w:spacing w:line="360" w:lineRule="auto"/>
        <w:ind w:firstLine="2891" w:firstLineChars="800"/>
        <w:rPr>
          <w:rFonts w:asciiTheme="minorEastAsia" w:hAnsiTheme="minorEastAsia" w:cstheme="minorEastAsia"/>
          <w:b/>
          <w:sz w:val="36"/>
          <w:szCs w:val="36"/>
        </w:rPr>
      </w:pPr>
      <w:r>
        <w:rPr>
          <w:rFonts w:hint="eastAsia" w:asciiTheme="minorEastAsia" w:hAnsiTheme="minorEastAsia" w:cstheme="minorEastAsia"/>
          <w:b/>
          <w:sz w:val="36"/>
          <w:szCs w:val="36"/>
        </w:rPr>
        <w:t>六资格的声明函</w:t>
      </w:r>
    </w:p>
    <w:p>
      <w:pPr>
        <w:pStyle w:val="31"/>
        <w:spacing w:line="336" w:lineRule="auto"/>
        <w:ind w:right="84" w:rightChars="40"/>
        <w:rPr>
          <w:rFonts w:ascii="宋体" w:hAnsi="宋体"/>
          <w:sz w:val="24"/>
          <w:szCs w:val="24"/>
        </w:rPr>
      </w:pPr>
      <w:r>
        <w:rPr>
          <w:rFonts w:hint="eastAsia" w:ascii="宋体" w:hAnsi="宋体"/>
          <w:sz w:val="24"/>
          <w:szCs w:val="24"/>
        </w:rPr>
        <w:t>铜仁市公共资源交易中心：</w:t>
      </w:r>
    </w:p>
    <w:p>
      <w:pPr>
        <w:pStyle w:val="31"/>
        <w:spacing w:line="336" w:lineRule="auto"/>
        <w:ind w:right="84" w:rightChars="40" w:firstLine="480" w:firstLineChars="200"/>
        <w:rPr>
          <w:rFonts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日发布关于“”（项目编号：）的采购公告，我方愿意参加谈判，并声明截至开标日：</w:t>
      </w:r>
    </w:p>
    <w:p>
      <w:pPr>
        <w:pStyle w:val="31"/>
        <w:spacing w:line="336" w:lineRule="auto"/>
        <w:ind w:right="84" w:rightChars="40" w:firstLine="480" w:firstLineChars="200"/>
        <w:rPr>
          <w:rFonts w:ascii="宋体" w:hAnsi="宋体"/>
          <w:sz w:val="24"/>
          <w:szCs w:val="24"/>
        </w:rPr>
      </w:pPr>
      <w:r>
        <w:rPr>
          <w:rFonts w:hint="eastAsia" w:ascii="宋体" w:hAnsi="宋体"/>
          <w:sz w:val="24"/>
          <w:szCs w:val="24"/>
        </w:rPr>
        <w:t>我方具备《中华人民共和国政府采购法》第二十二条所规定的条件，并已清楚采购文件的要求及有关文件规定。</w:t>
      </w:r>
    </w:p>
    <w:p>
      <w:pPr>
        <w:pStyle w:val="31"/>
        <w:spacing w:line="336" w:lineRule="auto"/>
        <w:ind w:right="84" w:rightChars="40" w:firstLine="480" w:firstLineChars="200"/>
        <w:rPr>
          <w:rFonts w:ascii="宋体" w:hAnsi="宋体"/>
          <w:sz w:val="24"/>
          <w:szCs w:val="24"/>
        </w:rPr>
      </w:pPr>
      <w:r>
        <w:rPr>
          <w:rFonts w:hint="eastAsia" w:ascii="宋体" w:hAnsi="宋体"/>
          <w:sz w:val="24"/>
          <w:szCs w:val="24"/>
        </w:rPr>
        <w:t>（一）</w:t>
      </w:r>
      <w:r>
        <w:rPr>
          <w:rFonts w:hAnsi="宋体"/>
          <w:sz w:val="24"/>
          <w:szCs w:val="24"/>
        </w:rPr>
        <w:t>具有独立承担民事责任的能力</w:t>
      </w:r>
      <w:r>
        <w:rPr>
          <w:rFonts w:hint="eastAsia" w:hAnsi="宋体"/>
          <w:sz w:val="24"/>
          <w:szCs w:val="24"/>
        </w:rPr>
        <w:t>，提供以下</w:t>
      </w:r>
      <w:r>
        <w:rPr>
          <w:rFonts w:hAnsi="宋体"/>
          <w:sz w:val="24"/>
          <w:szCs w:val="24"/>
        </w:rPr>
        <w:t>相关证照</w:t>
      </w:r>
      <w:r>
        <w:rPr>
          <w:rFonts w:hint="eastAsia" w:hAnsi="宋体"/>
          <w:sz w:val="24"/>
          <w:szCs w:val="24"/>
        </w:rPr>
        <w:t>的</w:t>
      </w:r>
      <w:r>
        <w:rPr>
          <w:rFonts w:hAnsi="宋体"/>
          <w:sz w:val="24"/>
          <w:szCs w:val="24"/>
        </w:rPr>
        <w:t>原件扫描件</w:t>
      </w:r>
      <w:r>
        <w:rPr>
          <w:rFonts w:hint="eastAsia" w:hAnsi="宋体"/>
          <w:sz w:val="24"/>
          <w:szCs w:val="24"/>
        </w:rPr>
        <w:t>（见附件）之一：1.</w:t>
      </w:r>
      <w:r>
        <w:rPr>
          <w:rFonts w:hAnsi="宋体"/>
          <w:sz w:val="24"/>
          <w:szCs w:val="24"/>
        </w:rPr>
        <w:t>企业法人营业执照</w:t>
      </w:r>
      <w:r>
        <w:rPr>
          <w:rFonts w:hint="eastAsia" w:hAnsi="宋体"/>
          <w:sz w:val="24"/>
          <w:szCs w:val="24"/>
        </w:rPr>
        <w:t>；2.</w:t>
      </w:r>
      <w:r>
        <w:rPr>
          <w:rFonts w:hAnsi="宋体"/>
          <w:sz w:val="24"/>
          <w:szCs w:val="24"/>
        </w:rPr>
        <w:t>事业法人登记证</w:t>
      </w:r>
      <w:r>
        <w:rPr>
          <w:rFonts w:hint="eastAsia" w:hAnsi="宋体"/>
          <w:sz w:val="24"/>
          <w:szCs w:val="24"/>
        </w:rPr>
        <w:t>；3.</w:t>
      </w:r>
      <w:r>
        <w:rPr>
          <w:rFonts w:hAnsi="宋体"/>
          <w:sz w:val="24"/>
          <w:szCs w:val="24"/>
        </w:rPr>
        <w:t>其他组织的营业执照</w:t>
      </w:r>
      <w:r>
        <w:rPr>
          <w:rFonts w:hint="eastAsia" w:hAnsi="宋体"/>
          <w:sz w:val="24"/>
          <w:szCs w:val="24"/>
        </w:rPr>
        <w:t>或</w:t>
      </w:r>
      <w:r>
        <w:rPr>
          <w:rFonts w:hAnsi="宋体"/>
          <w:sz w:val="24"/>
          <w:szCs w:val="24"/>
        </w:rPr>
        <w:t>执业许可证</w:t>
      </w:r>
      <w:r>
        <w:rPr>
          <w:rFonts w:hint="eastAsia" w:hAnsi="宋体"/>
          <w:sz w:val="24"/>
          <w:szCs w:val="24"/>
        </w:rPr>
        <w:t>；4.居民身份证</w:t>
      </w:r>
      <w:r>
        <w:rPr>
          <w:rFonts w:hAnsi="宋体"/>
          <w:sz w:val="24"/>
          <w:szCs w:val="24"/>
        </w:rPr>
        <w:t>等</w:t>
      </w:r>
      <w:r>
        <w:rPr>
          <w:rFonts w:hint="eastAsia" w:ascii="宋体" w:hAnsi="宋体"/>
          <w:sz w:val="24"/>
          <w:szCs w:val="24"/>
        </w:rPr>
        <w:t>；</w:t>
      </w:r>
    </w:p>
    <w:p>
      <w:pPr>
        <w:pStyle w:val="31"/>
        <w:spacing w:line="336" w:lineRule="auto"/>
        <w:ind w:right="84" w:rightChars="40" w:firstLine="480" w:firstLineChars="200"/>
        <w:rPr>
          <w:rFonts w:ascii="宋体" w:hAnsi="宋体"/>
          <w:sz w:val="24"/>
          <w:szCs w:val="24"/>
        </w:rPr>
      </w:pPr>
      <w:r>
        <w:rPr>
          <w:rFonts w:hint="eastAsia" w:ascii="宋体" w:hAnsi="宋体"/>
          <w:sz w:val="24"/>
          <w:szCs w:val="24"/>
        </w:rPr>
        <w:t>（二）具有良好的商业信誉和健全的财务会计制度；</w:t>
      </w:r>
    </w:p>
    <w:p>
      <w:pPr>
        <w:pStyle w:val="31"/>
        <w:spacing w:line="336" w:lineRule="auto"/>
        <w:ind w:right="84" w:rightChars="40" w:firstLine="480" w:firstLineChars="200"/>
        <w:rPr>
          <w:rFonts w:ascii="宋体" w:hAnsi="宋体"/>
          <w:sz w:val="24"/>
          <w:szCs w:val="24"/>
        </w:rPr>
      </w:pPr>
      <w:r>
        <w:rPr>
          <w:rFonts w:hint="eastAsia" w:ascii="宋体" w:hAnsi="宋体"/>
          <w:sz w:val="24"/>
          <w:szCs w:val="24"/>
        </w:rPr>
        <w:t>（三）具有履行合同所必需的设备和专业技术能力；</w:t>
      </w:r>
    </w:p>
    <w:p>
      <w:pPr>
        <w:pStyle w:val="31"/>
        <w:spacing w:line="336" w:lineRule="auto"/>
        <w:ind w:right="84" w:rightChars="40" w:firstLine="480" w:firstLineChars="200"/>
        <w:rPr>
          <w:rFonts w:ascii="宋体" w:hAnsi="宋体"/>
          <w:sz w:val="24"/>
          <w:szCs w:val="24"/>
        </w:rPr>
      </w:pPr>
      <w:r>
        <w:rPr>
          <w:rFonts w:hint="eastAsia" w:ascii="宋体" w:hAnsi="宋体"/>
          <w:sz w:val="24"/>
          <w:szCs w:val="24"/>
        </w:rPr>
        <w:t>（四）有依法缴纳税收和社会保障资金的良好记录；</w:t>
      </w:r>
    </w:p>
    <w:p>
      <w:pPr>
        <w:pStyle w:val="31"/>
        <w:spacing w:line="336" w:lineRule="auto"/>
        <w:ind w:right="84" w:rightChars="40" w:firstLine="480" w:firstLineChars="200"/>
        <w:rPr>
          <w:rFonts w:ascii="宋体" w:hAnsi="宋体"/>
          <w:sz w:val="24"/>
          <w:szCs w:val="24"/>
        </w:rPr>
      </w:pPr>
      <w:r>
        <w:rPr>
          <w:rFonts w:hint="eastAsia" w:ascii="宋体" w:hAnsi="宋体"/>
          <w:sz w:val="24"/>
          <w:szCs w:val="24"/>
        </w:rPr>
        <w:t>（五）参加政府采购活动前三年内，在经营活动中没有重大违法记录；</w:t>
      </w:r>
    </w:p>
    <w:p>
      <w:pPr>
        <w:pStyle w:val="31"/>
        <w:spacing w:line="336" w:lineRule="auto"/>
        <w:ind w:right="84" w:rightChars="40" w:firstLine="480" w:firstLineChars="200"/>
        <w:rPr>
          <w:rFonts w:ascii="宋体" w:hAnsi="宋体"/>
          <w:sz w:val="24"/>
          <w:szCs w:val="24"/>
        </w:rPr>
      </w:pPr>
      <w:r>
        <w:rPr>
          <w:rFonts w:hint="eastAsia" w:ascii="宋体" w:hAnsi="宋体"/>
          <w:sz w:val="24"/>
          <w:szCs w:val="24"/>
        </w:rPr>
        <w:t>（六）法律、行政法规规定的其他条件。</w:t>
      </w:r>
    </w:p>
    <w:p>
      <w:pPr>
        <w:pStyle w:val="31"/>
        <w:spacing w:line="336" w:lineRule="auto"/>
        <w:ind w:right="84" w:rightChars="40" w:firstLine="480" w:firstLineChars="200"/>
        <w:rPr>
          <w:rFonts w:ascii="宋体" w:hAnsi="宋体"/>
          <w:sz w:val="24"/>
          <w:szCs w:val="24"/>
        </w:rPr>
      </w:pPr>
      <w:r>
        <w:rPr>
          <w:rFonts w:hint="eastAsia" w:ascii="宋体" w:hAnsi="宋体"/>
          <w:sz w:val="24"/>
          <w:szCs w:val="24"/>
        </w:rPr>
        <w:t>本次采购活动中，如有违法、违规、弄虚作假行为，所造成的损失、不良后果及法律责任，一律由我方承担。</w:t>
      </w:r>
    </w:p>
    <w:p>
      <w:pPr>
        <w:pStyle w:val="31"/>
        <w:spacing w:line="336" w:lineRule="auto"/>
        <w:ind w:right="84" w:rightChars="40" w:firstLine="482" w:firstLineChars="200"/>
        <w:rPr>
          <w:rFonts w:ascii="宋体" w:hAnsi="宋体"/>
          <w:b/>
          <w:sz w:val="24"/>
          <w:szCs w:val="24"/>
        </w:rPr>
      </w:pPr>
      <w:r>
        <w:rPr>
          <w:rFonts w:hint="eastAsia" w:ascii="宋体" w:hAnsi="宋体"/>
          <w:b/>
          <w:sz w:val="24"/>
          <w:szCs w:val="24"/>
        </w:rPr>
        <w:t>特此声明！</w:t>
      </w:r>
    </w:p>
    <w:p>
      <w:pPr>
        <w:pStyle w:val="31"/>
        <w:spacing w:line="336" w:lineRule="auto"/>
        <w:ind w:right="84" w:rightChars="40"/>
        <w:rPr>
          <w:rFonts w:ascii="宋体" w:hAnsi="宋体"/>
          <w:sz w:val="24"/>
          <w:szCs w:val="24"/>
        </w:rPr>
      </w:pPr>
    </w:p>
    <w:p>
      <w:pPr>
        <w:pStyle w:val="31"/>
        <w:spacing w:line="336" w:lineRule="auto"/>
        <w:ind w:right="84" w:rightChars="40" w:firstLine="5520" w:firstLineChars="2300"/>
        <w:rPr>
          <w:rFonts w:ascii="宋体" w:hAnsi="宋体"/>
          <w:sz w:val="24"/>
          <w:szCs w:val="24"/>
        </w:rPr>
      </w:pPr>
      <w:r>
        <w:rPr>
          <w:rFonts w:hint="eastAsia" w:ascii="宋体" w:hAnsi="宋体"/>
          <w:sz w:val="24"/>
          <w:szCs w:val="24"/>
        </w:rPr>
        <w:t>日期：20  年   月   日</w:t>
      </w:r>
    </w:p>
    <w:p>
      <w:pPr>
        <w:pStyle w:val="31"/>
        <w:spacing w:line="336" w:lineRule="auto"/>
        <w:ind w:right="84" w:rightChars="40"/>
        <w:rPr>
          <w:rFonts w:ascii="宋体" w:hAnsi="宋体"/>
          <w:sz w:val="24"/>
          <w:szCs w:val="24"/>
        </w:rPr>
      </w:pPr>
    </w:p>
    <w:p>
      <w:pPr>
        <w:pStyle w:val="31"/>
        <w:spacing w:line="336" w:lineRule="auto"/>
        <w:ind w:right="84" w:rightChars="40"/>
        <w:rPr>
          <w:rFonts w:ascii="宋体" w:hAnsi="宋体"/>
          <w:sz w:val="24"/>
          <w:szCs w:val="24"/>
        </w:rPr>
      </w:pPr>
      <w:r>
        <w:rPr>
          <w:rFonts w:hint="eastAsia" w:ascii="宋体" w:hAnsi="宋体"/>
          <w:sz w:val="24"/>
          <w:szCs w:val="24"/>
        </w:rPr>
        <w:t>说明：1.本格式文件内容不得擅自删改。</w:t>
      </w:r>
    </w:p>
    <w:p>
      <w:pPr>
        <w:spacing w:line="400" w:lineRule="exact"/>
        <w:jc w:val="center"/>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七法定代表人授权书</w:t>
      </w:r>
    </w:p>
    <w:p>
      <w:pPr>
        <w:spacing w:line="360" w:lineRule="auto"/>
        <w:jc w:val="center"/>
        <w:rPr>
          <w:rFonts w:asciiTheme="minorEastAsia" w:hAnsiTheme="minorEastAsia" w:cstheme="minorEastAsia"/>
          <w:bCs/>
          <w:sz w:val="28"/>
          <w:szCs w:val="28"/>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u w:val="single"/>
        </w:rPr>
        <w:t>铜仁市公共资源交易中心</w:t>
      </w:r>
      <w:r>
        <w:rPr>
          <w:rFonts w:hint="eastAsia" w:asciiTheme="minorEastAsia" w:hAnsiTheme="minorEastAsia" w:cstheme="minorEastAsia"/>
          <w:sz w:val="24"/>
          <w:szCs w:val="24"/>
        </w:rPr>
        <w:t>：</w:t>
      </w:r>
    </w:p>
    <w:p>
      <w:pPr>
        <w:pStyle w:val="1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（谈判响应供应商全称）</w:t>
      </w:r>
      <w:r>
        <w:rPr>
          <w:rFonts w:hint="eastAsia" w:asciiTheme="minorEastAsia" w:hAnsiTheme="minorEastAsia" w:cstheme="minorEastAsia"/>
          <w:sz w:val="24"/>
          <w:szCs w:val="24"/>
        </w:rPr>
        <w:t>法定代表人 授权</w:t>
      </w:r>
      <w:r>
        <w:rPr>
          <w:rFonts w:hint="eastAsia" w:asciiTheme="minorEastAsia" w:hAnsiTheme="minorEastAsia" w:cstheme="minorEastAsia"/>
          <w:sz w:val="24"/>
          <w:szCs w:val="24"/>
          <w:u w:val="single"/>
        </w:rPr>
        <w:t xml:space="preserve">  （谈判响应供应商代表姓名）</w:t>
      </w:r>
      <w:r>
        <w:rPr>
          <w:rFonts w:hint="eastAsia" w:asciiTheme="minorEastAsia" w:hAnsiTheme="minorEastAsia" w:cstheme="minorEastAsia"/>
          <w:sz w:val="24"/>
          <w:szCs w:val="24"/>
        </w:rPr>
        <w:t>为谈判响应供应商代表，代表本公司参加贵司组织的项目（项目编号）采购活动，全权代表本公司处理谈判响应过程的一切事宜，包括但不限于：（1）签署、澄清、补正、修改、撤回、提交响应文件；（2）签署并重新提交响应文件及报价；（3）退出谈判；（4）签订合同和处理有关事宜。供应商代表在采购过程中所签署的一切文件和处理与之有关的一切事务，本公司均予以认可并对此承担责任。供应商代表无转委托权。特此授权。</w:t>
      </w:r>
    </w:p>
    <w:p>
      <w:pPr>
        <w:pStyle w:val="1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本授权书自出具之日起生效。</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  性别：身份证号：</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单位：  部门：    职务：</w:t>
      </w:r>
    </w:p>
    <w:p>
      <w:pPr>
        <w:spacing w:line="360" w:lineRule="auto"/>
        <w:rPr>
          <w:rFonts w:asciiTheme="minorEastAsia" w:hAnsiTheme="minorEastAsia" w:cstheme="minorEastAsia"/>
          <w:sz w:val="24"/>
          <w:szCs w:val="24"/>
          <w:u w:val="single"/>
        </w:rPr>
      </w:pPr>
      <w:r>
        <w:rPr>
          <w:rFonts w:hint="eastAsia" w:asciiTheme="minorEastAsia" w:hAnsiTheme="minorEastAsia" w:cstheme="minorEastAsia"/>
          <w:sz w:val="24"/>
          <w:szCs w:val="24"/>
        </w:rPr>
        <w:t>详细通讯地址：邮政编码: 电话：</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电子信箱：</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附：授权人身份证件（正反面）</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被授权人身份证件（正反面）</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授权方</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谈判响应供应商（全称并加盖公章）：</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法定代表人签字：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sz w:val="24"/>
          <w:szCs w:val="24"/>
        </w:rPr>
      </w:pP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接受授权方</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bCs/>
          <w:sz w:val="28"/>
          <w:szCs w:val="28"/>
        </w:rPr>
      </w:pPr>
    </w:p>
    <w:p>
      <w:pPr>
        <w:ind w:firstLine="1954" w:firstLineChars="695"/>
        <w:rPr>
          <w:rFonts w:asciiTheme="minorEastAsia" w:hAnsiTheme="minorEastAsia" w:cstheme="minorEastAsia"/>
          <w:b/>
          <w:sz w:val="28"/>
          <w:szCs w:val="28"/>
        </w:rPr>
      </w:pPr>
    </w:p>
    <w:p>
      <w:pPr>
        <w:ind w:firstLine="2512" w:firstLineChars="695"/>
        <w:rPr>
          <w:rFonts w:hint="eastAsia" w:asciiTheme="minorEastAsia" w:hAnsiTheme="minorEastAsia" w:eastAsiaTheme="minorEastAsia" w:cstheme="minorEastAsia"/>
          <w:b/>
          <w:sz w:val="36"/>
          <w:szCs w:val="36"/>
          <w:lang w:val="en-US" w:eastAsia="zh-CN"/>
        </w:rPr>
      </w:pPr>
      <w:r>
        <w:rPr>
          <w:rFonts w:hint="eastAsia" w:asciiTheme="minorEastAsia" w:hAnsiTheme="minorEastAsia" w:cstheme="minorEastAsia"/>
          <w:b/>
          <w:sz w:val="36"/>
          <w:szCs w:val="36"/>
        </w:rPr>
        <w:t>八</w:t>
      </w:r>
      <w:r>
        <w:rPr>
          <w:rFonts w:hint="eastAsia" w:asciiTheme="minorEastAsia" w:hAnsiTheme="minorEastAsia" w:cstheme="minorEastAsia"/>
          <w:b/>
          <w:sz w:val="36"/>
          <w:szCs w:val="36"/>
          <w:lang w:val="en-US" w:eastAsia="zh-CN"/>
        </w:rPr>
        <w:t xml:space="preserve"> 资质声明及文件</w:t>
      </w:r>
    </w:p>
    <w:p>
      <w:pPr>
        <w:pStyle w:val="10"/>
        <w:spacing w:line="360" w:lineRule="auto"/>
        <w:ind w:firstLine="840" w:firstLineChars="300"/>
        <w:rPr>
          <w:rFonts w:asciiTheme="minorEastAsia" w:hAnsiTheme="minorEastAsia" w:cstheme="minorEastAsia"/>
          <w:color w:val="000000"/>
          <w:sz w:val="28"/>
          <w:szCs w:val="28"/>
        </w:rPr>
      </w:pPr>
    </w:p>
    <w:p>
      <w:pPr>
        <w:pStyle w:val="10"/>
        <w:spacing w:line="360" w:lineRule="auto"/>
        <w:ind w:firstLine="720" w:firstLineChars="300"/>
        <w:rPr>
          <w:rFonts w:asciiTheme="minorEastAsia" w:hAnsiTheme="minorEastAsia" w:cstheme="minorEastAsia"/>
          <w:b/>
          <w:color w:val="FF0000"/>
          <w:sz w:val="24"/>
          <w:szCs w:val="24"/>
        </w:rPr>
      </w:pPr>
      <w:r>
        <w:rPr>
          <w:rFonts w:hint="eastAsia" w:asciiTheme="minorEastAsia" w:hAnsiTheme="minorEastAsia" w:cstheme="minorEastAsia"/>
          <w:color w:val="000000"/>
          <w:sz w:val="24"/>
          <w:szCs w:val="24"/>
        </w:rPr>
        <w:t>根据贵方的投标邀请，本签字人愿意参加投标，并按</w:t>
      </w:r>
      <w:r>
        <w:rPr>
          <w:rFonts w:hint="eastAsia" w:asciiTheme="minorEastAsia" w:hAnsiTheme="minorEastAsia" w:cstheme="minorEastAsia"/>
          <w:color w:val="FF0000"/>
          <w:sz w:val="24"/>
          <w:szCs w:val="24"/>
        </w:rPr>
        <w:t>谈判</w:t>
      </w:r>
      <w:r>
        <w:rPr>
          <w:rFonts w:hint="eastAsia" w:asciiTheme="minorEastAsia" w:hAnsiTheme="minorEastAsia" w:cstheme="minorEastAsia"/>
          <w:color w:val="000000"/>
          <w:sz w:val="24"/>
          <w:szCs w:val="24"/>
        </w:rPr>
        <w:t>文件要求提交下列资质文件，同时声明，保证所提交文件是准确的、真实的。</w:t>
      </w:r>
      <w:r>
        <w:rPr>
          <w:rFonts w:hint="eastAsia" w:asciiTheme="minorEastAsia" w:hAnsiTheme="minorEastAsia" w:cstheme="minorEastAsia"/>
          <w:b/>
          <w:color w:val="FF0000"/>
          <w:sz w:val="24"/>
          <w:szCs w:val="24"/>
        </w:rPr>
        <w:t>以下资质文件的复印件需加盖鲜章装订在投标文件中。</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（1）工商营业执照副本；</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（2）税务登记证；（三证合一的，可不提供）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（3）组织机构代码证；（三证合一的，可不提供）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（4）法定代表人身份证或委托代理人持授权委托书及法人代表身份证、代理人身份证；</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（5）“信用中国”网站（www.creditchina.gov.cn）</w:t>
      </w:r>
      <w:r>
        <w:rPr>
          <w:rFonts w:hint="eastAsia" w:asciiTheme="minorEastAsia" w:hAnsiTheme="minorEastAsia" w:cstheme="minorEastAsia"/>
          <w:sz w:val="24"/>
          <w:szCs w:val="24"/>
          <w:lang w:eastAsia="zh-CN"/>
        </w:rPr>
        <w:t>和</w:t>
      </w:r>
      <w:r>
        <w:rPr>
          <w:rFonts w:hint="eastAsia" w:asciiTheme="minorEastAsia" w:hAnsiTheme="minorEastAsia" w:cstheme="minorEastAsia"/>
          <w:sz w:val="24"/>
          <w:szCs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（6）财务状况报告，依法缴纳税收和社会保障资金的相关材料（</w:t>
      </w:r>
      <w:r>
        <w:rPr>
          <w:rFonts w:hint="eastAsia" w:asciiTheme="minorEastAsia" w:hAnsiTheme="minorEastAsia" w:cstheme="minorEastAsia"/>
          <w:sz w:val="24"/>
          <w:szCs w:val="24"/>
          <w:lang w:eastAsia="zh-CN"/>
        </w:rPr>
        <w:t>近一年</w:t>
      </w:r>
      <w:r>
        <w:rPr>
          <w:rFonts w:hint="eastAsia" w:asciiTheme="minorEastAsia" w:hAnsiTheme="minorEastAsia" w:cstheme="minorEastAsia"/>
          <w:sz w:val="24"/>
          <w:szCs w:val="24"/>
        </w:rPr>
        <w:t>任意三个月的财务报表（含资产负债表及利润表）；</w:t>
      </w:r>
      <w:r>
        <w:rPr>
          <w:rFonts w:hint="eastAsia" w:asciiTheme="minorEastAsia" w:hAnsiTheme="minorEastAsia" w:cstheme="minorEastAsia"/>
          <w:sz w:val="24"/>
          <w:szCs w:val="24"/>
          <w:lang w:eastAsia="zh-CN"/>
        </w:rPr>
        <w:t>近一年</w:t>
      </w:r>
      <w:r>
        <w:rPr>
          <w:rFonts w:hint="eastAsia" w:asciiTheme="minorEastAsia" w:hAnsiTheme="minorEastAsia" w:cstheme="minorEastAsia"/>
          <w:sz w:val="24"/>
          <w:szCs w:val="24"/>
        </w:rPr>
        <w:t>任意一个月的缴纳社保的凭证；</w:t>
      </w:r>
      <w:r>
        <w:rPr>
          <w:rFonts w:hint="eastAsia" w:asciiTheme="minorEastAsia" w:hAnsiTheme="minorEastAsia" w:cstheme="minorEastAsia"/>
          <w:sz w:val="24"/>
          <w:szCs w:val="24"/>
          <w:lang w:eastAsia="zh-CN"/>
        </w:rPr>
        <w:t>近一年</w:t>
      </w:r>
      <w:r>
        <w:rPr>
          <w:rFonts w:hint="eastAsia" w:asciiTheme="minorEastAsia" w:hAnsiTheme="minorEastAsia" w:cstheme="minorEastAsia"/>
          <w:sz w:val="24"/>
          <w:szCs w:val="24"/>
        </w:rPr>
        <w:t>任意一个月的完税凭证）；</w:t>
      </w:r>
    </w:p>
    <w:p>
      <w:pPr>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）提供参加政府采购活动前3年内在经营活动中没有重大违法记录的书面声明；</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）具备法律、行政法规规定的其他条件的证明材料。</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谈判响应供应商（全称并加盖公章）：</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谈判响应供应商代表签字：</w:t>
      </w:r>
    </w:p>
    <w:p>
      <w:pPr>
        <w:spacing w:line="360" w:lineRule="auto"/>
        <w:rPr>
          <w:rFonts w:asciiTheme="minorEastAsia" w:hAnsiTheme="minorEastAsia" w:cstheme="minorEastAsia"/>
          <w:sz w:val="28"/>
          <w:szCs w:val="28"/>
        </w:rPr>
      </w:pPr>
      <w:r>
        <w:rPr>
          <w:rFonts w:hint="eastAsia" w:asciiTheme="minorEastAsia" w:hAnsiTheme="minorEastAsia" w:cstheme="minorEastAsia"/>
          <w:sz w:val="24"/>
          <w:szCs w:val="24"/>
        </w:rPr>
        <w:t xml:space="preserve">                         日      期：</w:t>
      </w:r>
    </w:p>
    <w:p>
      <w:pPr>
        <w:pStyle w:val="10"/>
        <w:spacing w:line="360" w:lineRule="auto"/>
        <w:rPr>
          <w:rFonts w:asciiTheme="minorEastAsia" w:hAnsiTheme="minorEastAsia" w:cstheme="minorEastAsia"/>
          <w:b/>
          <w:color w:val="FF0000"/>
          <w:sz w:val="28"/>
          <w:szCs w:val="28"/>
        </w:rPr>
      </w:pPr>
      <w:r>
        <w:rPr>
          <w:rFonts w:hint="eastAsia" w:ascii="宋体" w:hAnsi="宋体"/>
          <w:b/>
          <w:color w:val="FF0000"/>
          <w:sz w:val="28"/>
          <w:szCs w:val="28"/>
          <w:lang w:eastAsia="zh-CN"/>
        </w:rPr>
        <w:t>注：</w:t>
      </w:r>
      <w:r>
        <w:rPr>
          <w:rFonts w:hint="eastAsia" w:asciiTheme="minorEastAsia" w:hAnsiTheme="minorEastAsia" w:cstheme="minorEastAsia"/>
          <w:b/>
          <w:color w:val="FF0000"/>
          <w:sz w:val="28"/>
          <w:szCs w:val="28"/>
        </w:rPr>
        <w:t>资质文件的复印件需加盖鲜章装订在投标文件中。</w:t>
      </w:r>
    </w:p>
    <w:p>
      <w:pPr>
        <w:jc w:val="center"/>
        <w:rPr>
          <w:rFonts w:ascii="宋体" w:hAnsi="宋体"/>
          <w:b/>
          <w:color w:val="000000"/>
          <w:sz w:val="44"/>
          <w:szCs w:val="44"/>
        </w:rPr>
      </w:pPr>
      <w:r>
        <w:rPr>
          <w:rFonts w:hint="eastAsia" w:ascii="宋体" w:hAnsi="宋体"/>
          <w:b/>
          <w:color w:val="000000"/>
          <w:sz w:val="32"/>
          <w:szCs w:val="32"/>
        </w:rPr>
        <w:t>九售后服务承诺及方案</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（1）售后服务承诺</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（2）质量保证承诺书</w:t>
      </w:r>
    </w:p>
    <w:p>
      <w:pPr>
        <w:autoSpaceDE w:val="0"/>
        <w:autoSpaceDN w:val="0"/>
        <w:adjustRightInd w:val="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（3）按照国家验收标准执行</w:t>
      </w:r>
    </w:p>
    <w:p>
      <w:pPr>
        <w:spacing w:before="100" w:beforeAutospacing="1" w:after="100" w:afterAutospacing="1" w:line="360" w:lineRule="auto"/>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投标单位（盖章）：</w:t>
      </w: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法定代表（签字）：</w:t>
      </w:r>
    </w:p>
    <w:p>
      <w:pPr>
        <w:autoSpaceDE w:val="0"/>
        <w:autoSpaceDN w:val="0"/>
        <w:adjustRightInd w:val="0"/>
        <w:jc w:val="center"/>
        <w:rPr>
          <w:rFonts w:asciiTheme="minorEastAsia" w:hAnsiTheme="minorEastAsia" w:cstheme="minorEastAsia"/>
          <w:color w:val="000000"/>
          <w:sz w:val="24"/>
          <w:szCs w:val="24"/>
          <w:u w:val="single"/>
        </w:rPr>
      </w:pPr>
    </w:p>
    <w:p>
      <w:pPr>
        <w:ind w:firstLine="3000" w:firstLineChars="12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日期：   年  月  日</w:t>
      </w: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br w:type="page"/>
      </w:r>
    </w:p>
    <w:p>
      <w:pPr>
        <w:spacing w:line="360" w:lineRule="auto"/>
        <w:jc w:val="center"/>
        <w:rPr>
          <w:rFonts w:hint="eastAsia" w:asciiTheme="minorEastAsia" w:hAnsiTheme="minorEastAsia" w:eastAsiaTheme="minorEastAsia" w:cstheme="minorEastAsia"/>
          <w:b/>
          <w:sz w:val="36"/>
          <w:szCs w:val="36"/>
          <w:lang w:eastAsia="zh-CN"/>
        </w:rPr>
      </w:pPr>
      <w:r>
        <w:rPr>
          <w:rFonts w:hint="eastAsia" w:asciiTheme="minorEastAsia" w:hAnsiTheme="minorEastAsia" w:cstheme="minorEastAsia"/>
          <w:b/>
          <w:bCs/>
          <w:sz w:val="36"/>
          <w:szCs w:val="36"/>
        </w:rPr>
        <w:t>十</w:t>
      </w:r>
      <w:r>
        <w:rPr>
          <w:rFonts w:hint="eastAsia" w:asciiTheme="minorEastAsia" w:hAnsiTheme="minorEastAsia" w:cstheme="minorEastAsia"/>
          <w:b/>
          <w:sz w:val="36"/>
          <w:szCs w:val="36"/>
        </w:rPr>
        <w:t>中小企业声明函</w:t>
      </w:r>
      <w:r>
        <w:rPr>
          <w:rFonts w:hint="eastAsia" w:asciiTheme="minorEastAsia" w:hAnsiTheme="minorEastAsia" w:cstheme="minorEastAsia"/>
          <w:b/>
          <w:sz w:val="36"/>
          <w:szCs w:val="36"/>
          <w:lang w:eastAsia="zh-CN"/>
        </w:rPr>
        <w:t>（如有）</w:t>
      </w:r>
    </w:p>
    <w:p>
      <w:pPr>
        <w:spacing w:line="360" w:lineRule="auto"/>
        <w:ind w:firstLine="560" w:firstLineChars="200"/>
        <w:rPr>
          <w:rFonts w:asciiTheme="minorEastAsia" w:hAnsiTheme="minorEastAsia" w:cstheme="minorEastAsia"/>
          <w:sz w:val="28"/>
          <w:szCs w:val="28"/>
        </w:rPr>
      </w:pP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本公司郑重声明，根据《政府采购促进中小企业发展暂行办法》（财库〔2011〕181号）的规定，本公司为（请填写：中型、小型、微型）企业。即，本公司同时满足以下条件：</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本公司参加单位的项目采购活动提供本企业制造的货物，由本企业承担工程、提供服务，或者提供其他（请填写：中型、小型、微型）企业制造的货物（详见《报价明细表》）。本条所称货物不包括使用大型企业注册商标的货物。</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本公司对上述声明的真实性负责。如有虚假，将依法承担响应的责任。 </w:t>
      </w:r>
    </w:p>
    <w:p>
      <w:pPr>
        <w:spacing w:line="360" w:lineRule="auto"/>
        <w:ind w:firstLine="435"/>
        <w:rPr>
          <w:rFonts w:asciiTheme="minorEastAsia" w:hAnsiTheme="minorEastAsia" w:cstheme="minorEastAsia"/>
          <w:sz w:val="24"/>
          <w:szCs w:val="24"/>
        </w:rPr>
      </w:pPr>
    </w:p>
    <w:p>
      <w:pPr>
        <w:spacing w:line="360" w:lineRule="auto"/>
        <w:ind w:firstLine="435"/>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ind w:firstLine="2772" w:firstLineChars="1155"/>
        <w:jc w:val="right"/>
        <w:rPr>
          <w:rFonts w:asciiTheme="minorEastAsia" w:hAnsiTheme="minorEastAsia" w:cstheme="minorEastAsia"/>
          <w:sz w:val="24"/>
          <w:szCs w:val="24"/>
        </w:rPr>
      </w:pPr>
      <w:r>
        <w:rPr>
          <w:rFonts w:hint="eastAsia" w:asciiTheme="minorEastAsia" w:hAnsiTheme="minorEastAsia" w:cstheme="minorEastAsia"/>
          <w:sz w:val="24"/>
          <w:szCs w:val="24"/>
        </w:rPr>
        <w:t>谈判响应供应商名称（盖章）：</w:t>
      </w:r>
    </w:p>
    <w:p>
      <w:pPr>
        <w:spacing w:line="360" w:lineRule="auto"/>
        <w:ind w:firstLine="435"/>
        <w:jc w:val="right"/>
        <w:rPr>
          <w:rFonts w:asciiTheme="minorEastAsia" w:hAnsiTheme="minorEastAsia" w:cstheme="minorEastAsia"/>
          <w:sz w:val="24"/>
          <w:szCs w:val="24"/>
        </w:rPr>
      </w:pPr>
      <w:r>
        <w:rPr>
          <w:rFonts w:hint="eastAsia" w:asciiTheme="minorEastAsia" w:hAnsiTheme="minorEastAsia" w:cstheme="minorEastAsia"/>
          <w:sz w:val="24"/>
          <w:szCs w:val="24"/>
        </w:rPr>
        <w:t xml:space="preserve">                    日期：</w:t>
      </w:r>
    </w:p>
    <w:p>
      <w:pPr>
        <w:pStyle w:val="30"/>
        <w:spacing w:line="360" w:lineRule="auto"/>
        <w:jc w:val="center"/>
        <w:rPr>
          <w:rFonts w:ascii="宋体" w:hAnsi="宋体"/>
          <w:b/>
          <w:spacing w:val="6"/>
          <w:sz w:val="28"/>
          <w:szCs w:val="28"/>
        </w:rPr>
      </w:pPr>
    </w:p>
    <w:p>
      <w:pPr>
        <w:pStyle w:val="30"/>
        <w:spacing w:line="360" w:lineRule="auto"/>
        <w:jc w:val="center"/>
        <w:rPr>
          <w:rFonts w:ascii="宋体" w:hAnsi="宋体"/>
          <w:b/>
          <w:spacing w:val="6"/>
          <w:sz w:val="28"/>
          <w:szCs w:val="28"/>
        </w:rPr>
      </w:pPr>
    </w:p>
    <w:p>
      <w:pPr>
        <w:pStyle w:val="30"/>
        <w:spacing w:line="360" w:lineRule="auto"/>
        <w:jc w:val="center"/>
        <w:rPr>
          <w:rFonts w:ascii="宋体" w:hAnsi="宋体"/>
          <w:b/>
          <w:spacing w:val="6"/>
          <w:sz w:val="28"/>
          <w:szCs w:val="28"/>
        </w:rPr>
      </w:pPr>
    </w:p>
    <w:p>
      <w:pPr>
        <w:pStyle w:val="30"/>
        <w:spacing w:line="360" w:lineRule="auto"/>
        <w:jc w:val="center"/>
        <w:rPr>
          <w:rFonts w:ascii="宋体" w:hAnsi="宋体"/>
          <w:b/>
          <w:spacing w:val="6"/>
          <w:sz w:val="28"/>
          <w:szCs w:val="28"/>
        </w:rPr>
      </w:pPr>
    </w:p>
    <w:p>
      <w:pPr>
        <w:pStyle w:val="30"/>
        <w:spacing w:line="360" w:lineRule="auto"/>
        <w:jc w:val="center"/>
        <w:rPr>
          <w:rFonts w:ascii="宋体" w:hAnsi="宋体"/>
          <w:b/>
          <w:spacing w:val="6"/>
          <w:sz w:val="28"/>
          <w:szCs w:val="28"/>
        </w:rPr>
      </w:pPr>
    </w:p>
    <w:p>
      <w:pPr>
        <w:pStyle w:val="30"/>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p>
      <w:pPr>
        <w:pStyle w:val="30"/>
        <w:spacing w:line="360" w:lineRule="auto"/>
        <w:jc w:val="center"/>
        <w:rPr>
          <w:rFonts w:ascii="宋体" w:hAnsi="宋体"/>
          <w:b/>
          <w:spacing w:val="6"/>
          <w:sz w:val="28"/>
          <w:szCs w:val="28"/>
        </w:rPr>
      </w:pPr>
    </w:p>
    <w:p>
      <w:pPr>
        <w:widowControl/>
        <w:jc w:val="left"/>
        <w:rPr>
          <w:rFonts w:ascii="宋体" w:hAnsi="宋体" w:eastAsia="宋体" w:cs="Times New Roman"/>
          <w:b/>
          <w:spacing w:val="6"/>
          <w:kern w:val="0"/>
          <w:sz w:val="28"/>
          <w:szCs w:val="28"/>
        </w:rPr>
      </w:pPr>
      <w:r>
        <w:rPr>
          <w:rFonts w:ascii="宋体" w:hAnsi="宋体"/>
          <w:b/>
          <w:spacing w:val="6"/>
          <w:sz w:val="28"/>
          <w:szCs w:val="28"/>
        </w:rPr>
        <w:br w:type="page"/>
      </w:r>
    </w:p>
    <w:p>
      <w:pPr>
        <w:pStyle w:val="30"/>
        <w:spacing w:line="360" w:lineRule="auto"/>
        <w:jc w:val="center"/>
        <w:rPr>
          <w:rFonts w:ascii="宋体" w:hAnsi="宋体"/>
          <w:b/>
          <w:spacing w:val="6"/>
          <w:sz w:val="28"/>
          <w:szCs w:val="28"/>
        </w:rPr>
      </w:pPr>
      <w:r>
        <w:rPr>
          <w:rFonts w:ascii="宋体" w:hAnsi="宋体"/>
          <w:b/>
          <w:spacing w:val="6"/>
          <w:sz w:val="28"/>
          <w:szCs w:val="28"/>
        </w:rPr>
        <w:t>残疾人福利性单位声明函</w:t>
      </w:r>
      <w:r>
        <w:rPr>
          <w:rFonts w:hint="eastAsia" w:ascii="宋体" w:hAnsi="宋体"/>
          <w:b/>
          <w:spacing w:val="6"/>
          <w:sz w:val="28"/>
          <w:szCs w:val="28"/>
          <w:lang w:eastAsia="zh-CN"/>
        </w:rPr>
        <w:t>（如有）</w:t>
      </w:r>
    </w:p>
    <w:p>
      <w:pPr>
        <w:pStyle w:val="30"/>
        <w:spacing w:line="360" w:lineRule="auto"/>
        <w:jc w:val="center"/>
        <w:rPr>
          <w:rFonts w:ascii="宋体" w:hAnsi="宋体"/>
          <w:b/>
          <w:spacing w:val="6"/>
          <w:sz w:val="28"/>
          <w:szCs w:val="28"/>
        </w:rPr>
      </w:pPr>
    </w:p>
    <w:p>
      <w:pPr>
        <w:pStyle w:val="30"/>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0"/>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30"/>
        <w:spacing w:line="360" w:lineRule="auto"/>
        <w:ind w:firstLine="504" w:firstLineChars="200"/>
        <w:rPr>
          <w:rFonts w:ascii="宋体" w:hAnsi="宋体"/>
          <w:color w:val="993300"/>
          <w:spacing w:val="6"/>
          <w:sz w:val="24"/>
        </w:rPr>
      </w:pPr>
    </w:p>
    <w:p>
      <w:pPr>
        <w:pStyle w:val="30"/>
        <w:tabs>
          <w:tab w:val="left" w:pos="4860"/>
        </w:tabs>
        <w:spacing w:line="360" w:lineRule="auto"/>
        <w:ind w:right="1560" w:firstLine="504" w:firstLineChars="200"/>
        <w:jc w:val="center"/>
        <w:rPr>
          <w:rFonts w:ascii="宋体" w:hAnsi="宋体"/>
          <w:spacing w:val="6"/>
          <w:sz w:val="24"/>
        </w:rPr>
      </w:pPr>
    </w:p>
    <w:p>
      <w:pPr>
        <w:pStyle w:val="30"/>
        <w:tabs>
          <w:tab w:val="left" w:pos="4860"/>
        </w:tabs>
        <w:spacing w:line="360" w:lineRule="auto"/>
        <w:ind w:right="1560" w:firstLine="504" w:firstLineChars="200"/>
        <w:jc w:val="center"/>
        <w:rPr>
          <w:rFonts w:ascii="宋体" w:hAnsi="宋体"/>
          <w:spacing w:val="6"/>
          <w:sz w:val="24"/>
        </w:rPr>
      </w:pPr>
    </w:p>
    <w:p>
      <w:pPr>
        <w:adjustRightInd w:val="0"/>
        <w:snapToGrid w:val="0"/>
        <w:spacing w:beforeLines="50" w:afterLines="50" w:line="360" w:lineRule="auto"/>
        <w:jc w:val="right"/>
        <w:rPr>
          <w:rFonts w:ascii="宋体" w:hAnsi="宋体" w:cs="Arial"/>
          <w:sz w:val="24"/>
        </w:rPr>
      </w:pPr>
      <w:r>
        <w:rPr>
          <w:rFonts w:hint="eastAsia" w:ascii="宋体" w:hAnsi="宋体"/>
          <w:sz w:val="24"/>
        </w:rPr>
        <w:t>日期：</w:t>
      </w:r>
      <w:r>
        <w:rPr>
          <w:rFonts w:hint="eastAsia" w:ascii="宋体" w:hAnsi="宋体" w:cs="Arial"/>
          <w:sz w:val="24"/>
        </w:rPr>
        <w:t>20  年   月   日</w:t>
      </w: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pStyle w:val="30"/>
        <w:spacing w:line="360" w:lineRule="auto"/>
        <w:jc w:val="center"/>
        <w:rPr>
          <w:rFonts w:hint="eastAsia" w:ascii="宋体" w:hAnsi="宋体"/>
          <w:b/>
          <w:spacing w:val="6"/>
          <w:sz w:val="28"/>
          <w:szCs w:val="28"/>
        </w:rPr>
      </w:pPr>
      <w:r>
        <w:rPr>
          <w:rFonts w:hint="eastAsia" w:ascii="宋体" w:hAnsi="宋体"/>
          <w:b/>
          <w:spacing w:val="6"/>
          <w:sz w:val="28"/>
          <w:szCs w:val="28"/>
        </w:rPr>
        <w:t>备注：如不是享受此优惠，响应文件可以不做此项。</w:t>
      </w:r>
    </w:p>
    <w:p>
      <w:pPr>
        <w:pStyle w:val="30"/>
        <w:spacing w:line="360" w:lineRule="auto"/>
        <w:jc w:val="center"/>
        <w:rPr>
          <w:rFonts w:hint="eastAsia" w:ascii="宋体" w:hAnsi="宋体"/>
          <w:b/>
          <w:spacing w:val="6"/>
          <w:sz w:val="28"/>
          <w:szCs w:val="28"/>
        </w:rPr>
      </w:pPr>
    </w:p>
    <w:p>
      <w:pPr>
        <w:adjustRightInd w:val="0"/>
        <w:snapToGrid w:val="0"/>
        <w:spacing w:beforeLines="50" w:afterLines="50" w:line="360" w:lineRule="auto"/>
        <w:jc w:val="center"/>
        <w:rPr>
          <w:b/>
          <w:sz w:val="36"/>
          <w:szCs w:val="36"/>
        </w:rPr>
      </w:pPr>
      <w:r>
        <w:rPr>
          <w:rFonts w:hint="eastAsia"/>
          <w:b/>
          <w:sz w:val="36"/>
          <w:szCs w:val="36"/>
        </w:rPr>
        <w:t>制造商中小企业声明函（如有）</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ascii="宋体" w:hAnsi="宋体"/>
          <w:sz w:val="24"/>
        </w:rPr>
      </w:pPr>
    </w:p>
    <w:p>
      <w:pPr>
        <w:spacing w:line="360" w:lineRule="auto"/>
        <w:ind w:firstLine="480" w:firstLineChars="200"/>
        <w:jc w:val="right"/>
        <w:rPr>
          <w:rFonts w:ascii="宋体" w:hAnsi="宋体"/>
          <w:b/>
          <w:sz w:val="24"/>
        </w:rPr>
      </w:pP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rPr>
          <w:rFonts w:ascii="宋体" w:hAnsi="宋体"/>
          <w:sz w:val="24"/>
        </w:rPr>
      </w:pPr>
      <w:r>
        <w:rPr>
          <w:rFonts w:hint="eastAsia" w:ascii="宋体" w:hAnsi="宋体"/>
          <w:sz w:val="24"/>
        </w:rPr>
        <w:t>6.关于企业从业人员的认定，供应商应该真实填写（格式自拟）。</w:t>
      </w:r>
    </w:p>
    <w:p>
      <w:pPr>
        <w:pStyle w:val="30"/>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rPr>
        <w:rStyle w:val="20"/>
        <w:rFonts w:hint="eastAsia" w:ascii="宋体" w:hAnsi="宋体"/>
      </w:rPr>
      <w:t>第</w:t>
    </w:r>
    <w:r>
      <w:rPr>
        <w:rFonts w:ascii="宋体" w:hAnsi="宋体"/>
      </w:rPr>
      <w:fldChar w:fldCharType="begin"/>
    </w:r>
    <w:r>
      <w:rPr>
        <w:rStyle w:val="20"/>
        <w:rFonts w:ascii="宋体" w:hAnsi="宋体"/>
      </w:rPr>
      <w:instrText xml:space="preserve"> PAGE </w:instrText>
    </w:r>
    <w:r>
      <w:rPr>
        <w:rFonts w:ascii="宋体" w:hAnsi="宋体"/>
      </w:rPr>
      <w:fldChar w:fldCharType="separate"/>
    </w:r>
    <w:r>
      <w:rPr>
        <w:rStyle w:val="20"/>
        <w:rFonts w:ascii="宋体" w:hAnsi="宋体"/>
      </w:rPr>
      <w:t>34</w:t>
    </w:r>
    <w:r>
      <w:rPr>
        <w:rFonts w:ascii="宋体" w:hAnsi="宋体"/>
      </w:rPr>
      <w:fldChar w:fldCharType="end"/>
    </w:r>
    <w:r>
      <w:rPr>
        <w:rStyle w:val="20"/>
        <w:rFonts w:hint="eastAsia" w:ascii="宋体" w:hAnsi="宋体"/>
      </w:rPr>
      <w:t>页，共</w:t>
    </w:r>
    <w:r>
      <w:rPr>
        <w:rFonts w:ascii="宋体" w:hAnsi="宋体"/>
      </w:rPr>
      <w:fldChar w:fldCharType="begin"/>
    </w:r>
    <w:r>
      <w:rPr>
        <w:rStyle w:val="20"/>
        <w:rFonts w:ascii="宋体" w:hAnsi="宋体"/>
      </w:rPr>
      <w:instrText xml:space="preserve"> NUMPAGES </w:instrText>
    </w:r>
    <w:r>
      <w:rPr>
        <w:rFonts w:ascii="宋体" w:hAnsi="宋体"/>
      </w:rPr>
      <w:fldChar w:fldCharType="separate"/>
    </w:r>
    <w:r>
      <w:rPr>
        <w:rStyle w:val="20"/>
        <w:rFonts w:ascii="宋体" w:hAnsi="宋体"/>
      </w:rPr>
      <w:t>51</w:t>
    </w:r>
    <w:r>
      <w:rPr>
        <w:rFonts w:ascii="宋体" w:hAnsi="宋体"/>
      </w:rPr>
      <w:fldChar w:fldCharType="end"/>
    </w:r>
    <w:r>
      <w:rPr>
        <w:rStyle w:val="20"/>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rPr>
        <w:rStyle w:val="20"/>
        <w:rFonts w:hint="eastAsia" w:ascii="宋体" w:hAnsi="宋体"/>
      </w:rPr>
      <w:t>第</w:t>
    </w:r>
    <w:r>
      <w:rPr>
        <w:rFonts w:ascii="宋体" w:hAnsi="宋体"/>
      </w:rPr>
      <w:fldChar w:fldCharType="begin"/>
    </w:r>
    <w:r>
      <w:rPr>
        <w:rStyle w:val="20"/>
        <w:rFonts w:ascii="宋体" w:hAnsi="宋体"/>
      </w:rPr>
      <w:instrText xml:space="preserve"> PAGE </w:instrText>
    </w:r>
    <w:r>
      <w:rPr>
        <w:rFonts w:ascii="宋体" w:hAnsi="宋体"/>
      </w:rPr>
      <w:fldChar w:fldCharType="separate"/>
    </w:r>
    <w:r>
      <w:rPr>
        <w:rStyle w:val="20"/>
        <w:rFonts w:ascii="宋体" w:hAnsi="宋体"/>
      </w:rPr>
      <w:t>51</w:t>
    </w:r>
    <w:r>
      <w:rPr>
        <w:rFonts w:ascii="宋体" w:hAnsi="宋体"/>
      </w:rPr>
      <w:fldChar w:fldCharType="end"/>
    </w:r>
    <w:r>
      <w:rPr>
        <w:rStyle w:val="20"/>
        <w:rFonts w:hint="eastAsia" w:ascii="宋体" w:hAnsi="宋体"/>
      </w:rPr>
      <w:t>页，共</w:t>
    </w:r>
    <w:r>
      <w:rPr>
        <w:rFonts w:ascii="宋体" w:hAnsi="宋体"/>
      </w:rPr>
      <w:fldChar w:fldCharType="begin"/>
    </w:r>
    <w:r>
      <w:rPr>
        <w:rStyle w:val="20"/>
        <w:rFonts w:ascii="宋体" w:hAnsi="宋体"/>
      </w:rPr>
      <w:instrText xml:space="preserve"> NUMPAGES </w:instrText>
    </w:r>
    <w:r>
      <w:rPr>
        <w:rFonts w:ascii="宋体" w:hAnsi="宋体"/>
      </w:rPr>
      <w:fldChar w:fldCharType="separate"/>
    </w:r>
    <w:r>
      <w:rPr>
        <w:rStyle w:val="20"/>
        <w:rFonts w:ascii="宋体" w:hAnsi="宋体"/>
      </w:rPr>
      <w:t>51</w:t>
    </w:r>
    <w:r>
      <w:rPr>
        <w:rFonts w:ascii="宋体" w:hAnsi="宋体"/>
      </w:rPr>
      <w:fldChar w:fldCharType="end"/>
    </w:r>
    <w:r>
      <w:rPr>
        <w:rStyle w:val="20"/>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60F2CA"/>
    <w:multiLevelType w:val="singleLevel"/>
    <w:tmpl w:val="9160F2CA"/>
    <w:lvl w:ilvl="0" w:tentative="0">
      <w:start w:val="7"/>
      <w:numFmt w:val="decimal"/>
      <w:suff w:val="nothing"/>
      <w:lvlText w:val="%1、"/>
      <w:lvlJc w:val="left"/>
    </w:lvl>
  </w:abstractNum>
  <w:abstractNum w:abstractNumId="1">
    <w:nsid w:val="A828E4ED"/>
    <w:multiLevelType w:val="singleLevel"/>
    <w:tmpl w:val="A828E4ED"/>
    <w:lvl w:ilvl="0" w:tentative="0">
      <w:start w:val="1"/>
      <w:numFmt w:val="decimal"/>
      <w:suff w:val="nothing"/>
      <w:lvlText w:val="%1、"/>
      <w:lvlJc w:val="left"/>
    </w:lvl>
  </w:abstractNum>
  <w:abstractNum w:abstractNumId="2">
    <w:nsid w:val="C122FFAF"/>
    <w:multiLevelType w:val="singleLevel"/>
    <w:tmpl w:val="C122FFAF"/>
    <w:lvl w:ilvl="0" w:tentative="0">
      <w:start w:val="1"/>
      <w:numFmt w:val="decimal"/>
      <w:suff w:val="nothing"/>
      <w:lvlText w:val="%1、"/>
      <w:lvlJc w:val="left"/>
    </w:lvl>
  </w:abstractNum>
  <w:abstractNum w:abstractNumId="3">
    <w:nsid w:val="DBB4B3E1"/>
    <w:multiLevelType w:val="singleLevel"/>
    <w:tmpl w:val="DBB4B3E1"/>
    <w:lvl w:ilvl="0" w:tentative="0">
      <w:start w:val="1"/>
      <w:numFmt w:val="decimal"/>
      <w:suff w:val="nothing"/>
      <w:lvlText w:val="%1、"/>
      <w:lvlJc w:val="left"/>
    </w:lvl>
  </w:abstractNum>
  <w:abstractNum w:abstractNumId="4">
    <w:nsid w:val="03AF7690"/>
    <w:multiLevelType w:val="multilevel"/>
    <w:tmpl w:val="03AF7690"/>
    <w:lvl w:ilvl="0" w:tentative="0">
      <w:start w:val="1"/>
      <w:numFmt w:val="decimal"/>
      <w:lvlText w:val="%1."/>
      <w:lvlJc w:val="left"/>
      <w:pPr>
        <w:ind w:left="1560" w:hanging="1140"/>
      </w:pPr>
      <w:rPr>
        <w:color w:val="333333"/>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17EB3AA9"/>
    <w:multiLevelType w:val="multilevel"/>
    <w:tmpl w:val="17EB3AA9"/>
    <w:lvl w:ilvl="0" w:tentative="0">
      <w:start w:val="1"/>
      <w:numFmt w:val="decimal"/>
      <w:lvlText w:val="%1."/>
      <w:lvlJc w:val="left"/>
      <w:pPr>
        <w:ind w:left="1560" w:hanging="1140"/>
      </w:pPr>
      <w:rPr>
        <w:color w:val="333333"/>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32411EB3"/>
    <w:multiLevelType w:val="multilevel"/>
    <w:tmpl w:val="32411EB3"/>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宋体" w:hAnsi="宋体" w:eastAsia="宋体"/>
        <w:b/>
        <w:color w:val="auto"/>
        <w:sz w:val="24"/>
        <w:szCs w:val="24"/>
      </w:rPr>
    </w:lvl>
    <w:lvl w:ilvl="2" w:tentative="0">
      <w:start w:val="1"/>
      <w:numFmt w:val="decimal"/>
      <w:lvlText w:val="%3."/>
      <w:lvlJc w:val="left"/>
      <w:pPr>
        <w:tabs>
          <w:tab w:val="left" w:pos="840"/>
        </w:tabs>
        <w:ind w:left="840" w:hanging="420"/>
      </w:pPr>
      <w:rPr>
        <w:rFonts w:hint="eastAsia" w:ascii="宋体" w:hAnsi="宋体" w:eastAsia="宋体"/>
        <w:sz w:val="24"/>
        <w:szCs w:val="24"/>
        <w:lang w:val="en-US"/>
      </w:rPr>
    </w:lvl>
    <w:lvl w:ilvl="3" w:tentative="0">
      <w:start w:val="1"/>
      <w:numFmt w:val="decimal"/>
      <w:lvlText w:val="(%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59A303B5"/>
    <w:multiLevelType w:val="singleLevel"/>
    <w:tmpl w:val="59A303B5"/>
    <w:lvl w:ilvl="0" w:tentative="0">
      <w:start w:val="1"/>
      <w:numFmt w:val="chineseCounting"/>
      <w:suff w:val="space"/>
      <w:lvlText w:val="第%1章"/>
      <w:lvlJc w:val="left"/>
    </w:lvl>
  </w:abstractNum>
  <w:abstractNum w:abstractNumId="8">
    <w:nsid w:val="5E2375F0"/>
    <w:multiLevelType w:val="singleLevel"/>
    <w:tmpl w:val="5E2375F0"/>
    <w:lvl w:ilvl="0" w:tentative="0">
      <w:start w:val="4"/>
      <w:numFmt w:val="decimal"/>
      <w:suff w:val="nothing"/>
      <w:lvlText w:val="%1、"/>
      <w:lvlJc w:val="left"/>
    </w:lvl>
  </w:abstractNum>
  <w:abstractNum w:abstractNumId="9">
    <w:nsid w:val="62236CC2"/>
    <w:multiLevelType w:val="singleLevel"/>
    <w:tmpl w:val="62236CC2"/>
    <w:lvl w:ilvl="0" w:tentative="0">
      <w:start w:val="1"/>
      <w:numFmt w:val="decimal"/>
      <w:suff w:val="nothing"/>
      <w:lvlText w:val="%1、"/>
      <w:lvlJc w:val="left"/>
    </w:lvl>
  </w:abstractNum>
  <w:num w:numId="1">
    <w:abstractNumId w:val="7"/>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num>
  <w:num w:numId="7">
    <w:abstractNumId w:val="2"/>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2CE5F42"/>
    <w:rsid w:val="00092C8A"/>
    <w:rsid w:val="0012010F"/>
    <w:rsid w:val="001F6349"/>
    <w:rsid w:val="002D1B5F"/>
    <w:rsid w:val="00654C6C"/>
    <w:rsid w:val="006E435E"/>
    <w:rsid w:val="008801DD"/>
    <w:rsid w:val="008E1F31"/>
    <w:rsid w:val="00A6533D"/>
    <w:rsid w:val="00A95F91"/>
    <w:rsid w:val="00B52D6D"/>
    <w:rsid w:val="00C654F6"/>
    <w:rsid w:val="00D51209"/>
    <w:rsid w:val="00E6698B"/>
    <w:rsid w:val="00F21693"/>
    <w:rsid w:val="00F87702"/>
    <w:rsid w:val="01181B7F"/>
    <w:rsid w:val="01673FCC"/>
    <w:rsid w:val="01810758"/>
    <w:rsid w:val="01BD2F7F"/>
    <w:rsid w:val="023E0A09"/>
    <w:rsid w:val="02AA07A4"/>
    <w:rsid w:val="045127EF"/>
    <w:rsid w:val="05257096"/>
    <w:rsid w:val="055871DA"/>
    <w:rsid w:val="05C06C9E"/>
    <w:rsid w:val="07CB68F8"/>
    <w:rsid w:val="086F28FF"/>
    <w:rsid w:val="089115FE"/>
    <w:rsid w:val="08C3322C"/>
    <w:rsid w:val="0BEB13C9"/>
    <w:rsid w:val="0C0301D2"/>
    <w:rsid w:val="0D410AF2"/>
    <w:rsid w:val="0D580277"/>
    <w:rsid w:val="0DCB288A"/>
    <w:rsid w:val="0E2139E1"/>
    <w:rsid w:val="0EA70C7C"/>
    <w:rsid w:val="0EFC12F2"/>
    <w:rsid w:val="126157BD"/>
    <w:rsid w:val="12781041"/>
    <w:rsid w:val="132B38CA"/>
    <w:rsid w:val="143A0681"/>
    <w:rsid w:val="148D406E"/>
    <w:rsid w:val="14AA53FA"/>
    <w:rsid w:val="14C14126"/>
    <w:rsid w:val="15563104"/>
    <w:rsid w:val="159D653B"/>
    <w:rsid w:val="164B7D6D"/>
    <w:rsid w:val="166D6283"/>
    <w:rsid w:val="16D308AD"/>
    <w:rsid w:val="17A77B57"/>
    <w:rsid w:val="17B71831"/>
    <w:rsid w:val="17D83125"/>
    <w:rsid w:val="184E6EE6"/>
    <w:rsid w:val="1BB31C31"/>
    <w:rsid w:val="1BFB3FAF"/>
    <w:rsid w:val="1C767556"/>
    <w:rsid w:val="1C9D20D0"/>
    <w:rsid w:val="1CA21B28"/>
    <w:rsid w:val="1CC33F74"/>
    <w:rsid w:val="1F066982"/>
    <w:rsid w:val="1F1C6FA4"/>
    <w:rsid w:val="1F947CD8"/>
    <w:rsid w:val="1FA20977"/>
    <w:rsid w:val="20B375EF"/>
    <w:rsid w:val="20E15262"/>
    <w:rsid w:val="20E74FAB"/>
    <w:rsid w:val="211C5327"/>
    <w:rsid w:val="21655D7F"/>
    <w:rsid w:val="216D0A3A"/>
    <w:rsid w:val="21896654"/>
    <w:rsid w:val="218D6C1C"/>
    <w:rsid w:val="226404CE"/>
    <w:rsid w:val="230355F4"/>
    <w:rsid w:val="23E85B71"/>
    <w:rsid w:val="258762EF"/>
    <w:rsid w:val="25B657A5"/>
    <w:rsid w:val="26291D2D"/>
    <w:rsid w:val="26344EFC"/>
    <w:rsid w:val="266327E7"/>
    <w:rsid w:val="26E378D9"/>
    <w:rsid w:val="276A39B2"/>
    <w:rsid w:val="281828B6"/>
    <w:rsid w:val="282C07AA"/>
    <w:rsid w:val="28451A28"/>
    <w:rsid w:val="2874607F"/>
    <w:rsid w:val="28DE43D1"/>
    <w:rsid w:val="29116328"/>
    <w:rsid w:val="29443C37"/>
    <w:rsid w:val="295D3623"/>
    <w:rsid w:val="29A515A8"/>
    <w:rsid w:val="29B20000"/>
    <w:rsid w:val="29F86BD9"/>
    <w:rsid w:val="2A9B1A73"/>
    <w:rsid w:val="2BB95CF0"/>
    <w:rsid w:val="2BF0022A"/>
    <w:rsid w:val="2C592D4D"/>
    <w:rsid w:val="2C792640"/>
    <w:rsid w:val="2C9A28A9"/>
    <w:rsid w:val="2D1456C4"/>
    <w:rsid w:val="2D31580D"/>
    <w:rsid w:val="2D883B70"/>
    <w:rsid w:val="2F814A7E"/>
    <w:rsid w:val="2F8D0F40"/>
    <w:rsid w:val="2F902529"/>
    <w:rsid w:val="2FEE5643"/>
    <w:rsid w:val="31092E25"/>
    <w:rsid w:val="325E6B41"/>
    <w:rsid w:val="32C64D06"/>
    <w:rsid w:val="32D648A9"/>
    <w:rsid w:val="342F0710"/>
    <w:rsid w:val="34A411A3"/>
    <w:rsid w:val="35FE15A4"/>
    <w:rsid w:val="3604397E"/>
    <w:rsid w:val="364B4308"/>
    <w:rsid w:val="364B7FAB"/>
    <w:rsid w:val="36B922B4"/>
    <w:rsid w:val="37156305"/>
    <w:rsid w:val="37EE4125"/>
    <w:rsid w:val="389B2BA8"/>
    <w:rsid w:val="3997377D"/>
    <w:rsid w:val="39DB7A1A"/>
    <w:rsid w:val="3A662DB7"/>
    <w:rsid w:val="3AF84CD2"/>
    <w:rsid w:val="3CA11FCB"/>
    <w:rsid w:val="3D2155D9"/>
    <w:rsid w:val="3D382657"/>
    <w:rsid w:val="3D672D70"/>
    <w:rsid w:val="3DBC23D5"/>
    <w:rsid w:val="3DF83971"/>
    <w:rsid w:val="3EC80975"/>
    <w:rsid w:val="411C1A66"/>
    <w:rsid w:val="413C43C1"/>
    <w:rsid w:val="41DE233D"/>
    <w:rsid w:val="42CE5F42"/>
    <w:rsid w:val="453B37BC"/>
    <w:rsid w:val="453C495E"/>
    <w:rsid w:val="45677EBC"/>
    <w:rsid w:val="45BC3D7C"/>
    <w:rsid w:val="45C2480E"/>
    <w:rsid w:val="463B31DD"/>
    <w:rsid w:val="46BB7DFA"/>
    <w:rsid w:val="46CC7F2B"/>
    <w:rsid w:val="470622D8"/>
    <w:rsid w:val="47590A9D"/>
    <w:rsid w:val="48655A11"/>
    <w:rsid w:val="4896454D"/>
    <w:rsid w:val="48BF4B3A"/>
    <w:rsid w:val="493204FD"/>
    <w:rsid w:val="49380E36"/>
    <w:rsid w:val="49AD5DD9"/>
    <w:rsid w:val="4A0E5981"/>
    <w:rsid w:val="4A6B1ABD"/>
    <w:rsid w:val="4A9A0C7A"/>
    <w:rsid w:val="4AB1686E"/>
    <w:rsid w:val="4AE85706"/>
    <w:rsid w:val="4B142195"/>
    <w:rsid w:val="4BA60B57"/>
    <w:rsid w:val="4C7D5B39"/>
    <w:rsid w:val="4CBF23B2"/>
    <w:rsid w:val="4CCD33C4"/>
    <w:rsid w:val="4D584F09"/>
    <w:rsid w:val="4DE45C90"/>
    <w:rsid w:val="4EAE04CE"/>
    <w:rsid w:val="4ECC2086"/>
    <w:rsid w:val="4EF24C6F"/>
    <w:rsid w:val="4F467944"/>
    <w:rsid w:val="4FE20CB3"/>
    <w:rsid w:val="50501FBD"/>
    <w:rsid w:val="50BF398B"/>
    <w:rsid w:val="50E75782"/>
    <w:rsid w:val="51165811"/>
    <w:rsid w:val="514F3257"/>
    <w:rsid w:val="51772484"/>
    <w:rsid w:val="523E3048"/>
    <w:rsid w:val="52836906"/>
    <w:rsid w:val="54632FDB"/>
    <w:rsid w:val="54B829AE"/>
    <w:rsid w:val="55234F42"/>
    <w:rsid w:val="559E7995"/>
    <w:rsid w:val="574E07D2"/>
    <w:rsid w:val="57667BBF"/>
    <w:rsid w:val="576B5680"/>
    <w:rsid w:val="578976C5"/>
    <w:rsid w:val="57997AC7"/>
    <w:rsid w:val="585B1EE3"/>
    <w:rsid w:val="58821C06"/>
    <w:rsid w:val="591305A8"/>
    <w:rsid w:val="59D46AFA"/>
    <w:rsid w:val="59E5216A"/>
    <w:rsid w:val="5A3146D6"/>
    <w:rsid w:val="5B843375"/>
    <w:rsid w:val="5BCD3DE5"/>
    <w:rsid w:val="5C595922"/>
    <w:rsid w:val="5C9275F7"/>
    <w:rsid w:val="5D880BC4"/>
    <w:rsid w:val="5DDA061A"/>
    <w:rsid w:val="5E3C65F7"/>
    <w:rsid w:val="5E456CAE"/>
    <w:rsid w:val="5F9B1E7D"/>
    <w:rsid w:val="60C27580"/>
    <w:rsid w:val="61454DD1"/>
    <w:rsid w:val="618D189D"/>
    <w:rsid w:val="645D67E9"/>
    <w:rsid w:val="64C5489D"/>
    <w:rsid w:val="66494EC8"/>
    <w:rsid w:val="664F4ABC"/>
    <w:rsid w:val="666618E1"/>
    <w:rsid w:val="66E36A63"/>
    <w:rsid w:val="670A3D62"/>
    <w:rsid w:val="67D51FC3"/>
    <w:rsid w:val="68C57E65"/>
    <w:rsid w:val="68E6427F"/>
    <w:rsid w:val="69077ABD"/>
    <w:rsid w:val="693D30C9"/>
    <w:rsid w:val="69BD4F65"/>
    <w:rsid w:val="6A6722CC"/>
    <w:rsid w:val="6B042BF5"/>
    <w:rsid w:val="6BBF411C"/>
    <w:rsid w:val="6CCA454A"/>
    <w:rsid w:val="6DFF3255"/>
    <w:rsid w:val="6E064B16"/>
    <w:rsid w:val="6E95133D"/>
    <w:rsid w:val="6E9A5852"/>
    <w:rsid w:val="6EA67053"/>
    <w:rsid w:val="6EB804F6"/>
    <w:rsid w:val="702068E9"/>
    <w:rsid w:val="704A2BB3"/>
    <w:rsid w:val="70CD3296"/>
    <w:rsid w:val="7115737E"/>
    <w:rsid w:val="71C74591"/>
    <w:rsid w:val="720F0929"/>
    <w:rsid w:val="72860C33"/>
    <w:rsid w:val="72893860"/>
    <w:rsid w:val="739F35AD"/>
    <w:rsid w:val="74490016"/>
    <w:rsid w:val="744A787C"/>
    <w:rsid w:val="74E60DA4"/>
    <w:rsid w:val="75B3776A"/>
    <w:rsid w:val="76281AB3"/>
    <w:rsid w:val="76C45669"/>
    <w:rsid w:val="772D77E1"/>
    <w:rsid w:val="7778700B"/>
    <w:rsid w:val="77D8131B"/>
    <w:rsid w:val="77E0113F"/>
    <w:rsid w:val="77E92280"/>
    <w:rsid w:val="78F834A9"/>
    <w:rsid w:val="79073D5F"/>
    <w:rsid w:val="792719BF"/>
    <w:rsid w:val="7C4E04D0"/>
    <w:rsid w:val="7C6A432F"/>
    <w:rsid w:val="7CCB5AB4"/>
    <w:rsid w:val="7D754B70"/>
    <w:rsid w:val="7EBF2607"/>
    <w:rsid w:val="7F603E44"/>
    <w:rsid w:val="7FA31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6"/>
    <w:qFormat/>
    <w:uiPriority w:val="0"/>
    <w:pPr>
      <w:tabs>
        <w:tab w:val="left" w:pos="851"/>
      </w:tabs>
      <w:autoSpaceDE w:val="0"/>
      <w:autoSpaceDN w:val="0"/>
      <w:adjustRightInd w:val="0"/>
      <w:snapToGrid w:val="0"/>
      <w:spacing w:line="360" w:lineRule="auto"/>
      <w:outlineLvl w:val="2"/>
    </w:pPr>
    <w:rPr>
      <w:rFonts w:ascii="宋体" w:cs="宋体"/>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6">
    <w:name w:val="Normal Indent"/>
    <w:basedOn w:val="1"/>
    <w:qFormat/>
    <w:uiPriority w:val="0"/>
    <w:pPr>
      <w:ind w:firstLine="420"/>
    </w:pPr>
    <w:rPr>
      <w:rFonts w:ascii="宋体" w:hAnsi="宋体"/>
      <w:kern w:val="0"/>
      <w:sz w:val="20"/>
      <w:szCs w:val="20"/>
    </w:rPr>
  </w:style>
  <w:style w:type="paragraph" w:styleId="7">
    <w:name w:val="List 3"/>
    <w:basedOn w:val="1"/>
    <w:qFormat/>
    <w:uiPriority w:val="0"/>
    <w:pPr>
      <w:ind w:left="1260" w:hanging="420"/>
    </w:pPr>
    <w:rPr>
      <w:rFonts w:ascii="Times New Roman" w:hAnsi="Times New Roman"/>
      <w:szCs w:val="20"/>
    </w:rPr>
  </w:style>
  <w:style w:type="paragraph" w:styleId="8">
    <w:name w:val="annotation text"/>
    <w:basedOn w:val="1"/>
    <w:qFormat/>
    <w:uiPriority w:val="0"/>
    <w:pPr>
      <w:jc w:val="left"/>
    </w:pPr>
  </w:style>
  <w:style w:type="paragraph" w:styleId="9">
    <w:name w:val="Body Text"/>
    <w:basedOn w:val="1"/>
    <w:qFormat/>
    <w:uiPriority w:val="0"/>
    <w:pPr>
      <w:spacing w:after="120"/>
    </w:pPr>
    <w:rPr>
      <w:szCs w:val="24"/>
    </w:rPr>
  </w:style>
  <w:style w:type="paragraph" w:styleId="10">
    <w:name w:val="Plain Text"/>
    <w:basedOn w:val="1"/>
    <w:qFormat/>
    <w:uiPriority w:val="0"/>
    <w:rPr>
      <w:rFonts w:ascii="宋体" w:hAnsi="Courier New"/>
      <w:kern w:val="0"/>
      <w:sz w:val="20"/>
      <w:szCs w:val="20"/>
    </w:rPr>
  </w:style>
  <w:style w:type="paragraph" w:styleId="11">
    <w:name w:val="Body Text Indent 2"/>
    <w:basedOn w:val="1"/>
    <w:qFormat/>
    <w:uiPriority w:val="0"/>
    <w:pPr>
      <w:spacing w:after="120" w:line="480" w:lineRule="auto"/>
      <w:ind w:left="420" w:leftChars="200"/>
    </w:pPr>
    <w:rPr>
      <w:szCs w:val="24"/>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rPr>
      <w:rFonts w:ascii="Times New Roman" w:hAnsi="Times New Roman"/>
      <w:szCs w:val="24"/>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7">
    <w:name w:val="Table Grid"/>
    <w:basedOn w:val="16"/>
    <w:unhideWhenUsed/>
    <w:qFormat/>
    <w:uiPriority w:val="99"/>
    <w:pPr>
      <w:widowControl w:val="0"/>
      <w:jc w:val="both"/>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bCs/>
    </w:rPr>
  </w:style>
  <w:style w:type="character" w:styleId="20">
    <w:name w:val="page number"/>
    <w:basedOn w:val="18"/>
    <w:qFormat/>
    <w:uiPriority w:val="0"/>
  </w:style>
  <w:style w:type="character" w:styleId="21">
    <w:name w:val="Hyperlink"/>
    <w:basedOn w:val="18"/>
    <w:qFormat/>
    <w:uiPriority w:val="0"/>
    <w:rPr>
      <w:color w:val="0000FF"/>
      <w:u w:val="single"/>
    </w:rPr>
  </w:style>
  <w:style w:type="character" w:styleId="22">
    <w:name w:val="annotation reference"/>
    <w:basedOn w:val="18"/>
    <w:qFormat/>
    <w:uiPriority w:val="0"/>
    <w:rPr>
      <w:sz w:val="21"/>
      <w:szCs w:val="21"/>
    </w:rPr>
  </w:style>
  <w:style w:type="paragraph" w:customStyle="1" w:styleId="23">
    <w:name w:val="Char Char Char Char Char Char"/>
    <w:basedOn w:val="1"/>
    <w:qFormat/>
    <w:uiPriority w:val="0"/>
    <w:rPr>
      <w:rFonts w:ascii="Times New Roman" w:hAnsi="Times New Roman"/>
      <w:szCs w:val="24"/>
    </w:rPr>
  </w:style>
  <w:style w:type="paragraph" w:customStyle="1" w:styleId="24">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5">
    <w:name w:val="正文+宋体"/>
    <w:basedOn w:val="15"/>
    <w:qFormat/>
    <w:uiPriority w:val="0"/>
    <w:pPr>
      <w:shd w:val="clear" w:color="auto" w:fill="FFFFFF"/>
      <w:spacing w:before="0" w:beforeAutospacing="0" w:after="0" w:afterAutospacing="0"/>
      <w:ind w:firstLine="480" w:firstLineChars="200"/>
    </w:pPr>
    <w:rPr>
      <w:kern w:val="2"/>
    </w:rPr>
  </w:style>
  <w:style w:type="paragraph" w:customStyle="1" w:styleId="26">
    <w:name w:val="Char Char Char Char Char Char Char"/>
    <w:basedOn w:val="1"/>
    <w:qFormat/>
    <w:uiPriority w:val="0"/>
    <w:rPr>
      <w:rFonts w:ascii="Times New Roman" w:hAnsi="Times New Roman"/>
      <w:szCs w:val="24"/>
    </w:rPr>
  </w:style>
  <w:style w:type="paragraph" w:customStyle="1" w:styleId="27">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28">
    <w:name w:val="样式3"/>
    <w:basedOn w:val="10"/>
    <w:qFormat/>
    <w:uiPriority w:val="0"/>
    <w:pPr>
      <w:spacing w:line="0" w:lineRule="atLeast"/>
      <w:outlineLvl w:val="0"/>
    </w:pPr>
    <w:rPr>
      <w:sz w:val="28"/>
    </w:rPr>
  </w:style>
  <w:style w:type="paragraph" w:customStyle="1" w:styleId="29">
    <w:name w:val="p0"/>
    <w:basedOn w:val="1"/>
    <w:qFormat/>
    <w:uiPriority w:val="0"/>
    <w:pPr>
      <w:widowControl/>
    </w:pPr>
    <w:rPr>
      <w:kern w:val="0"/>
      <w:szCs w:val="21"/>
    </w:rPr>
  </w:style>
  <w:style w:type="paragraph" w:customStyle="1" w:styleId="30">
    <w:name w:val="Normal_22"/>
    <w:qFormat/>
    <w:uiPriority w:val="0"/>
    <w:rPr>
      <w:rFonts w:ascii="Times New Roman" w:hAnsi="Times New Roman" w:eastAsia="宋体" w:cs="Times New Roman"/>
      <w:sz w:val="21"/>
      <w:lang w:val="en-US" w:eastAsia="zh-CN" w:bidi="ar-SA"/>
    </w:rPr>
  </w:style>
  <w:style w:type="paragraph" w:customStyle="1" w:styleId="31">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列出段落1"/>
    <w:basedOn w:val="1"/>
    <w:qFormat/>
    <w:uiPriority w:val="0"/>
    <w:pPr>
      <w:ind w:firstLine="420" w:firstLineChars="200"/>
    </w:pPr>
  </w:style>
  <w:style w:type="character" w:customStyle="1" w:styleId="33">
    <w:name w:val="font11"/>
    <w:basedOn w:val="18"/>
    <w:qFormat/>
    <w:uiPriority w:val="0"/>
    <w:rPr>
      <w:rFonts w:hint="eastAsia" w:ascii="宋体" w:hAnsi="宋体" w:eastAsia="宋体" w:cs="宋体"/>
      <w:color w:val="000000"/>
      <w:sz w:val="24"/>
      <w:szCs w:val="24"/>
      <w:u w:val="none"/>
    </w:rPr>
  </w:style>
  <w:style w:type="paragraph" w:customStyle="1" w:styleId="34">
    <w:name w:val="正文1"/>
    <w:basedOn w:val="1"/>
    <w:qFormat/>
    <w:uiPriority w:val="0"/>
    <w:pPr>
      <w:tabs>
        <w:tab w:val="left" w:pos="1800"/>
      </w:tabs>
      <w:spacing w:line="360" w:lineRule="auto"/>
      <w:jc w:val="left"/>
    </w:pPr>
    <w:rPr>
      <w:rFonts w:ascii="宋体" w:hAnsi="宋体" w:eastAsia="宋体" w:cs="Arial"/>
      <w:sz w:val="24"/>
    </w:rPr>
  </w:style>
  <w:style w:type="character" w:customStyle="1" w:styleId="35">
    <w:name w:val="font71"/>
    <w:basedOn w:val="18"/>
    <w:qFormat/>
    <w:uiPriority w:val="0"/>
    <w:rPr>
      <w:rFonts w:hint="default" w:ascii="Arial" w:hAnsi="Arial" w:cs="Arial"/>
      <w:color w:val="000000"/>
      <w:sz w:val="16"/>
      <w:szCs w:val="16"/>
      <w:u w:val="none"/>
    </w:rPr>
  </w:style>
  <w:style w:type="character" w:customStyle="1" w:styleId="36">
    <w:name w:val="font31"/>
    <w:basedOn w:val="18"/>
    <w:qFormat/>
    <w:uiPriority w:val="0"/>
    <w:rPr>
      <w:rFonts w:hint="eastAsia" w:ascii="宋体" w:hAnsi="宋体" w:eastAsia="宋体" w:cs="宋体"/>
      <w:color w:val="000000"/>
      <w:sz w:val="16"/>
      <w:szCs w:val="16"/>
      <w:u w:val="none"/>
    </w:rPr>
  </w:style>
  <w:style w:type="character" w:customStyle="1" w:styleId="37">
    <w:name w:val="font112"/>
    <w:basedOn w:val="18"/>
    <w:qFormat/>
    <w:uiPriority w:val="0"/>
    <w:rPr>
      <w:rFonts w:hint="eastAsia" w:ascii="微软雅黑" w:hAnsi="微软雅黑" w:eastAsia="微软雅黑" w:cs="微软雅黑"/>
      <w:color w:val="FF0000"/>
      <w:sz w:val="18"/>
      <w:szCs w:val="18"/>
      <w:u w:val="none"/>
    </w:rPr>
  </w:style>
  <w:style w:type="character" w:customStyle="1" w:styleId="38">
    <w:name w:val="font01"/>
    <w:basedOn w:val="18"/>
    <w:qFormat/>
    <w:uiPriority w:val="0"/>
    <w:rPr>
      <w:rFonts w:ascii="宋体" w:hAnsi="宋体" w:eastAsia="宋体" w:cs="宋体"/>
      <w:color w:val="FF0000"/>
      <w:sz w:val="20"/>
      <w:szCs w:val="20"/>
      <w:u w:val="none"/>
    </w:rPr>
  </w:style>
  <w:style w:type="character" w:customStyle="1" w:styleId="39">
    <w:name w:val="font81"/>
    <w:basedOn w:val="18"/>
    <w:qFormat/>
    <w:uiPriority w:val="0"/>
    <w:rPr>
      <w:rFonts w:ascii="宋体" w:hAnsi="宋体" w:eastAsia="宋体" w:cs="宋体"/>
      <w:color w:val="000000"/>
      <w:sz w:val="20"/>
      <w:szCs w:val="20"/>
      <w:u w:val="none"/>
    </w:rPr>
  </w:style>
  <w:style w:type="character" w:customStyle="1" w:styleId="40">
    <w:name w:val="font51"/>
    <w:basedOn w:val="18"/>
    <w:qFormat/>
    <w:uiPriority w:val="0"/>
    <w:rPr>
      <w:rFonts w:ascii="宋体" w:hAnsi="宋体" w:eastAsia="宋体" w:cs="宋体"/>
      <w:color w:val="000000"/>
      <w:sz w:val="20"/>
      <w:szCs w:val="20"/>
      <w:u w:val="none"/>
    </w:rPr>
  </w:style>
  <w:style w:type="character" w:customStyle="1" w:styleId="41">
    <w:name w:val="font21"/>
    <w:basedOn w:val="18"/>
    <w:qFormat/>
    <w:uiPriority w:val="0"/>
    <w:rPr>
      <w:rFonts w:ascii="楷体" w:hAnsi="楷体" w:eastAsia="楷体" w:cs="楷体"/>
      <w:color w:val="000000"/>
      <w:sz w:val="32"/>
      <w:szCs w:val="32"/>
      <w:u w:val="none"/>
      <w:vertAlign w:val="superscript"/>
    </w:rPr>
  </w:style>
  <w:style w:type="character" w:customStyle="1" w:styleId="42">
    <w:name w:val="font61"/>
    <w:basedOn w:val="18"/>
    <w:qFormat/>
    <w:uiPriority w:val="0"/>
    <w:rPr>
      <w:rFonts w:hint="eastAsia" w:ascii="宋体" w:hAnsi="宋体" w:eastAsia="宋体" w:cs="宋体"/>
      <w:color w:val="000000"/>
      <w:sz w:val="20"/>
      <w:szCs w:val="20"/>
      <w:u w:val="none"/>
    </w:rPr>
  </w:style>
  <w:style w:type="paragraph" w:customStyle="1" w:styleId="43">
    <w:name w:val="Table Paragraph"/>
    <w:basedOn w:val="1"/>
    <w:qFormat/>
    <w:uiPriority w:val="1"/>
    <w:pPr>
      <w:ind w:left="103"/>
    </w:pPr>
  </w:style>
  <w:style w:type="paragraph" w:styleId="44">
    <w:name w:val="List Paragraph"/>
    <w:basedOn w:val="1"/>
    <w:qFormat/>
    <w:uiPriority w:val="34"/>
    <w:pPr>
      <w:ind w:firstLine="420" w:firstLineChars="200"/>
    </w:pPr>
  </w:style>
  <w:style w:type="paragraph" w:styleId="4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26067</Words>
  <Characters>27632</Characters>
  <Lines>219</Lines>
  <Paragraphs>61</Paragraphs>
  <TotalTime>5</TotalTime>
  <ScaleCrop>false</ScaleCrop>
  <LinksUpToDate>false</LinksUpToDate>
  <CharactersWithSpaces>28719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NTKO</cp:lastModifiedBy>
  <cp:lastPrinted>2020-08-07T02:01:00Z</cp:lastPrinted>
  <dcterms:modified xsi:type="dcterms:W3CDTF">2020-08-12T03:58:42Z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