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p>
    <w:p>
      <w:pPr>
        <w:pStyle w:val="13"/>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13"/>
        <w:spacing w:line="700" w:lineRule="exact"/>
        <w:jc w:val="center"/>
        <w:rPr>
          <w:rFonts w:ascii="黑体" w:hAnsi="黑体" w:eastAsia="黑体"/>
          <w:b/>
          <w:color w:val="000000" w:themeColor="text1"/>
          <w:spacing w:val="-4"/>
          <w:sz w:val="44"/>
          <w:szCs w:val="44"/>
          <w14:textFill>
            <w14:solidFill>
              <w14:schemeClr w14:val="tx1"/>
            </w14:solidFill>
          </w14:textFill>
        </w:rPr>
      </w:pPr>
    </w:p>
    <w:p>
      <w:pPr>
        <w:pStyle w:val="13"/>
        <w:spacing w:line="700" w:lineRule="exact"/>
        <w:rPr>
          <w:rFonts w:ascii="黑体" w:hAnsi="黑体" w:eastAsia="黑体"/>
          <w:b/>
          <w:color w:val="000000" w:themeColor="text1"/>
          <w:spacing w:val="-4"/>
          <w:sz w:val="44"/>
          <w:szCs w:val="44"/>
          <w14:textFill>
            <w14:solidFill>
              <w14:schemeClr w14:val="tx1"/>
            </w14:solidFill>
          </w14:textFill>
        </w:rPr>
      </w:pPr>
    </w:p>
    <w:p>
      <w:pPr>
        <w:pStyle w:val="13"/>
        <w:spacing w:line="700" w:lineRule="exact"/>
        <w:rPr>
          <w:rFonts w:ascii="黑体" w:hAnsi="黑体" w:eastAsia="黑体"/>
          <w:b/>
          <w:color w:val="000000" w:themeColor="text1"/>
          <w:spacing w:val="-4"/>
          <w:sz w:val="36"/>
          <w:szCs w:val="36"/>
          <w14:textFill>
            <w14:solidFill>
              <w14:schemeClr w14:val="tx1"/>
            </w14:solidFill>
          </w14:textFill>
        </w:rPr>
      </w:pPr>
    </w:p>
    <w:p>
      <w:pPr>
        <w:pStyle w:val="13"/>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招</w:t>
      </w:r>
    </w:p>
    <w:p>
      <w:pPr>
        <w:pStyle w:val="13"/>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标</w:t>
      </w:r>
    </w:p>
    <w:p>
      <w:pPr>
        <w:pStyle w:val="13"/>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文</w:t>
      </w:r>
    </w:p>
    <w:p>
      <w:pPr>
        <w:pStyle w:val="13"/>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件</w:t>
      </w:r>
    </w:p>
    <w:p>
      <w:pPr>
        <w:pStyle w:val="13"/>
        <w:spacing w:line="360" w:lineRule="auto"/>
        <w:ind w:firstLine="1265" w:firstLineChars="45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3"/>
        <w:spacing w:line="360" w:lineRule="auto"/>
        <w:ind w:firstLine="1265" w:firstLineChars="450"/>
        <w:rPr>
          <w:rFonts w:ascii="黑体" w:hAnsi="黑体" w:eastAsia="黑体"/>
          <w:b/>
          <w:color w:val="000000" w:themeColor="text1"/>
          <w:sz w:val="28"/>
          <w:szCs w:val="28"/>
          <w14:textFill>
            <w14:solidFill>
              <w14:schemeClr w14:val="tx1"/>
            </w14:solidFill>
          </w14:textFill>
        </w:rPr>
      </w:pPr>
    </w:p>
    <w:p>
      <w:pPr>
        <w:pStyle w:val="13"/>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3"/>
        <w:spacing w:line="560" w:lineRule="exact"/>
        <w:ind w:firstLine="694" w:firstLineChars="247"/>
        <w:rPr>
          <w:rFonts w:hint="eastAsia" w:ascii="黑体" w:hAnsi="黑体" w:eastAsia="黑体"/>
          <w:b/>
          <w:bCs/>
          <w:color w:val="000000" w:themeColor="text1"/>
          <w:sz w:val="28"/>
          <w:szCs w:val="28"/>
          <w:lang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招标项目：</w:t>
      </w:r>
      <w:bookmarkStart w:id="57" w:name="_GoBack"/>
      <w:bookmarkEnd w:id="57"/>
      <w:r>
        <w:rPr>
          <w:rFonts w:hint="eastAsia" w:ascii="黑体" w:hAnsi="黑体" w:eastAsia="黑体"/>
          <w:b/>
          <w:bCs/>
          <w:color w:val="000000" w:themeColor="text1"/>
          <w:sz w:val="28"/>
          <w:szCs w:val="28"/>
          <w:lang w:eastAsia="zh-CN"/>
          <w14:textFill>
            <w14:solidFill>
              <w14:schemeClr w14:val="tx1"/>
            </w14:solidFill>
          </w14:textFill>
        </w:rPr>
        <w:t>铜仁市碧江区疾病预防控制中心饮水监测实验室设备、核酸实验室建设及疫苗冷链运转设备采购及安装项目</w:t>
      </w:r>
    </w:p>
    <w:p>
      <w:pPr>
        <w:pStyle w:val="13"/>
        <w:spacing w:line="560" w:lineRule="exact"/>
        <w:rPr>
          <w:rFonts w:hint="default" w:ascii="黑体" w:hAnsi="黑体" w:eastAsia="黑体"/>
          <w:color w:val="000000" w:themeColor="text1"/>
          <w:sz w:val="28"/>
          <w:szCs w:val="28"/>
          <w:lang w:val="en-US"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招标编号：</w:t>
      </w:r>
      <w:r>
        <w:rPr>
          <w:rFonts w:hint="eastAsia" w:ascii="黑体" w:hAnsi="黑体" w:eastAsia="黑体"/>
          <w:color w:val="000000" w:themeColor="text1"/>
          <w:sz w:val="28"/>
          <w:szCs w:val="28"/>
          <w14:textFill>
            <w14:solidFill>
              <w14:schemeClr w14:val="tx1"/>
            </w14:solidFill>
          </w14:textFill>
        </w:rPr>
        <w:t>TRZFCG-</w:t>
      </w:r>
      <w:r>
        <w:rPr>
          <w:rFonts w:hint="eastAsia" w:ascii="黑体" w:hAnsi="黑体" w:eastAsia="黑体"/>
          <w:color w:val="000000" w:themeColor="text1"/>
          <w:sz w:val="28"/>
          <w:szCs w:val="28"/>
          <w:lang w:eastAsia="zh-CN"/>
          <w14:textFill>
            <w14:solidFill>
              <w14:schemeClr w14:val="tx1"/>
            </w14:solidFill>
          </w14:textFill>
        </w:rPr>
        <w:t>2020-089</w:t>
      </w:r>
    </w:p>
    <w:p>
      <w:pPr>
        <w:pStyle w:val="13"/>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招标方式：公开招标  </w:t>
      </w:r>
    </w:p>
    <w:p>
      <w:pPr>
        <w:pStyle w:val="13"/>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项目类别：</w:t>
      </w:r>
      <w:r>
        <w:rPr>
          <w:rFonts w:hint="eastAsia" w:ascii="黑体" w:hAnsi="黑体" w:eastAsia="黑体"/>
          <w:b/>
          <w:color w:val="000000" w:themeColor="text1"/>
          <w:sz w:val="28"/>
          <w:szCs w:val="28"/>
          <w:lang w:eastAsia="zh-CN"/>
          <w14:textFill>
            <w14:solidFill>
              <w14:schemeClr w14:val="tx1"/>
            </w14:solidFill>
          </w14:textFill>
        </w:rPr>
        <w:t>货物</w:t>
      </w:r>
      <w:r>
        <w:rPr>
          <w:rFonts w:hint="eastAsia" w:ascii="黑体" w:hAnsi="黑体" w:eastAsia="黑体"/>
          <w:b/>
          <w:color w:val="000000" w:themeColor="text1"/>
          <w:sz w:val="28"/>
          <w:szCs w:val="28"/>
          <w14:textFill>
            <w14:solidFill>
              <w14:schemeClr w14:val="tx1"/>
            </w14:solidFill>
          </w14:textFill>
        </w:rPr>
        <w:t>类</w:t>
      </w:r>
    </w:p>
    <w:p>
      <w:pPr>
        <w:pStyle w:val="13"/>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3"/>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7"/>
        <w:ind w:firstLine="0"/>
        <w:jc w:val="center"/>
        <w:rPr>
          <w:rFonts w:hAnsi="宋体"/>
          <w:b/>
          <w:bCs/>
          <w:color w:val="000000" w:themeColor="text1"/>
          <w:sz w:val="32"/>
          <w14:textFill>
            <w14:solidFill>
              <w14:schemeClr w14:val="tx1"/>
            </w14:solidFill>
          </w14:textFill>
        </w:rPr>
      </w:pPr>
      <w:r>
        <w:rPr>
          <w:rFonts w:hint="eastAsia" w:ascii="黑体" w:hAnsi="黑体" w:eastAsia="黑体" w:cs="Arial"/>
          <w:b/>
          <w:bCs/>
          <w:color w:val="000000" w:themeColor="text1"/>
          <w:sz w:val="28"/>
          <w:szCs w:val="28"/>
          <w14:textFill>
            <w14:solidFill>
              <w14:schemeClr w14:val="tx1"/>
            </w14:solidFill>
          </w14:textFill>
        </w:rPr>
        <w:t>铜仁市公共资源交易中心编制</w:t>
      </w:r>
    </w:p>
    <w:p>
      <w:pPr>
        <w:pStyle w:val="13"/>
        <w:jc w:val="center"/>
        <w:outlineLvl w:val="0"/>
        <w:rPr>
          <w:rFonts w:hAnsi="宋体"/>
          <w:b/>
          <w:bCs/>
          <w:color w:val="000000" w:themeColor="text1"/>
          <w:sz w:val="36"/>
          <w:szCs w:val="36"/>
          <w14:textFill>
            <w14:solidFill>
              <w14:schemeClr w14:val="tx1"/>
            </w14:solidFill>
          </w14:textFill>
        </w:rPr>
        <w:sectPr>
          <w:headerReference r:id="rId3" w:type="default"/>
          <w:footerReference r:id="rId4" w:type="default"/>
          <w:pgSz w:w="11907" w:h="16840"/>
          <w:pgMar w:top="1440" w:right="1800" w:bottom="1440" w:left="1800" w:header="850" w:footer="1077" w:gutter="0"/>
          <w:pgNumType w:start="1"/>
          <w:cols w:space="720" w:num="1"/>
          <w:docGrid w:linePitch="286" w:charSpace="0"/>
        </w:sectPr>
      </w:pPr>
    </w:p>
    <w:p>
      <w:pPr>
        <w:pStyle w:val="13"/>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7"/>
        <w:snapToGrid w:val="0"/>
        <w:spacing w:line="420" w:lineRule="atLeast"/>
        <w:ind w:firstLine="0"/>
        <w:rPr>
          <w:rFonts w:ascii="宋体" w:hAnsi="宋体"/>
          <w:color w:val="000000" w:themeColor="text1"/>
          <w:sz w:val="28"/>
          <w14:textFill>
            <w14:solidFill>
              <w14:schemeClr w14:val="tx1"/>
            </w14:solidFill>
          </w14:textFill>
        </w:rPr>
      </w:pPr>
    </w:p>
    <w:p>
      <w:pPr>
        <w:pStyle w:val="7"/>
        <w:numPr>
          <w:ilvl w:val="0"/>
          <w:numId w:val="3"/>
        </w:numPr>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招标公告</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第二章   投标人须知  </w:t>
      </w:r>
    </w:p>
    <w:p>
      <w:pPr>
        <w:spacing w:line="440" w:lineRule="exact"/>
        <w:ind w:firstLine="1205" w:firstLineChars="500"/>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 xml:space="preserve">投标人须知前附表 1、2、3、4、5 </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第三章   </w:t>
      </w:r>
      <w:r>
        <w:rPr>
          <w:rFonts w:hint="eastAsia" w:asciiTheme="minorEastAsia" w:hAnsiTheme="minorEastAsia"/>
          <w:b/>
          <w:bCs/>
          <w:color w:val="000000" w:themeColor="text1"/>
          <w:sz w:val="24"/>
          <w14:textFill>
            <w14:solidFill>
              <w14:schemeClr w14:val="tx1"/>
            </w14:solidFill>
          </w14:textFill>
        </w:rPr>
        <w:t>投标人须知正文部分</w:t>
      </w:r>
      <w:r>
        <w:rPr>
          <w:rFonts w:hint="eastAsia" w:ascii="宋体" w:hAnsi="宋体"/>
          <w:b/>
          <w:bCs/>
          <w:color w:val="000000" w:themeColor="text1"/>
          <w:sz w:val="24"/>
          <w14:textFill>
            <w14:solidFill>
              <w14:schemeClr w14:val="tx1"/>
            </w14:solidFill>
          </w14:textFill>
        </w:rPr>
        <w:t xml:space="preserve">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一.说明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二.招标文件</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三.投标文件的编写</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四.投标文件的提交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五.投标文件的评估和比较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六.定标和签订合同 </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第四章    采购人需求 </w:t>
      </w:r>
    </w:p>
    <w:p>
      <w:pPr>
        <w:pStyle w:val="7"/>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第五章    铜仁市市级政府采购合同 </w:t>
      </w:r>
    </w:p>
    <w:p>
      <w:pPr>
        <w:pStyle w:val="7"/>
        <w:snapToGrid w:val="0"/>
        <w:spacing w:line="420" w:lineRule="atLeast"/>
        <w:ind w:firstLine="0"/>
        <w:rPr>
          <w:rFonts w:hAnsi="宋体"/>
          <w:b/>
          <w:color w:val="000000" w:themeColor="text1"/>
          <w:sz w:val="36"/>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第六章    投标文件格式 </w:t>
      </w:r>
    </w:p>
    <w:p>
      <w:pPr>
        <w:pStyle w:val="32"/>
        <w:jc w:val="center"/>
        <w:outlineLvl w:val="0"/>
        <w:rPr>
          <w:rFonts w:hAnsi="宋体"/>
          <w:b/>
          <w:color w:val="000000" w:themeColor="text1"/>
          <w:sz w:val="36"/>
          <w14:textFill>
            <w14:solidFill>
              <w14:schemeClr w14:val="tx1"/>
            </w14:solidFill>
          </w14:textFill>
        </w:rPr>
        <w:sectPr>
          <w:pgSz w:w="11907" w:h="16840"/>
          <w:pgMar w:top="1440" w:right="1800" w:bottom="1440" w:left="1800" w:header="850" w:footer="737" w:gutter="0"/>
          <w:pgNumType w:start="1"/>
          <w:cols w:space="720" w:num="1"/>
          <w:docGrid w:linePitch="286" w:charSpace="0"/>
        </w:sectPr>
      </w:pPr>
    </w:p>
    <w:p>
      <w:pPr>
        <w:pStyle w:val="32"/>
        <w:jc w:val="center"/>
        <w:outlineLvl w:val="0"/>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spacing w:line="560" w:lineRule="exact"/>
        <w:ind w:firstLine="600" w:firstLineChars="250"/>
        <w:rPr>
          <w:rFonts w:asciiTheme="minorEastAsia" w:hAnsiTheme="minorEastAsia"/>
          <w:sz w:val="24"/>
        </w:rPr>
      </w:pPr>
      <w:r>
        <w:rPr>
          <w:rFonts w:hint="eastAsia" w:asciiTheme="minorEastAsia" w:hAnsiTheme="minorEastAsia"/>
          <w:sz w:val="24"/>
        </w:rPr>
        <w:t>受采购人</w:t>
      </w:r>
      <w:r>
        <w:rPr>
          <w:rFonts w:hint="eastAsia" w:asciiTheme="minorEastAsia" w:hAnsiTheme="minorEastAsia"/>
          <w:b/>
          <w:bCs/>
          <w:sz w:val="24"/>
          <w:lang w:eastAsia="zh-CN"/>
        </w:rPr>
        <w:t>铜仁市碧江区疾病预防控制中心</w:t>
      </w:r>
      <w:r>
        <w:rPr>
          <w:rFonts w:hint="eastAsia" w:asciiTheme="minorEastAsia" w:hAnsiTheme="minorEastAsia"/>
          <w:sz w:val="24"/>
        </w:rPr>
        <w:t>委托，</w:t>
      </w:r>
      <w:r>
        <w:rPr>
          <w:rFonts w:hint="eastAsia" w:ascii="宋体" w:hAnsi="宋体" w:cs="宋体"/>
          <w:b/>
          <w:bCs/>
          <w:color w:val="000000"/>
          <w:sz w:val="24"/>
          <w:shd w:val="clear" w:color="auto" w:fill="FFFFFF"/>
        </w:rPr>
        <w:t>铜仁市公共资源交易中心</w:t>
      </w:r>
      <w:r>
        <w:rPr>
          <w:rFonts w:hint="eastAsia" w:asciiTheme="minorEastAsia" w:hAnsiTheme="minorEastAsia"/>
          <w:sz w:val="24"/>
        </w:rPr>
        <w:t>对</w:t>
      </w:r>
      <w:r>
        <w:rPr>
          <w:rFonts w:hint="eastAsia" w:asciiTheme="minorEastAsia" w:hAnsiTheme="minorEastAsia"/>
          <w:b/>
          <w:bCs/>
          <w:sz w:val="24"/>
          <w:lang w:eastAsia="zh-CN"/>
        </w:rPr>
        <w:t>铜仁市碧江区疾病预防控制中心饮水监测实验室设备、核酸实验室建设及疫苗冷链运转设备采购及安装项目</w:t>
      </w:r>
      <w:r>
        <w:rPr>
          <w:rFonts w:hint="eastAsia" w:asciiTheme="minorEastAsia" w:hAnsiTheme="minorEastAsia"/>
          <w:sz w:val="24"/>
        </w:rPr>
        <w:t>进行国内公开招标，现欢迎国内合格的投标人前来提交密封</w:t>
      </w:r>
      <w:r>
        <w:rPr>
          <w:rFonts w:hint="eastAsia" w:asciiTheme="minorEastAsia" w:hAnsiTheme="minorEastAsia"/>
          <w:sz w:val="24"/>
          <w:lang w:eastAsia="zh-CN"/>
        </w:rPr>
        <w:t>投标文件</w:t>
      </w:r>
      <w:r>
        <w:rPr>
          <w:rFonts w:hint="eastAsia" w:asciiTheme="minorEastAsia" w:hAnsiTheme="minorEastAsia"/>
          <w:sz w:val="24"/>
        </w:rPr>
        <w:t>投标。</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1.项目名称：</w:t>
      </w:r>
      <w:r>
        <w:rPr>
          <w:rFonts w:hint="eastAsia" w:asciiTheme="minorEastAsia" w:hAnsiTheme="minorEastAsia"/>
          <w:sz w:val="24"/>
          <w:lang w:eastAsia="zh-CN"/>
        </w:rPr>
        <w:t>铜仁市碧江区疾病预防控制中心饮水监测实验室设备、核酸实验室建设及疫苗冷链运转设备采购及安装项目</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2.项目编号：</w:t>
      </w:r>
      <w:r>
        <w:rPr>
          <w:rFonts w:hint="eastAsia" w:asciiTheme="minorEastAsia" w:hAnsiTheme="minorEastAsia"/>
          <w:sz w:val="24"/>
          <w:lang w:eastAsia="zh-CN"/>
        </w:rPr>
        <w:t>TRZFCG-2020-089</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3.项目序列号：</w:t>
      </w:r>
      <w:r>
        <w:rPr>
          <w:rFonts w:hint="eastAsia" w:asciiTheme="minorEastAsia" w:hAnsiTheme="minorEastAsia"/>
          <w:sz w:val="24"/>
          <w:lang w:eastAsia="zh-CN"/>
        </w:rPr>
        <w:t>TRZFCG-2020-089</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4.项目联系人：</w:t>
      </w:r>
      <w:r>
        <w:rPr>
          <w:rFonts w:hint="eastAsia" w:asciiTheme="minorEastAsia" w:hAnsiTheme="minorEastAsia"/>
          <w:sz w:val="24"/>
          <w:lang w:eastAsia="zh-CN"/>
        </w:rPr>
        <w:t>张琰</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5.项目联系电话：</w:t>
      </w:r>
      <w:r>
        <w:rPr>
          <w:rFonts w:hint="eastAsia" w:asciiTheme="minorEastAsia" w:hAnsiTheme="minorEastAsia"/>
          <w:sz w:val="24"/>
          <w:lang w:val="en-US" w:eastAsia="zh-CN"/>
        </w:rPr>
        <w:t>0856-3912922</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560" w:lineRule="exact"/>
        <w:rPr>
          <w:rFonts w:hint="eastAsia" w:cs="宋体" w:asciiTheme="minorEastAsia" w:hAnsiTheme="minorEastAsia"/>
          <w:sz w:val="24"/>
          <w:shd w:val="clear" w:color="auto" w:fill="FFFFFF"/>
        </w:rPr>
      </w:pPr>
      <w:r>
        <w:rPr>
          <w:rFonts w:hint="eastAsia" w:cs="宋体" w:asciiTheme="minorEastAsia" w:hAnsiTheme="minorEastAsia"/>
          <w:sz w:val="24"/>
          <w:shd w:val="clear" w:color="auto" w:fill="FFFFFF"/>
        </w:rPr>
        <w:t>（1）采购主要内容：</w:t>
      </w:r>
      <w:r>
        <w:rPr>
          <w:rFonts w:hint="eastAsia" w:asciiTheme="minorEastAsia" w:hAnsiTheme="minorEastAsia"/>
          <w:sz w:val="24"/>
        </w:rPr>
        <w:t>饮水监测实验室设备/核酸实验室建设及疫苗冷链运转设备</w:t>
      </w:r>
    </w:p>
    <w:p>
      <w:pPr>
        <w:spacing w:line="560" w:lineRule="exact"/>
        <w:jc w:val="left"/>
        <w:rPr>
          <w:rFonts w:asciiTheme="minorEastAsia" w:hAnsiTheme="minorEastAsia"/>
          <w:b/>
          <w:sz w:val="24"/>
        </w:rPr>
      </w:pPr>
      <w:r>
        <w:rPr>
          <w:rFonts w:hint="eastAsia" w:asciiTheme="minorEastAsia" w:hAnsiTheme="minorEastAsia"/>
          <w:sz w:val="24"/>
        </w:rPr>
        <w:t>（2）采购数量：一批</w:t>
      </w:r>
    </w:p>
    <w:p>
      <w:pPr>
        <w:spacing w:line="560" w:lineRule="exact"/>
        <w:jc w:val="left"/>
        <w:rPr>
          <w:rFonts w:asciiTheme="minorEastAsia" w:hAnsiTheme="minorEastAsia"/>
          <w:sz w:val="24"/>
        </w:rPr>
      </w:pPr>
      <w:r>
        <w:rPr>
          <w:rFonts w:hint="eastAsia" w:asciiTheme="minorEastAsia" w:hAnsiTheme="minorEastAsia"/>
          <w:sz w:val="24"/>
        </w:rPr>
        <w:t>（3）采购预算：</w:t>
      </w:r>
      <w:r>
        <w:rPr>
          <w:rFonts w:hint="eastAsia" w:asciiTheme="minorEastAsia" w:hAnsiTheme="minorEastAsia"/>
          <w:b/>
          <w:bCs/>
          <w:sz w:val="24"/>
          <w:lang w:val="en-US" w:eastAsia="zh-CN"/>
        </w:rPr>
        <w:t>7850000</w:t>
      </w:r>
      <w:r>
        <w:rPr>
          <w:rFonts w:hint="eastAsia" w:asciiTheme="minorEastAsia" w:hAnsiTheme="minorEastAsia"/>
          <w:b/>
          <w:bCs/>
          <w:sz w:val="24"/>
        </w:rPr>
        <w:t>.00元（最高限价：</w:t>
      </w:r>
      <w:r>
        <w:rPr>
          <w:rFonts w:hint="eastAsia" w:asciiTheme="minorEastAsia" w:hAnsiTheme="minorEastAsia"/>
          <w:b/>
          <w:bCs/>
          <w:sz w:val="24"/>
          <w:lang w:val="en-US" w:eastAsia="zh-CN"/>
        </w:rPr>
        <w:t>7850</w:t>
      </w:r>
      <w:r>
        <w:rPr>
          <w:rFonts w:hint="eastAsia" w:asciiTheme="minorEastAsia" w:hAnsiTheme="minorEastAsia"/>
          <w:b/>
          <w:bCs/>
          <w:sz w:val="24"/>
        </w:rPr>
        <w:t>000.00元）</w:t>
      </w:r>
    </w:p>
    <w:p>
      <w:pPr>
        <w:spacing w:line="560" w:lineRule="exact"/>
        <w:jc w:val="left"/>
        <w:rPr>
          <w:rFonts w:cs="宋体" w:asciiTheme="minorEastAsia" w:hAnsiTheme="minorEastAsia"/>
          <w:sz w:val="24"/>
          <w:shd w:val="clear" w:color="auto" w:fill="FFFFFF"/>
        </w:rPr>
      </w:pPr>
      <w:r>
        <w:rPr>
          <w:rFonts w:hint="eastAsia" w:asciiTheme="minorEastAsia" w:hAnsiTheme="minorEastAsia"/>
          <w:sz w:val="24"/>
        </w:rPr>
        <w:t>（4）</w:t>
      </w:r>
      <w:r>
        <w:rPr>
          <w:rFonts w:hint="eastAsia" w:cs="宋体" w:asciiTheme="minorEastAsia" w:hAnsiTheme="minorEastAsia"/>
          <w:sz w:val="24"/>
          <w:shd w:val="clear" w:color="auto" w:fill="FFFFFF"/>
        </w:rPr>
        <w:t>简要技术要求、服务和安全要求：详见采购文件</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（5）交货时间或服务时间：详见采购文件</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cs="宋体" w:asciiTheme="minorEastAsia" w:hAnsiTheme="minorEastAsia"/>
          <w:color w:val="FF0000"/>
          <w:sz w:val="24"/>
          <w:u w:val="single"/>
          <w:shd w:val="clear" w:color="auto" w:fill="FFFFFF"/>
        </w:rPr>
        <w:t xml:space="preserve">  采购人  </w:t>
      </w:r>
      <w:r>
        <w:rPr>
          <w:rFonts w:hint="eastAsia" w:cs="宋体" w:asciiTheme="minorEastAsia" w:hAnsiTheme="minorEastAsia"/>
          <w:sz w:val="24"/>
          <w:shd w:val="clear" w:color="auto" w:fill="FFFFFF"/>
        </w:rPr>
        <w:t>指定的地点</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color w:val="FF0000"/>
          <w:sz w:val="24"/>
          <w:shd w:val="clear" w:color="auto" w:fill="FFFFFF"/>
        </w:rPr>
        <w:t>详见招标文件</w:t>
      </w:r>
      <w:r>
        <w:rPr>
          <w:rFonts w:hint="eastAsia" w:cs="宋体" w:asciiTheme="minorEastAsia" w:hAnsiTheme="minorEastAsia"/>
          <w:sz w:val="24"/>
          <w:shd w:val="clear" w:color="auto" w:fill="FFFFFF"/>
        </w:rPr>
        <w:t xml:space="preserve"> </w:t>
      </w:r>
    </w:p>
    <w:p>
      <w:pPr>
        <w:spacing w:line="560" w:lineRule="exact"/>
        <w:rPr>
          <w:rFonts w:asciiTheme="minorEastAsia" w:hAnsiTheme="minorEastAsia"/>
          <w:sz w:val="24"/>
        </w:rPr>
      </w:pPr>
      <w:r>
        <w:rPr>
          <w:rFonts w:hint="eastAsia" w:asciiTheme="minorEastAsia" w:hAnsiTheme="minorEastAsia"/>
          <w:sz w:val="24"/>
        </w:rPr>
        <w:t>8.供应商资格要求：</w:t>
      </w:r>
    </w:p>
    <w:p>
      <w:pPr>
        <w:pStyle w:val="13"/>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（一）符合政府采购法第二十二条规定，提供政府采购法实施条例第十七条规定资料。</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1.</w:t>
      </w:r>
      <w:r>
        <w:rPr>
          <w:rFonts w:hint="eastAsia" w:hAnsi="宋体"/>
          <w:color w:val="000000"/>
          <w:sz w:val="24"/>
          <w:szCs w:val="24"/>
        </w:rPr>
        <w:t>具有独立承担民事责任的能力：提供法人或其他组织的营业执照等证明文件，或自然人身份证明；</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2.</w:t>
      </w:r>
      <w:r>
        <w:rPr>
          <w:rFonts w:hint="eastAsia" w:hAnsi="宋体"/>
          <w:color w:val="000000"/>
          <w:sz w:val="24"/>
          <w:szCs w:val="24"/>
        </w:rPr>
        <w:t>具有良好的商业信誉和健全的财务会计制度：提供 2019 年度经审计的财务报告或基本开户银行出具的资信证明（财务报告包括：资产负债表、利润表、现金流量表、附注（新成立企业（2019 年 3 月份以后新成立的企业可提供基本开户银行出具的资信证明 ）；</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rPr>
        <w:t>具有履行合同所必需的设备和专业技术能力；</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rPr>
        <w:t>具体要求：提供具备履行合同所必需的设备和专业技术能力的证明材料；</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4.</w:t>
      </w:r>
      <w:r>
        <w:rPr>
          <w:rFonts w:hint="eastAsia" w:hAnsi="宋体"/>
          <w:color w:val="000000"/>
          <w:sz w:val="24"/>
          <w:szCs w:val="24"/>
        </w:rPr>
        <w:t>有依法缴纳税收和社会保障资金的良好记录：</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rPr>
        <w:t>具体要求：须提供 2020 年度第一季度社会保险缴纳证明（提供投标人社会保险缴纳证明）及 2020 年近三个月内完税证明（可提供银行汇划单、银行基本帐户季末对账单（近三个月）等相关证明）；（不需要缴纳社保资金的供应商须提供相应证明文件）；</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参加政府采购活动前三年内，在经营活动中没有重大违法记录：</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rPr>
        <w:t>具体要求：提供参加政府采购活动前 3 年内在经营活动中没有重大违法记录的书面声明；</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法律、行政法规规定的其他条件；</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7.</w:t>
      </w:r>
      <w:r>
        <w:rPr>
          <w:rFonts w:hint="eastAsia" w:hAnsi="宋体"/>
          <w:color w:val="000000"/>
          <w:sz w:val="24"/>
          <w:szCs w:val="24"/>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并加盖投标单位公章。）</w:t>
      </w:r>
    </w:p>
    <w:p>
      <w:pPr>
        <w:pStyle w:val="13"/>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hAnsi="宋体"/>
          <w:color w:val="000000"/>
          <w:sz w:val="24"/>
          <w:szCs w:val="24"/>
        </w:rPr>
      </w:pPr>
      <w:r>
        <w:rPr>
          <w:rFonts w:hint="eastAsia" w:hAnsi="宋体"/>
          <w:color w:val="000000"/>
          <w:sz w:val="24"/>
          <w:szCs w:val="24"/>
          <w:lang w:val="en-US" w:eastAsia="zh-CN"/>
        </w:rPr>
        <w:t>8.</w:t>
      </w:r>
      <w:r>
        <w:rPr>
          <w:rFonts w:hint="eastAsia" w:hAnsi="宋体"/>
          <w:color w:val="000000"/>
          <w:sz w:val="24"/>
          <w:szCs w:val="24"/>
        </w:rPr>
        <w:t>本项目接受联合体</w:t>
      </w:r>
      <w:r>
        <w:rPr>
          <w:rFonts w:hint="eastAsia" w:hAnsi="宋体"/>
          <w:color w:val="000000"/>
          <w:sz w:val="24"/>
          <w:szCs w:val="24"/>
          <w:lang w:eastAsia="zh-CN"/>
        </w:rPr>
        <w:t>招投标</w:t>
      </w:r>
      <w:r>
        <w:rPr>
          <w:rFonts w:hint="eastAsia" w:hAnsi="宋体"/>
          <w:color w:val="000000"/>
          <w:sz w:val="24"/>
          <w:szCs w:val="24"/>
        </w:rPr>
        <w:t>。</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Times New Roman" w:hAnsi="Times New Roman" w:cs="Times New Roman"/>
          <w:b w:val="0"/>
          <w:bCs/>
          <w:sz w:val="21"/>
          <w:szCs w:val="21"/>
        </w:rPr>
      </w:pPr>
      <w:r>
        <w:rPr>
          <w:rFonts w:hint="eastAsia" w:ascii="宋体" w:hAnsi="宋体" w:eastAsiaTheme="minorEastAsia" w:cstheme="minorBidi"/>
          <w:b w:val="0"/>
          <w:bCs/>
          <w:color w:val="000000"/>
          <w:kern w:val="2"/>
          <w:sz w:val="24"/>
          <w:szCs w:val="22"/>
          <w:lang w:val="en-US" w:eastAsia="zh-CN" w:bidi="ar-SA"/>
        </w:rPr>
        <w:t>联合体投标的，应满足下列要求：联合体单位不得超过两家单位组成，应明确联合体牵头单位并提供联合体协议书，明确各成员承包范围、职责分工。联合体成员不得再与其他单位组成联合体或单独投标，且由联合体牵头人负责本项目投标投标、递交投标文件等相关事项。</w:t>
      </w:r>
    </w:p>
    <w:p>
      <w:pPr>
        <w:pStyle w:val="13"/>
        <w:numPr>
          <w:ilvl w:val="0"/>
          <w:numId w:val="4"/>
        </w:numPr>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本项目所需特殊行业资质或要求</w:t>
      </w:r>
    </w:p>
    <w:p>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sz w:val="21"/>
          <w:szCs w:val="21"/>
          <w:u w:val="none"/>
          <w:lang w:eastAsia="zh-CN"/>
        </w:rPr>
      </w:pPr>
      <w:r>
        <w:rPr>
          <w:rFonts w:hint="eastAsia" w:hAnsi="宋体"/>
          <w:color w:val="000000"/>
          <w:sz w:val="24"/>
          <w:szCs w:val="24"/>
          <w:lang w:val="en-US" w:eastAsia="zh-CN"/>
        </w:rPr>
        <w:t>1.</w:t>
      </w:r>
      <w:r>
        <w:rPr>
          <w:rFonts w:hint="eastAsia" w:hAnsi="宋体"/>
          <w:color w:val="000000"/>
          <w:sz w:val="24"/>
          <w:szCs w:val="24"/>
        </w:rPr>
        <w:t>投标人须提供第二类《医疗器械经营许可证》或备案凭证或提供法人或其他组织的营业执照等证明文件</w:t>
      </w:r>
      <w:r>
        <w:rPr>
          <w:rFonts w:hint="eastAsia" w:hAnsi="宋体"/>
          <w:color w:val="000000"/>
          <w:sz w:val="24"/>
          <w:szCs w:val="24"/>
          <w:lang w:eastAsia="zh-CN"/>
        </w:rPr>
        <w:t>。</w:t>
      </w:r>
      <w:r>
        <w:rPr>
          <w:rFonts w:hint="eastAsia" w:ascii="宋体" w:hAnsi="宋体" w:eastAsia="宋体" w:cs="宋体"/>
          <w:i w:val="0"/>
          <w:color w:val="333333"/>
          <w:sz w:val="24"/>
          <w:szCs w:val="24"/>
          <w:u w:val="none"/>
          <w:shd w:val="clear" w:fill="FFFFFF"/>
        </w:rPr>
        <w:t>具备行政主管部门颁发的有效建筑机电安装工程专业承包叁级及以上资质且具备有效的安全生产许可证</w:t>
      </w:r>
      <w:r>
        <w:rPr>
          <w:rFonts w:hint="eastAsia" w:eastAsia="宋体" w:cs="宋体"/>
          <w:i w:val="0"/>
          <w:color w:val="333333"/>
          <w:sz w:val="24"/>
          <w:szCs w:val="24"/>
          <w:u w:val="none"/>
          <w:shd w:val="clear" w:fill="FFFFFF"/>
          <w:lang w:eastAsia="zh-CN"/>
        </w:rPr>
        <w:t>；建筑装修装饰工程专业承包贰级及以上。（为牵头单位）</w:t>
      </w:r>
    </w:p>
    <w:p>
      <w:pPr>
        <w:pStyle w:val="13"/>
        <w:keepNext w:val="0"/>
        <w:keepLines w:val="0"/>
        <w:pageBreakBefore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sz w:val="24"/>
          <w:szCs w:val="24"/>
        </w:rPr>
      </w:pPr>
      <w:r>
        <w:rPr>
          <w:rFonts w:hint="eastAsia" w:hAnsi="宋体"/>
          <w:b w:val="0"/>
          <w:bCs/>
          <w:color w:val="000000"/>
          <w:sz w:val="24"/>
          <w:szCs w:val="24"/>
          <w:u w:val="none"/>
          <w:lang w:val="en-US" w:eastAsia="zh-CN"/>
        </w:rPr>
        <w:t>2.疫苗冷链设备采购及安装项目投标方营业执照经营范围必须具备“冷库安装工程设计及施工”。</w:t>
      </w:r>
    </w:p>
    <w:p>
      <w:pPr>
        <w:pStyle w:val="13"/>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（三）本项目</w:t>
      </w:r>
      <w:r>
        <w:rPr>
          <w:rFonts w:hint="eastAsia" w:asciiTheme="minorEastAsia" w:hAnsiTheme="minorEastAsia"/>
          <w:sz w:val="24"/>
          <w:szCs w:val="24"/>
          <w:u w:val="single"/>
        </w:rPr>
        <w:t xml:space="preserve">  接受  </w:t>
      </w:r>
      <w:r>
        <w:rPr>
          <w:rFonts w:hint="eastAsia" w:asciiTheme="minorEastAsia" w:hAnsiTheme="minorEastAsia"/>
          <w:sz w:val="24"/>
          <w:szCs w:val="24"/>
        </w:rPr>
        <w:t>联合体投标</w:t>
      </w:r>
    </w:p>
    <w:p>
      <w:pPr>
        <w:pStyle w:val="13"/>
        <w:spacing w:line="56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供应商若为联合体的，须提供联合体协议。</w:t>
      </w:r>
    </w:p>
    <w:p>
      <w:pPr>
        <w:pStyle w:val="13"/>
        <w:spacing w:line="56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开标时提交联合体共同投标协议原件，联合体共同投标协议</w:t>
      </w:r>
      <w:r>
        <w:rPr>
          <w:rFonts w:hint="eastAsia" w:asciiTheme="minorEastAsia" w:hAnsiTheme="minorEastAsia"/>
          <w:sz w:val="24"/>
          <w:szCs w:val="24"/>
          <w:lang w:eastAsia="zh-CN"/>
        </w:rPr>
        <w:t>原件或</w:t>
      </w:r>
      <w:r>
        <w:rPr>
          <w:rFonts w:hint="eastAsia" w:asciiTheme="minorEastAsia" w:hAnsiTheme="minorEastAsia"/>
          <w:sz w:val="24"/>
          <w:szCs w:val="24"/>
        </w:rPr>
        <w:t>复印件制作标书内。</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Theme="minorEastAsia" w:hAnsiTheme="minorEastAsia"/>
          <w:sz w:val="24"/>
        </w:rPr>
        <w:t xml:space="preserve"> 2020年</w:t>
      </w:r>
      <w:r>
        <w:rPr>
          <w:rFonts w:hint="eastAsia" w:asciiTheme="minorEastAsia" w:hAnsiTheme="minorEastAsia"/>
          <w:sz w:val="24"/>
          <w:lang w:val="en-US" w:eastAsia="zh-CN"/>
        </w:rPr>
        <w:t>8</w:t>
      </w:r>
      <w:r>
        <w:rPr>
          <w:rFonts w:hint="eastAsia" w:asciiTheme="minorEastAsia" w:hAnsiTheme="minorEastAsia"/>
          <w:sz w:val="24"/>
        </w:rPr>
        <w:t>月</w:t>
      </w:r>
      <w:r>
        <w:rPr>
          <w:rFonts w:hint="eastAsia" w:asciiTheme="minorEastAsia" w:hAnsiTheme="minorEastAsia"/>
          <w:sz w:val="24"/>
          <w:lang w:val="en-US" w:eastAsia="zh-CN"/>
        </w:rPr>
        <w:t>27</w:t>
      </w:r>
      <w:r>
        <w:rPr>
          <w:rFonts w:hint="eastAsia" w:asciiTheme="minorEastAsia" w:hAnsiTheme="minorEastAsia"/>
          <w:sz w:val="24"/>
        </w:rPr>
        <w:t>日至2020年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4</w:t>
      </w:r>
      <w:r>
        <w:rPr>
          <w:rFonts w:hint="eastAsia" w:asciiTheme="minorEastAsia" w:hAnsiTheme="minorEastAsia"/>
          <w:sz w:val="24"/>
        </w:rPr>
        <w:t>日17:00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采购文件发售截止时间：2020年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4</w:t>
      </w:r>
      <w:r>
        <w:rPr>
          <w:rFonts w:hint="eastAsia" w:asciiTheme="minorEastAsia" w:hAnsiTheme="minorEastAsia"/>
          <w:sz w:val="24"/>
        </w:rPr>
        <w:t>日 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铜仁市公共资源交易中心官方网址（jyzx.trs.gov.cn）</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13"/>
        <w:spacing w:line="560" w:lineRule="exact"/>
        <w:rPr>
          <w:rFonts w:asciiTheme="minorEastAsia" w:hAnsiTheme="minorEastAsia"/>
          <w:sz w:val="24"/>
          <w:szCs w:val="24"/>
        </w:rPr>
      </w:pPr>
      <w:r>
        <w:rPr>
          <w:rFonts w:hint="eastAsia" w:cs="宋体" w:asciiTheme="minorEastAsia" w:hAnsiTheme="minorEastAsia"/>
          <w:sz w:val="24"/>
          <w:szCs w:val="24"/>
          <w:shd w:val="clear" w:color="auto" w:fill="FFFFFF"/>
        </w:rPr>
        <w:t>（5）采购文件售价:</w:t>
      </w:r>
      <w:r>
        <w:rPr>
          <w:rFonts w:hint="eastAsia" w:asciiTheme="minorEastAsia" w:hAnsiTheme="minorEastAsia"/>
          <w:sz w:val="24"/>
          <w:szCs w:val="24"/>
        </w:rPr>
        <w:t>人民币0.00元/套</w:t>
      </w:r>
    </w:p>
    <w:p>
      <w:pPr>
        <w:pStyle w:val="10"/>
        <w:spacing w:line="560" w:lineRule="exact"/>
        <w:ind w:firstLine="241" w:firstLineChars="100"/>
        <w:rPr>
          <w:rFonts w:asciiTheme="minorEastAsia" w:hAnsiTheme="min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投标人应随时登录贵州省政府采购</w:t>
      </w:r>
      <w:r>
        <w:rPr>
          <w:rFonts w:hint="eastAsia" w:asciiTheme="minorEastAsia" w:hAnsiTheme="minorEastAsia" w:cstheme="minorEastAsia"/>
          <w:sz w:val="24"/>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10.投标截止时间（北京时间）:</w:t>
      </w:r>
      <w:r>
        <w:rPr>
          <w:rFonts w:hint="eastAsia" w:asciiTheme="minorEastAsia" w:hAnsiTheme="minorEastAsia"/>
          <w:sz w:val="24"/>
        </w:rPr>
        <w:t xml:space="preserve"> 2020年</w:t>
      </w:r>
      <w:r>
        <w:rPr>
          <w:rFonts w:hint="eastAsia" w:asciiTheme="minorEastAsia" w:hAnsiTheme="minorEastAsia"/>
          <w:sz w:val="24"/>
          <w:lang w:val="en-US" w:eastAsia="zh-CN"/>
        </w:rPr>
        <w:t>9</w:t>
      </w:r>
      <w:r>
        <w:rPr>
          <w:rFonts w:hint="eastAsia" w:asciiTheme="minorEastAsia" w:hAnsiTheme="minorEastAsia"/>
          <w:sz w:val="24"/>
        </w:rPr>
        <w:t>月</w:t>
      </w:r>
      <w:r>
        <w:rPr>
          <w:rFonts w:hint="eastAsia" w:asciiTheme="minorEastAsia" w:hAnsiTheme="minorEastAsia"/>
          <w:sz w:val="24"/>
          <w:lang w:val="en-US" w:eastAsia="zh-CN"/>
        </w:rPr>
        <w:t xml:space="preserve">16 </w:t>
      </w:r>
      <w:r>
        <w:rPr>
          <w:rFonts w:hint="eastAsia" w:asciiTheme="minorEastAsia" w:hAnsiTheme="minorEastAsia"/>
          <w:sz w:val="24"/>
        </w:rPr>
        <w:t>日 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11.开标时间（北京时间）:</w:t>
      </w:r>
      <w:r>
        <w:rPr>
          <w:rFonts w:hint="eastAsia" w:asciiTheme="minorEastAsia" w:hAnsiTheme="minorEastAsia"/>
          <w:sz w:val="24"/>
        </w:rPr>
        <w:t xml:space="preserve"> 2020年</w:t>
      </w:r>
      <w:r>
        <w:rPr>
          <w:rFonts w:hint="eastAsia" w:asciiTheme="minorEastAsia" w:hAnsiTheme="minorEastAsia"/>
          <w:sz w:val="24"/>
          <w:lang w:val="en-US" w:eastAsia="zh-CN"/>
        </w:rPr>
        <w:t>9</w:t>
      </w:r>
      <w:r>
        <w:rPr>
          <w:rFonts w:hint="eastAsia" w:asciiTheme="minorEastAsia" w:hAnsiTheme="minorEastAsia"/>
          <w:sz w:val="24"/>
        </w:rPr>
        <w:t xml:space="preserve">月 </w:t>
      </w:r>
      <w:r>
        <w:rPr>
          <w:rFonts w:hint="eastAsia" w:asciiTheme="minorEastAsia" w:hAnsiTheme="minorEastAsia"/>
          <w:sz w:val="24"/>
          <w:lang w:val="en-US" w:eastAsia="zh-CN"/>
        </w:rPr>
        <w:t>16</w:t>
      </w:r>
      <w:r>
        <w:rPr>
          <w:rFonts w:hint="eastAsia" w:asciiTheme="minorEastAsia" w:hAnsiTheme="minorEastAsia"/>
          <w:sz w:val="24"/>
        </w:rPr>
        <w:t>日 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560" w:lineRule="exact"/>
        <w:rPr>
          <w:rFonts w:ascii="宋体" w:hAnsi="宋体"/>
          <w:color w:val="000000"/>
          <w:sz w:val="24"/>
        </w:rPr>
      </w:pPr>
      <w:r>
        <w:rPr>
          <w:rFonts w:hint="eastAsia" w:cs="宋体" w:asciiTheme="minorEastAsia" w:hAnsiTheme="minorEastAsia"/>
          <w:color w:val="333333"/>
          <w:sz w:val="24"/>
          <w:shd w:val="clear" w:color="auto" w:fill="FFFFFF"/>
        </w:rPr>
        <w:t xml:space="preserve">  </w:t>
      </w:r>
      <w:r>
        <w:rPr>
          <w:rFonts w:hint="eastAsia" w:ascii="宋体" w:hAnsi="宋体" w:cs="宋体"/>
          <w:color w:val="000000"/>
          <w:sz w:val="24"/>
          <w:shd w:val="clear" w:color="auto" w:fill="FFFFFF"/>
        </w:rPr>
        <w:t>（1）投标保证金额:</w:t>
      </w:r>
      <w:r>
        <w:rPr>
          <w:rFonts w:hint="eastAsia" w:ascii="宋体" w:hAnsi="宋体"/>
          <w:bCs/>
          <w:color w:val="000000"/>
          <w:sz w:val="24"/>
          <w:lang w:val="en-US" w:eastAsia="zh-CN"/>
        </w:rPr>
        <w:t>10</w:t>
      </w:r>
      <w:r>
        <w:rPr>
          <w:rFonts w:hint="eastAsia" w:ascii="宋体" w:hAnsi="宋体"/>
          <w:bCs/>
          <w:color w:val="000000"/>
          <w:sz w:val="24"/>
        </w:rPr>
        <w:t>万</w:t>
      </w:r>
      <w:r>
        <w:rPr>
          <w:rFonts w:hint="eastAsia" w:ascii="宋体" w:hAnsi="宋体"/>
          <w:color w:val="000000"/>
          <w:sz w:val="24"/>
        </w:rPr>
        <w:t>元；</w:t>
      </w:r>
    </w:p>
    <w:p>
      <w:pPr>
        <w:spacing w:line="56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（2）投标保证金交纳时间:</w:t>
      </w:r>
      <w:r>
        <w:rPr>
          <w:rFonts w:hint="eastAsia" w:ascii="宋体" w:hAnsi="宋体"/>
          <w:color w:val="000000"/>
          <w:sz w:val="24"/>
        </w:rPr>
        <w:t xml:space="preserve"> </w:t>
      </w:r>
      <w:r>
        <w:rPr>
          <w:rFonts w:hint="eastAsia" w:ascii="宋体" w:hAnsi="宋体" w:cs="宋体"/>
          <w:b/>
          <w:bCs/>
          <w:color w:val="000000"/>
          <w:sz w:val="24"/>
        </w:rPr>
        <w:t>2020年</w:t>
      </w:r>
      <w:r>
        <w:rPr>
          <w:rFonts w:hint="eastAsia" w:ascii="宋体" w:hAnsi="宋体" w:cs="宋体"/>
          <w:b/>
          <w:bCs/>
          <w:color w:val="000000"/>
          <w:sz w:val="24"/>
          <w:lang w:val="en-US" w:eastAsia="zh-CN"/>
        </w:rPr>
        <w:t>9</w:t>
      </w:r>
      <w:r>
        <w:rPr>
          <w:rFonts w:hint="eastAsia" w:ascii="宋体" w:hAnsi="宋体" w:cs="宋体"/>
          <w:b/>
          <w:bCs/>
          <w:color w:val="000000"/>
          <w:sz w:val="24"/>
        </w:rPr>
        <w:t>月</w:t>
      </w:r>
      <w:r>
        <w:rPr>
          <w:rFonts w:hint="eastAsia" w:ascii="宋体" w:hAnsi="宋体" w:cs="宋体"/>
          <w:b/>
          <w:bCs/>
          <w:color w:val="000000"/>
          <w:sz w:val="24"/>
          <w:lang w:val="en-US" w:eastAsia="zh-CN"/>
        </w:rPr>
        <w:t>16</w:t>
      </w:r>
      <w:r>
        <w:rPr>
          <w:rFonts w:hint="eastAsia" w:ascii="宋体" w:hAnsi="宋体" w:cs="宋体"/>
          <w:b/>
          <w:bCs/>
          <w:color w:val="000000"/>
          <w:sz w:val="24"/>
        </w:rPr>
        <w:t>日10：00</w:t>
      </w:r>
      <w:r>
        <w:rPr>
          <w:rFonts w:hint="eastAsia" w:ascii="宋体" w:hAnsi="宋体" w:cs="宋体"/>
          <w:b/>
          <w:bCs/>
          <w:color w:val="000000"/>
          <w:sz w:val="24"/>
          <w:shd w:val="clear" w:color="auto" w:fill="FFFFFF"/>
        </w:rPr>
        <w:t>前</w:t>
      </w:r>
    </w:p>
    <w:p>
      <w:pPr>
        <w:spacing w:line="56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（3）开户银行及帐号</w:t>
      </w:r>
    </w:p>
    <w:p>
      <w:pPr>
        <w:spacing w:line="560" w:lineRule="exact"/>
        <w:rPr>
          <w:rFonts w:ascii="宋体" w:hAnsi="宋体"/>
          <w:color w:val="000000"/>
          <w:sz w:val="24"/>
        </w:rPr>
      </w:pPr>
      <w:r>
        <w:rPr>
          <w:rFonts w:hint="eastAsia" w:ascii="宋体" w:hAnsi="宋体" w:cs="宋体"/>
          <w:color w:val="000000"/>
          <w:sz w:val="24"/>
          <w:shd w:val="clear" w:color="auto" w:fill="FFFFFF"/>
        </w:rPr>
        <w:t xml:space="preserve">      单位名称:</w:t>
      </w:r>
      <w:r>
        <w:rPr>
          <w:rFonts w:ascii="宋体" w:hAnsi="宋体"/>
          <w:color w:val="000000"/>
          <w:sz w:val="24"/>
        </w:rPr>
        <w:t xml:space="preserve"> </w:t>
      </w:r>
      <w:r>
        <w:rPr>
          <w:rFonts w:hint="eastAsia" w:hAnsi="宋体"/>
          <w:color w:val="000000"/>
          <w:sz w:val="24"/>
        </w:rPr>
        <w:t>铜仁市公共资源交易中心</w:t>
      </w:r>
    </w:p>
    <w:p>
      <w:pPr>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s="宋体"/>
          <w:color w:val="000000"/>
          <w:sz w:val="24"/>
          <w:shd w:val="clear" w:color="auto" w:fill="FFFFFF"/>
        </w:rPr>
        <w:t>开户银行:</w:t>
      </w:r>
      <w:r>
        <w:rPr>
          <w:rFonts w:ascii="宋体" w:hAnsi="宋体"/>
          <w:color w:val="000000"/>
          <w:sz w:val="24"/>
        </w:rPr>
        <w:t xml:space="preserve"> </w:t>
      </w:r>
      <w:r>
        <w:rPr>
          <w:rFonts w:hint="eastAsia" w:ascii="宋体" w:hAnsi="宋体"/>
          <w:color w:val="000000"/>
          <w:sz w:val="24"/>
        </w:rPr>
        <w:t>贵州银行股份有限公司铜仁分行</w:t>
      </w:r>
    </w:p>
    <w:p>
      <w:pPr>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s="宋体"/>
          <w:color w:val="000000"/>
          <w:sz w:val="24"/>
          <w:shd w:val="clear" w:color="auto" w:fill="FFFFFF"/>
        </w:rPr>
        <w:t>帐  号:</w:t>
      </w:r>
      <w:r>
        <w:rPr>
          <w:rFonts w:hint="eastAsia" w:ascii="宋体" w:hAnsi="宋体"/>
          <w:color w:val="000000"/>
          <w:sz w:val="24"/>
        </w:rPr>
        <w:t>0601001500000296</w:t>
      </w:r>
    </w:p>
    <w:p>
      <w:pPr>
        <w:numPr>
          <w:ilvl w:val="0"/>
          <w:numId w:val="5"/>
        </w:numPr>
        <w:spacing w:line="560" w:lineRule="exact"/>
        <w:ind w:firstLine="480"/>
        <w:rPr>
          <w:rFonts w:ascii="宋体" w:hAnsi="宋体" w:eastAsia="宋体" w:cs="宋体"/>
          <w:sz w:val="24"/>
        </w:rPr>
      </w:pPr>
      <w:r>
        <w:rPr>
          <w:rFonts w:ascii="宋体" w:hAnsi="宋体" w:eastAsia="宋体" w:cs="宋体"/>
          <w:sz w:val="24"/>
        </w:rPr>
        <w:t>投标保证金交纳方式:</w:t>
      </w:r>
    </w:p>
    <w:p>
      <w:pPr>
        <w:spacing w:line="560" w:lineRule="exact"/>
        <w:ind w:firstLine="241" w:firstLineChars="100"/>
        <w:rPr>
          <w:rFonts w:ascii="宋体" w:hAnsi="宋体" w:eastAsia="宋体" w:cs="宋体"/>
          <w:sz w:val="24"/>
        </w:rPr>
      </w:pPr>
      <w:r>
        <w:rPr>
          <w:rFonts w:hint="eastAsia" w:ascii="宋体" w:hAnsi="宋体" w:eastAsia="宋体" w:cs="宋体"/>
          <w:b/>
          <w:bCs/>
          <w:color w:val="FF0000"/>
          <w:sz w:val="24"/>
        </w:rPr>
        <w:t>采用银行转账、电汇形式提交</w:t>
      </w:r>
      <w:r>
        <w:rPr>
          <w:rFonts w:ascii="宋体" w:hAnsi="宋体" w:eastAsia="宋体" w:cs="宋体"/>
          <w:sz w:val="24"/>
        </w:rPr>
        <w:t>具体缴退流程见</w:t>
      </w:r>
      <w:r>
        <w:rPr>
          <w:rFonts w:hint="eastAsia" w:ascii="宋体" w:hAnsi="宋体" w:eastAsia="宋体" w:cs="宋体"/>
          <w:sz w:val="24"/>
        </w:rPr>
        <w:t>铜仁市公共资源交易中心</w:t>
      </w:r>
      <w:r>
        <w:rPr>
          <w:rFonts w:ascii="宋体" w:hAnsi="宋体" w:eastAsia="宋体" w:cs="宋体"/>
          <w:sz w:val="24"/>
        </w:rPr>
        <w:t>网站（</w:t>
      </w:r>
      <w:r>
        <w:rPr>
          <w:rFonts w:ascii="宋体" w:hAnsi="宋体" w:eastAsia="宋体" w:cs="宋体"/>
          <w:sz w:val="24"/>
        </w:rPr>
        <w:drawing>
          <wp:inline distT="0" distB="0" distL="114300" distR="114300">
            <wp:extent cx="190500" cy="1428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 w:val="24"/>
        </w:rPr>
        <w:t>jyzx.trs.gov.cn），点击首页-办事指南-保证金缴退，自行缴纳保证金；或者</w:t>
      </w:r>
      <w:r>
        <w:rPr>
          <w:rFonts w:hint="eastAsia" w:ascii="宋体" w:hAnsi="宋体" w:cs="宋体"/>
          <w:b/>
          <w:bCs/>
          <w:color w:val="FF0000"/>
          <w:sz w:val="24"/>
          <w:shd w:val="clear" w:color="auto" w:fill="FFFFFF"/>
        </w:rPr>
        <w:t>采用《投标保证金保函》（电子保函）提交</w:t>
      </w:r>
      <w:r>
        <w:rPr>
          <w:rFonts w:ascii="宋体" w:hAnsi="宋体" w:eastAsia="宋体" w:cs="宋体"/>
          <w:sz w:val="24"/>
        </w:rPr>
        <w:t>（具体操作方式见</w:t>
      </w:r>
      <w:r>
        <w:rPr>
          <w:rFonts w:hint="eastAsia" w:ascii="宋体" w:hAnsi="宋体" w:eastAsia="宋体" w:cs="宋体"/>
          <w:sz w:val="24"/>
        </w:rPr>
        <w:t>铜仁市公共资源交易中心</w:t>
      </w:r>
      <w:r>
        <w:rPr>
          <w:rFonts w:ascii="宋体" w:hAnsi="宋体" w:eastAsia="宋体" w:cs="宋体"/>
          <w:sz w:val="24"/>
        </w:rPr>
        <w:t>首页——办事指南——政府采购——常见问题解答——《投标电子保函申请操作步骤》）</w:t>
      </w:r>
      <w:r>
        <w:rPr>
          <w:rFonts w:hint="eastAsia" w:ascii="宋体" w:hAnsi="宋体" w:eastAsia="宋体" w:cs="宋体"/>
          <w:sz w:val="24"/>
        </w:rPr>
        <w:t xml:space="preserve"> </w:t>
      </w:r>
    </w:p>
    <w:p>
      <w:pPr>
        <w:spacing w:line="560" w:lineRule="exact"/>
        <w:rPr>
          <w:rFonts w:hint="eastAsia" w:asciiTheme="minorEastAsia" w:hAnsiTheme="minorEastAsia" w:eastAsiaTheme="minorEastAsia"/>
          <w:b/>
          <w:bCs/>
          <w:sz w:val="24"/>
          <w:lang w:eastAsia="zh-CN"/>
        </w:rPr>
      </w:pPr>
      <w:r>
        <w:rPr>
          <w:rFonts w:hint="eastAsia" w:cs="宋体" w:asciiTheme="minorEastAsia" w:hAnsiTheme="minorEastAsia"/>
          <w:sz w:val="24"/>
          <w:shd w:val="clear" w:color="auto" w:fill="FFFFFF"/>
        </w:rPr>
        <w:t>14.采购人名称:</w:t>
      </w:r>
      <w:r>
        <w:rPr>
          <w:rFonts w:hint="eastAsia" w:asciiTheme="minorEastAsia" w:hAnsiTheme="minorEastAsia"/>
          <w:sz w:val="24"/>
        </w:rPr>
        <w:t xml:space="preserve"> </w:t>
      </w:r>
      <w:r>
        <w:rPr>
          <w:rFonts w:hint="eastAsia" w:asciiTheme="minorEastAsia" w:hAnsiTheme="minorEastAsia"/>
          <w:sz w:val="24"/>
          <w:lang w:eastAsia="zh-CN"/>
        </w:rPr>
        <w:t>铜仁市碧江区疾病预防控制中心</w:t>
      </w:r>
    </w:p>
    <w:p>
      <w:pPr>
        <w:spacing w:line="560" w:lineRule="exact"/>
        <w:ind w:firstLine="480" w:firstLineChars="200"/>
        <w:rPr>
          <w:rFonts w:hint="eastAsia" w:asciiTheme="minorEastAsia" w:hAnsiTheme="minorEastAsia" w:eastAsiaTheme="minorEastAsia"/>
          <w:bCs/>
          <w:sz w:val="24"/>
          <w:lang w:eastAsia="zh-CN"/>
        </w:rPr>
      </w:pPr>
      <w:r>
        <w:rPr>
          <w:rFonts w:hint="eastAsia" w:cs="宋体" w:asciiTheme="minorEastAsia" w:hAnsiTheme="minorEastAsia"/>
          <w:sz w:val="24"/>
          <w:shd w:val="clear" w:color="auto" w:fill="FFFFFF"/>
        </w:rPr>
        <w:t>联系地址:</w:t>
      </w:r>
      <w:r>
        <w:rPr>
          <w:rFonts w:hint="eastAsia" w:asciiTheme="minorEastAsia" w:hAnsiTheme="minorEastAsia"/>
          <w:sz w:val="24"/>
        </w:rPr>
        <w:t xml:space="preserve"> </w:t>
      </w:r>
      <w:r>
        <w:rPr>
          <w:rFonts w:hint="eastAsia" w:asciiTheme="minorEastAsia" w:hAnsiTheme="minorEastAsia"/>
          <w:sz w:val="24"/>
          <w:lang w:eastAsia="zh-CN"/>
        </w:rPr>
        <w:t>铜仁市碧江区疾病预防控制中心</w:t>
      </w:r>
    </w:p>
    <w:p>
      <w:pPr>
        <w:spacing w:line="560" w:lineRule="exact"/>
        <w:ind w:firstLine="480" w:firstLineChars="200"/>
        <w:rPr>
          <w:rFonts w:hint="eastAsia"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rPr>
        <w:t>项目联系人:</w:t>
      </w:r>
      <w:r>
        <w:rPr>
          <w:rFonts w:hint="eastAsia" w:cs="宋体" w:asciiTheme="minorEastAsia" w:hAnsiTheme="minorEastAsia"/>
          <w:sz w:val="24"/>
          <w:shd w:val="clear" w:color="auto" w:fill="FFFFFF"/>
          <w:lang w:eastAsia="zh-CN"/>
        </w:rPr>
        <w:t>杨先生</w:t>
      </w:r>
    </w:p>
    <w:p>
      <w:pPr>
        <w:spacing w:line="560" w:lineRule="exact"/>
        <w:ind w:firstLine="480" w:firstLineChars="200"/>
        <w:rPr>
          <w:rFonts w:hint="default" w:cs="宋体" w:asciiTheme="minorEastAsia" w:hAnsiTheme="minorEastAsia" w:eastAsiaTheme="minorEastAsia"/>
          <w:sz w:val="24"/>
          <w:shd w:val="clear" w:color="auto" w:fill="FFFFFF"/>
          <w:lang w:val="en-US" w:eastAsia="zh-CN"/>
        </w:rPr>
      </w:pPr>
      <w:r>
        <w:rPr>
          <w:rFonts w:hint="eastAsia" w:cs="宋体" w:asciiTheme="minorEastAsia" w:hAnsiTheme="minorEastAsia"/>
          <w:sz w:val="24"/>
          <w:shd w:val="clear" w:color="auto" w:fill="FFFFFF"/>
        </w:rPr>
        <w:t>联系电话：</w:t>
      </w:r>
      <w:r>
        <w:rPr>
          <w:rFonts w:hint="eastAsia" w:cs="宋体" w:asciiTheme="minorEastAsia" w:hAnsiTheme="minorEastAsia"/>
          <w:sz w:val="24"/>
          <w:shd w:val="clear" w:color="auto" w:fill="FFFFFF"/>
          <w:lang w:val="en-US" w:eastAsia="zh-CN"/>
        </w:rPr>
        <w:t>13123667070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w:t>
      </w:r>
      <w:r>
        <w:rPr>
          <w:rFonts w:hint="eastAsia" w:cs="宋体" w:asciiTheme="minorEastAsia" w:hAnsiTheme="minorEastAsia"/>
          <w:color w:val="FF0000"/>
          <w:sz w:val="24"/>
          <w:shd w:val="clear" w:color="auto" w:fill="FFFFFF"/>
        </w:rPr>
        <w:t>已落实</w:t>
      </w:r>
    </w:p>
    <w:p>
      <w:pPr>
        <w:spacing w:line="560" w:lineRule="exact"/>
        <w:rPr>
          <w:rFonts w:ascii="宋体" w:hAnsi="宋体" w:cs="宋体"/>
          <w:color w:val="000000"/>
          <w:sz w:val="24"/>
          <w:shd w:val="clear" w:color="auto" w:fill="FFFFFF"/>
        </w:rPr>
      </w:pPr>
      <w:r>
        <w:rPr>
          <w:rFonts w:hint="eastAsia" w:cs="宋体" w:asciiTheme="minorEastAsia" w:hAnsiTheme="minorEastAsia"/>
          <w:sz w:val="24"/>
          <w:shd w:val="clear" w:color="auto" w:fill="FFFFFF"/>
        </w:rPr>
        <w:t>16.</w:t>
      </w:r>
      <w:r>
        <w:rPr>
          <w:rFonts w:hint="eastAsia" w:ascii="宋体" w:hAnsi="宋体" w:cs="宋体"/>
          <w:color w:val="000000"/>
          <w:sz w:val="24"/>
          <w:shd w:val="clear" w:color="auto" w:fill="FFFFFF"/>
        </w:rPr>
        <w:t>采购代理机构全称:</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铜仁市公共资源交易中心</w:t>
      </w:r>
    </w:p>
    <w:p>
      <w:pPr>
        <w:spacing w:line="560" w:lineRule="exact"/>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联系地址:</w:t>
      </w:r>
      <w:r>
        <w:rPr>
          <w:rFonts w:hint="eastAsia" w:ascii="宋体" w:hAnsi="宋体"/>
          <w:color w:val="000000"/>
          <w:sz w:val="24"/>
          <w:shd w:val="clear" w:color="auto" w:fill="FFFFFF"/>
        </w:rPr>
        <w:t xml:space="preserve"> </w:t>
      </w:r>
      <w:r>
        <w:rPr>
          <w:rFonts w:hint="eastAsia" w:ascii="宋体" w:hAnsi="宋体"/>
          <w:color w:val="000000"/>
          <w:sz w:val="24"/>
        </w:rPr>
        <w:t>铜仁市公共服务中心四楼开标室（川硐教育园区麒龙国际旁）</w:t>
      </w:r>
    </w:p>
    <w:p>
      <w:pPr>
        <w:spacing w:line="560" w:lineRule="exact"/>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项目联系人: 张琰</w:t>
      </w:r>
    </w:p>
    <w:p>
      <w:pPr>
        <w:spacing w:line="560" w:lineRule="exact"/>
        <w:ind w:firstLine="480" w:firstLineChars="200"/>
        <w:rPr>
          <w:rFonts w:cs="宋体" w:asciiTheme="minorEastAsia" w:hAnsiTheme="minorEastAsia"/>
          <w:sz w:val="24"/>
          <w:shd w:val="clear" w:color="auto" w:fill="FFFFFF"/>
        </w:rPr>
      </w:pPr>
      <w:r>
        <w:rPr>
          <w:rFonts w:hint="eastAsia" w:ascii="宋体" w:hAnsi="宋体" w:cs="宋体"/>
          <w:color w:val="000000"/>
          <w:sz w:val="24"/>
          <w:shd w:val="clear" w:color="auto" w:fill="FFFFFF"/>
        </w:rPr>
        <w:t>联系电话: 0856-3912922</w:t>
      </w:r>
    </w:p>
    <w:p>
      <w:pPr>
        <w:spacing w:line="560" w:lineRule="exact"/>
        <w:ind w:right="640" w:firstLine="3600" w:firstLineChars="1500"/>
        <w:rPr>
          <w:rFonts w:asciiTheme="minorEastAsia" w:hAnsiTheme="minorEastAsia"/>
          <w:sz w:val="24"/>
        </w:rPr>
      </w:pPr>
      <w:r>
        <w:rPr>
          <w:rFonts w:hint="eastAsia" w:asciiTheme="minorEastAsia" w:hAnsiTheme="minorEastAsia"/>
          <w:sz w:val="24"/>
        </w:rPr>
        <w:t xml:space="preserve">  机构名称：铜仁市公共资源交易中心</w:t>
      </w:r>
    </w:p>
    <w:p>
      <w:pPr>
        <w:spacing w:line="560" w:lineRule="exact"/>
        <w:ind w:right="640" w:firstLine="4200" w:firstLineChars="1750"/>
        <w:rPr>
          <w:rFonts w:hAnsi="宋体"/>
          <w:b/>
          <w:color w:val="000000" w:themeColor="text1"/>
          <w:sz w:val="36"/>
          <w14:textFill>
            <w14:solidFill>
              <w14:schemeClr w14:val="tx1"/>
            </w14:solidFill>
          </w14:textFill>
        </w:rPr>
      </w:pPr>
      <w:r>
        <w:rPr>
          <w:rFonts w:hint="eastAsia" w:asciiTheme="minorEastAsia" w:hAnsiTheme="minorEastAsia"/>
          <w:sz w:val="24"/>
        </w:rPr>
        <w:t xml:space="preserve">    2020年</w:t>
      </w:r>
      <w:r>
        <w:rPr>
          <w:rFonts w:hint="eastAsia" w:asciiTheme="minorEastAsia" w:hAnsiTheme="minorEastAsia"/>
          <w:sz w:val="24"/>
          <w:lang w:val="en-US" w:eastAsia="zh-CN"/>
        </w:rPr>
        <w:t>8</w:t>
      </w:r>
      <w:r>
        <w:rPr>
          <w:rFonts w:hint="eastAsia" w:asciiTheme="minorEastAsia" w:hAnsiTheme="minorEastAsia"/>
          <w:sz w:val="24"/>
        </w:rPr>
        <w:t>月</w:t>
      </w:r>
      <w:r>
        <w:rPr>
          <w:rFonts w:hint="eastAsia" w:asciiTheme="minorEastAsia" w:hAnsiTheme="minorEastAsia"/>
          <w:sz w:val="24"/>
          <w:lang w:val="en-US" w:eastAsia="zh-CN"/>
        </w:rPr>
        <w:t>27</w:t>
      </w:r>
      <w:r>
        <w:rPr>
          <w:rFonts w:hint="eastAsia" w:asciiTheme="minorEastAsia" w:hAnsiTheme="minorEastAsia"/>
          <w:sz w:val="24"/>
        </w:rPr>
        <w:t>日</w:t>
      </w:r>
    </w:p>
    <w:p>
      <w:pPr>
        <w:pStyle w:val="32"/>
        <w:jc w:val="center"/>
        <w:outlineLvl w:val="0"/>
        <w:rPr>
          <w:rFonts w:hAnsi="宋体"/>
          <w:b/>
          <w:color w:val="000000" w:themeColor="text1"/>
          <w:sz w:val="36"/>
          <w14:textFill>
            <w14:solidFill>
              <w14:schemeClr w14:val="tx1"/>
            </w14:solidFill>
          </w14:textFill>
        </w:rPr>
        <w:sectPr>
          <w:pgSz w:w="11907" w:h="16840"/>
          <w:pgMar w:top="1440" w:right="1800" w:bottom="1440" w:left="1800" w:header="850" w:footer="737" w:gutter="0"/>
          <w:pgNumType w:start="1"/>
          <w:cols w:space="720" w:num="1"/>
          <w:docGrid w:linePitch="286" w:charSpace="0"/>
        </w:sectPr>
      </w:pPr>
    </w:p>
    <w:p>
      <w:pPr>
        <w:pStyle w:val="32"/>
        <w:jc w:val="center"/>
        <w:outlineLvl w:val="0"/>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投标人须知表</w:t>
      </w:r>
    </w:p>
    <w:p>
      <w:pPr>
        <w:spacing w:line="440" w:lineRule="exact"/>
        <w:jc w:val="center"/>
        <w:outlineLvl w:val="1"/>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投标人须知前附表1</w:t>
      </w:r>
    </w:p>
    <w:p>
      <w:pPr>
        <w:ind w:firstLine="52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14:textFill>
            <w14:solidFill>
              <w14:schemeClr w14:val="tx1"/>
            </w14:solidFill>
          </w14:textFill>
        </w:rPr>
      </w:pPr>
    </w:p>
    <w:tbl>
      <w:tblPr>
        <w:tblStyle w:val="2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项目名称：</w:t>
            </w:r>
            <w:r>
              <w:rPr>
                <w:rFonts w:hint="eastAsia" w:asciiTheme="minorEastAsia" w:hAnsiTheme="minorEastAsia"/>
                <w:color w:val="000000" w:themeColor="text1"/>
                <w:sz w:val="24"/>
                <w:lang w:eastAsia="zh-CN"/>
                <w14:textFill>
                  <w14:solidFill>
                    <w14:schemeClr w14:val="tx1"/>
                  </w14:solidFill>
                </w14:textFill>
              </w:rPr>
              <w:t>铜仁市碧江区疾病预防控制中心饮水监测实验室设备、核酸实验室建设及疫苗冷链运转设备采购及安装项目</w:t>
            </w:r>
          </w:p>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asciiTheme="minorEastAsia" w:hAnsiTheme="minorEastAsia"/>
                <w:color w:val="000000" w:themeColor="text1"/>
                <w:sz w:val="24"/>
                <w14:textFill>
                  <w14:solidFill>
                    <w14:schemeClr w14:val="tx1"/>
                  </w14:solidFill>
                </w14:textFill>
              </w:rPr>
              <w:t>项目编号</w:t>
            </w:r>
            <w:r>
              <w:rPr>
                <w:rFonts w:hint="eastAsia" w:asciiTheme="minorEastAsia" w:hAnsiTheme="minorEastAsia"/>
                <w:color w:val="000000" w:themeColor="text1"/>
                <w:sz w:val="24"/>
                <w14:textFill>
                  <w14:solidFill>
                    <w14:schemeClr w14:val="tx1"/>
                  </w14:solidFill>
                </w14:textFill>
              </w:rPr>
              <w:t>：</w:t>
            </w:r>
            <w:r>
              <w:rPr>
                <w:rFonts w:hint="eastAsia" w:ascii="宋体" w:hAnsi="宋体" w:cs="宋体"/>
                <w:color w:val="222222"/>
                <w:kern w:val="0"/>
                <w:sz w:val="24"/>
                <w:lang w:eastAsia="zh-CN"/>
              </w:rPr>
              <w:t>TRZFCG-2020-089</w:t>
            </w:r>
          </w:p>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采购人名称：</w:t>
            </w:r>
            <w:r>
              <w:rPr>
                <w:rFonts w:hint="eastAsia" w:asciiTheme="minorEastAsia" w:hAnsiTheme="minorEastAsia"/>
                <w:color w:val="000000" w:themeColor="text1"/>
                <w:sz w:val="24"/>
                <w:lang w:eastAsia="zh-CN"/>
                <w14:textFill>
                  <w14:solidFill>
                    <w14:schemeClr w14:val="tx1"/>
                  </w14:solidFill>
                </w14:textFill>
              </w:rPr>
              <w:t>铜仁市碧江区疾病预防控制中心</w:t>
            </w:r>
          </w:p>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采购人地址：</w:t>
            </w:r>
            <w:r>
              <w:rPr>
                <w:rFonts w:hint="eastAsia" w:asciiTheme="minorEastAsia" w:hAnsiTheme="minorEastAsia"/>
                <w:color w:val="000000" w:themeColor="text1"/>
                <w:sz w:val="24"/>
                <w:lang w:eastAsia="zh-CN"/>
                <w14:textFill>
                  <w14:solidFill>
                    <w14:schemeClr w14:val="tx1"/>
                  </w14:solidFill>
                </w14:textFill>
              </w:rPr>
              <w:t>铜仁市碧江区疾病预防控制中心</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最高限价：</w:t>
            </w:r>
            <w:r>
              <w:rPr>
                <w:rFonts w:hint="eastAsia" w:asciiTheme="minorEastAsia" w:hAnsiTheme="minorEastAsia"/>
                <w:color w:val="000000" w:themeColor="text1"/>
                <w:sz w:val="24"/>
                <w:lang w:val="en-US" w:eastAsia="zh-CN"/>
                <w14:textFill>
                  <w14:solidFill>
                    <w14:schemeClr w14:val="tx1"/>
                  </w14:solidFill>
                </w14:textFill>
              </w:rPr>
              <w:t>78500</w:t>
            </w:r>
            <w:r>
              <w:rPr>
                <w:rFonts w:hint="eastAsia" w:asciiTheme="minorEastAsia" w:hAnsiTheme="minorEastAsia"/>
                <w:color w:val="000000" w:themeColor="text1"/>
                <w:sz w:val="24"/>
                <w14:textFill>
                  <w14:solidFill>
                    <w14:schemeClr w14:val="tx1"/>
                  </w14:solidFill>
                </w14:textFill>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资格标准：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详见投标人须知前附表2、第三章《投标人须知》第3条，以及第四章《采购需求》有关内容。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90</w:t>
            </w:r>
            <w:r>
              <w:rPr>
                <w:rFonts w:hint="eastAsia" w:asciiTheme="minorEastAsia" w:hAnsiTheme="minorEastAsia"/>
                <w:color w:val="000000" w:themeColor="text1"/>
                <w:sz w:val="24"/>
                <w14:textFill>
                  <w14:solidFill>
                    <w14:schemeClr w14:val="tx1"/>
                  </w14:solidFill>
                </w14:textFill>
              </w:rPr>
              <w:t>个日历日。</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 xml:space="preserve">投标文件递交地址： 铜仁市公共资源交易中心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投标截止时间：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2020</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lang w:val="en-US" w:eastAsia="zh-CN"/>
                <w14:textFill>
                  <w14:solidFill>
                    <w14:schemeClr w14:val="tx1"/>
                  </w14:solidFill>
                </w14:textFill>
              </w:rPr>
              <w:t xml:space="preserve">9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lang w:val="en-US" w:eastAsia="zh-CN"/>
                <w14:textFill>
                  <w14:solidFill>
                    <w14:schemeClr w14:val="tx1"/>
                  </w14:solidFill>
                </w14:textFill>
              </w:rPr>
              <w:t>16</w:t>
            </w:r>
            <w:r>
              <w:rPr>
                <w:rFonts w:hint="eastAsia" w:asciiTheme="minorEastAsia" w:hAnsiTheme="minorEastAsia"/>
                <w:color w:val="000000" w:themeColor="text1"/>
                <w:sz w:val="24"/>
                <w14:textFill>
                  <w14:solidFill>
                    <w14:schemeClr w14:val="tx1"/>
                  </w14:solidFill>
                </w14:textFill>
              </w:rPr>
              <w:t>日</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10:00</w:t>
            </w:r>
            <w:r>
              <w:rPr>
                <w:rFonts w:hint="eastAsia" w:asciiTheme="minorEastAsia" w:hAnsiTheme="minorEastAsia"/>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投标保证金: </w:t>
            </w:r>
            <w:r>
              <w:rPr>
                <w:rFonts w:hint="eastAsia" w:asciiTheme="minorEastAsia" w:hAnsiTheme="minorEastAsia"/>
                <w:color w:val="FF0000"/>
                <w:sz w:val="24"/>
                <w:u w:val="single"/>
              </w:rPr>
              <w:t xml:space="preserve"> </w:t>
            </w:r>
            <w:r>
              <w:rPr>
                <w:rFonts w:hint="eastAsia" w:asciiTheme="minorEastAsia" w:hAnsiTheme="minorEastAsia"/>
                <w:color w:val="FF0000"/>
                <w:sz w:val="28"/>
                <w:szCs w:val="28"/>
                <w:u w:val="single"/>
                <w:lang w:val="en-US" w:eastAsia="zh-CN"/>
              </w:rPr>
              <w:t>十万</w:t>
            </w:r>
            <w:r>
              <w:rPr>
                <w:rFonts w:hint="eastAsia" w:asciiTheme="minorEastAsia" w:hAnsiTheme="minorEastAsia"/>
                <w:color w:val="FF0000"/>
                <w:sz w:val="24"/>
              </w:rPr>
              <w:t>元</w:t>
            </w:r>
            <w:r>
              <w:rPr>
                <w:rFonts w:hint="eastAsia" w:asciiTheme="minorEastAsia" w:hAnsiTheme="minorEastAsia"/>
                <w:color w:val="000000" w:themeColor="text1"/>
                <w:sz w:val="24"/>
                <w14:textFill>
                  <w14:solidFill>
                    <w14:schemeClr w14:val="tx1"/>
                  </w14:solidFill>
                </w14:textFill>
              </w:rPr>
              <w:t>（金额及具体提交的时间与方式，投标保证金不得超过采购项目预算金额的2%）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19.1</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评标方法、标准及定标原则(含推荐中标候选供应商数量)：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交货期（含安装调试完毕）：</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FF0000"/>
                <w:sz w:val="24"/>
                <w:u w:val="single"/>
                <w:lang w:val="en-US" w:eastAsia="zh-CN"/>
              </w:rPr>
              <w:t>详见采购文件</w:t>
            </w:r>
          </w:p>
          <w:p>
            <w:pPr>
              <w:spacing w:line="440" w:lineRule="exact"/>
              <w:rPr>
                <w:rFonts w:asciiTheme="minorEastAsia" w:hAnsiTheme="minorEastAsia" w:cstheme="minorEastAsia"/>
                <w:b/>
                <w:szCs w:val="21"/>
              </w:rPr>
            </w:pPr>
            <w:r>
              <w:rPr>
                <w:rFonts w:hint="eastAsia" w:asciiTheme="minorEastAsia" w:hAnsiTheme="minorEastAsia"/>
                <w:color w:val="000000" w:themeColor="text1"/>
                <w:sz w:val="24"/>
                <w14:textFill>
                  <w14:solidFill>
                    <w14:schemeClr w14:val="tx1"/>
                  </w14:solidFill>
                </w14:textFill>
              </w:rPr>
              <w:t>交货地点：</w:t>
            </w:r>
            <w:r>
              <w:rPr>
                <w:rFonts w:hint="eastAsia" w:asciiTheme="minorEastAsia" w:hAnsiTheme="minorEastAsia"/>
                <w:color w:val="000000" w:themeColor="text1"/>
                <w:sz w:val="24"/>
                <w:u w:val="single"/>
                <w14:textFill>
                  <w14:solidFill>
                    <w14:schemeClr w14:val="tx1"/>
                  </w14:solidFill>
                </w14:textFill>
              </w:rPr>
              <w:t xml:space="preserve"> 采购人指定  </w:t>
            </w:r>
            <w:r>
              <w:rPr>
                <w:rFonts w:hint="eastAsia" w:asciiTheme="minorEastAsia" w:hAnsiTheme="minorEastAsia"/>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stheme="minorEastAsia"/>
                <w:b/>
                <w:szCs w:val="21"/>
              </w:rPr>
            </w:pPr>
            <w:r>
              <w:rPr>
                <w:rFonts w:hint="eastAsia" w:asciiTheme="minorEastAsia" w:hAnsiTheme="minorEastAsia"/>
                <w:color w:val="000000" w:themeColor="text1"/>
                <w:sz w:val="24"/>
                <w14:textFill>
                  <w14:solidFill>
                    <w14:schemeClr w14:val="tx1"/>
                  </w14:solidFill>
                </w14:textFill>
              </w:rPr>
              <w:t>其他事项（如样品提交、现场踏勘等）：</w:t>
            </w:r>
            <w:r>
              <w:rPr>
                <w:rFonts w:hint="eastAsia" w:asciiTheme="minorEastAsia" w:hAnsiTheme="minorEastAsia"/>
                <w:color w:val="000000" w:themeColor="text1"/>
                <w:sz w:val="24"/>
                <w:u w:val="single"/>
                <w14:textFill>
                  <w14:solidFill>
                    <w14:schemeClr w14:val="tx1"/>
                  </w14:solidFill>
                </w14:textFill>
              </w:rPr>
              <w:t xml:space="preserve"> 详见采购文件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联合体投标：接受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招标代理服务费标准及收取方式：本中心不收取。</w:t>
            </w:r>
          </w:p>
        </w:tc>
      </w:tr>
    </w:tbl>
    <w:p>
      <w:pPr>
        <w:jc w:val="center"/>
        <w:rPr>
          <w:rFonts w:asciiTheme="minorEastAsia" w:hAnsiTheme="minorEastAsia"/>
          <w:b/>
          <w:color w:val="000000" w:themeColor="text1"/>
          <w:sz w:val="24"/>
          <w14:textFill>
            <w14:solidFill>
              <w14:schemeClr w14:val="tx1"/>
            </w14:solidFill>
          </w14:textFill>
        </w:rPr>
      </w:pPr>
    </w:p>
    <w:p>
      <w:pPr>
        <w:spacing w:line="440" w:lineRule="exact"/>
        <w:jc w:val="center"/>
        <w:outlineLvl w:val="1"/>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br w:type="page"/>
      </w:r>
      <w:r>
        <w:rPr>
          <w:rFonts w:hint="eastAsia" w:asciiTheme="minorEastAsia" w:hAnsiTheme="minorEastAsia"/>
          <w:b/>
          <w:bCs/>
          <w:color w:val="000000" w:themeColor="text1"/>
          <w:sz w:val="24"/>
          <w14:textFill>
            <w14:solidFill>
              <w14:schemeClr w14:val="tx1"/>
            </w14:solidFill>
          </w14:textFill>
        </w:rPr>
        <w:t>投标人须知前附表2:</w:t>
      </w:r>
      <w:r>
        <w:rPr>
          <w:rFonts w:asciiTheme="minorEastAsia" w:hAnsiTheme="minorEastAsia"/>
          <w:b/>
          <w:bCs/>
          <w:color w:val="000000" w:themeColor="text1"/>
          <w:sz w:val="24"/>
          <w14:textFill>
            <w14:solidFill>
              <w14:schemeClr w14:val="tx1"/>
            </w14:solidFill>
          </w14:textFill>
        </w:rPr>
        <w:t xml:space="preserve">  </w:t>
      </w:r>
      <w:r>
        <w:rPr>
          <w:rFonts w:hint="eastAsia" w:asciiTheme="minorEastAsia" w:hAnsiTheme="minorEastAsia"/>
          <w:b/>
          <w:bCs/>
          <w:color w:val="000000" w:themeColor="text1"/>
          <w:sz w:val="24"/>
          <w14:textFill>
            <w14:solidFill>
              <w14:schemeClr w14:val="tx1"/>
            </w14:solidFill>
          </w14:textFill>
        </w:rPr>
        <w:t>资格性、符合性检查表</w:t>
      </w:r>
    </w:p>
    <w:p>
      <w:pPr>
        <w:ind w:firstLine="49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本须知前附表2集中列示了资格性、符合性检查的所有条款，其内容是采购人、招标代理机构、评标委员会判断投标人的投标是否有效的重要依据。</w:t>
      </w:r>
    </w:p>
    <w:tbl>
      <w:tblPr>
        <w:tblStyle w:val="25"/>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合格的投标人</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具体内容详见第三章第3条“合格的投标人”。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符合政府采购法第二十二条规定，提供政府采购法实施条例第十七条规定资料。</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（一）符合政府采购法第二十二条规定，提供政府采购法实施条例第十七条规定资料。</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1.具有独立承担民事责任的能力：提供法人或其他组织的营业执照等证明文件，或自然人身份证明；</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2.具有良好的商业信誉和健全的财务会计制度：提供 2019 年度经审计的财务报告或基本开户银行出具的资信证明（财务报告包括：资产负债表、利润表、现金流量表、附注（新成立企业（2019 年 3 月份以后新成立的企业可提供基本开户银行出具的资信证明 ）；</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3.具有履行合同所必需的设备和专业技术能力；</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具体要求：提供具备履行合同所必需的设备和专业技术能力的证明材料；</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4.有依法缴纳税收和社会保障资金的良好记录：</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具体要求：须提供 2020 年度第一季度社会保险缴纳证明（提供投标人社会保险缴纳证明）及 2020 年近三个月内完税证明（可提供银行汇划单、银行基本帐户季末对账单（近三个月）等相关证明）；（不需要缴纳社保资金的供应商须提供相应证明文件）；</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5.参加政府采购活动前三年内，在经营活动中没有重大违法记录：</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具体要求：提供参加政府采购活动前 3 年内在经营活动中没有重大违法记录的书面声明（格式自拟）；</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6.法律、行政法规规定的其他条件；</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并加盖投标单位公章。）</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8.本项目接受联合体招投标。</w:t>
            </w:r>
          </w:p>
          <w:p>
            <w:pPr>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合体投标的，应满足下列要求：联合体单位不得超过两家单位组成，应明确联合体牵头单位并提供联合体协议书，明确各成员承包范围、职责分工。联合体成员不得再与其他单位组成联合体或单独投标，且由联合体牵头人负责本项目投标投标、递交投标文件等相关事项。</w:t>
            </w:r>
          </w:p>
          <w:p>
            <w:pPr>
              <w:numPr>
                <w:ilvl w:val="0"/>
                <w:numId w:val="0"/>
              </w:numPr>
              <w:ind w:leftChars="200"/>
              <w:rPr>
                <w:rFonts w:hint="eastAsia"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（二）</w:t>
            </w:r>
            <w:r>
              <w:rPr>
                <w:rFonts w:hint="eastAsia" w:asciiTheme="minorEastAsia" w:hAnsiTheme="minorEastAsia"/>
                <w:color w:val="000000" w:themeColor="text1"/>
                <w:sz w:val="24"/>
                <w14:textFill>
                  <w14:solidFill>
                    <w14:schemeClr w14:val="tx1"/>
                  </w14:solidFill>
                </w14:textFill>
              </w:rPr>
              <w:t>本项目所需特殊行业资质或要求</w:t>
            </w:r>
          </w:p>
          <w:p>
            <w:pPr>
              <w:pStyle w:val="2"/>
              <w:numPr>
                <w:ilvl w:val="0"/>
                <w:numId w:val="0"/>
              </w:numPr>
              <w:ind w:leftChars="200"/>
              <w:rPr>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t>1.投标人须提供第二类《医疗器械经营许可证》或备案凭证或提供法人或其他组织的营业执照等证明文件。具备行政主管部门颁发的有效建筑机电安装工程专业承包叁级及以上资质且具备有效的安全生产许可证；建筑装修装饰工程专业承包贰级及以上。（为牵头单位）</w:t>
            </w:r>
          </w:p>
          <w:p>
            <w:pPr>
              <w:pStyle w:val="2"/>
              <w:numPr>
                <w:ilvl w:val="0"/>
                <w:numId w:val="0"/>
              </w:numPr>
              <w:ind w:leftChars="200"/>
              <w:rPr>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t>2.疫苗冷链设备采购及安装项目投标方营业执照经营范围必须具备“冷库安装工程设计及施工”。</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eastAsia="zh-CN"/>
                <w14:textFill>
                  <w14:solidFill>
                    <w14:schemeClr w14:val="tx1"/>
                  </w14:solidFill>
                </w14:textFill>
              </w:rPr>
              <w:t>三</w:t>
            </w:r>
            <w:r>
              <w:rPr>
                <w:rFonts w:hint="eastAsia" w:asciiTheme="minorEastAsia" w:hAnsiTheme="minorEastAsia"/>
                <w:color w:val="000000" w:themeColor="text1"/>
                <w:sz w:val="24"/>
                <w14:textFill>
                  <w14:solidFill>
                    <w14:schemeClr w14:val="tx1"/>
                  </w14:solidFill>
                </w14:textFill>
              </w:rPr>
              <w:t>）本项目 接受 联合体投标</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供应商若为联合体的，须提供联合体协议。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投标保证金凭据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 xml:space="preserve">90 </w:t>
            </w:r>
            <w:r>
              <w:rPr>
                <w:rFonts w:hint="eastAsia" w:asciiTheme="minorEastAsia" w:hAnsiTheme="minorEastAsia"/>
                <w:color w:val="000000" w:themeColor="text1"/>
                <w:sz w:val="24"/>
                <w14:textFill>
                  <w14:solidFill>
                    <w14:schemeClr w14:val="tx1"/>
                  </w14:solidFill>
                </w14:textFill>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（1）实质性影响合同的范围、质量和履行；</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（2）实质性违背招标文件，限制了采购人的权利和中标人合同项下的义务；</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(1)投标文件未按照本须知第14条和15条的规定格式进行密封、标记的；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(2)未按规定由投标人的法定代表人或其授权代表签字；或未加盖投标人公章的；或签字人未提供法定代表人有效授权委托书的；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(3)未按本须知第13条规定提交投标保证金的；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(4)投标有效期不满足招标文件要求的；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(5)投标内容与招标内容及要求有重大偏离或保留的；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(6)投标人提交的是可选择的报价；</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(7)投标人未按规定对投标进行分项报价；</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(8)投标文件中提供虚假或失实资料的；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bl>
    <w:p>
      <w:pPr>
        <w:rPr>
          <w:rFonts w:asciiTheme="minorEastAsia" w:hAnsiTheme="minorEastAsia"/>
          <w:b/>
          <w:color w:val="000000" w:themeColor="text1"/>
          <w:sz w:val="24"/>
          <w14:textFill>
            <w14:solidFill>
              <w14:schemeClr w14:val="tx1"/>
            </w14:solidFill>
          </w14:textFill>
        </w:rPr>
      </w:pPr>
    </w:p>
    <w:p>
      <w:pPr>
        <w:jc w:val="center"/>
        <w:outlineLvl w:val="1"/>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投标人须知前附表3：评标方法、评标标准、定标原则</w:t>
      </w:r>
    </w:p>
    <w:tbl>
      <w:tblPr>
        <w:tblStyle w:val="25"/>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7"/>
              <w:numPr>
                <w:ilvl w:val="0"/>
                <w:numId w:val="6"/>
              </w:numPr>
              <w:snapToGrid w:val="0"/>
              <w:spacing w:line="42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评标方法：</w:t>
            </w:r>
          </w:p>
          <w:p>
            <w:pPr>
              <w:pStyle w:val="7"/>
              <w:snapToGrid w:val="0"/>
              <w:spacing w:line="420" w:lineRule="atLeast"/>
              <w:ind w:left="480" w:firstLine="0"/>
              <w:rPr>
                <w:rFonts w:asciiTheme="minorEastAsia" w:hAnsiTheme="minorEastAsia"/>
                <w:color w:val="000000" w:themeColor="text1"/>
                <w:sz w:val="24"/>
                <w:szCs w:val="24"/>
                <w14:textFill>
                  <w14:solidFill>
                    <w14:schemeClr w14:val="tx1"/>
                  </w14:solidFill>
                </w14:textFill>
              </w:rPr>
            </w:pPr>
            <w:r>
              <w:rPr>
                <w:rFonts w:ascii="Segoe UI Emoji" w:hAnsi="Segoe UI Emoji" w:cs="Segoe UI Emoji"/>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 综合评分法  □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7"/>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二、评标标准：</w:t>
            </w:r>
          </w:p>
          <w:p>
            <w:pPr>
              <w:pStyle w:val="7"/>
              <w:snapToGrid w:val="0"/>
              <w:spacing w:line="420" w:lineRule="atLeast"/>
              <w:ind w:firstLine="480" w:firstLineChars="20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（一）具体的评标标准。</w:t>
            </w:r>
          </w:p>
          <w:tbl>
            <w:tblPr>
              <w:tblStyle w:val="26"/>
              <w:tblW w:w="7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32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76"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价格分30分</w:t>
                  </w:r>
                </w:p>
              </w:tc>
              <w:tc>
                <w:tcPr>
                  <w:tcW w:w="5320" w:type="dxa"/>
                  <w:vAlign w:val="center"/>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投标报价得分＝（评标基准价／有效投标报价）×价格权值(30%)×100</w:t>
                  </w:r>
                </w:p>
              </w:tc>
              <w:tc>
                <w:tcPr>
                  <w:tcW w:w="1376"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76" w:type="dxa"/>
                  <w:vMerge w:val="restart"/>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技术分50分</w:t>
                  </w:r>
                </w:p>
              </w:tc>
              <w:tc>
                <w:tcPr>
                  <w:tcW w:w="5320" w:type="dxa"/>
                  <w:vAlign w:val="center"/>
                </w:tcPr>
                <w:p>
                  <w:pPr>
                    <w:widowControl/>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bidi="ar"/>
                    </w:rPr>
                    <w:t>全部满足采购清单中技术参数要求的得45分。带★号技术参数一项负偏离扣5分；除★号外的技术参数一项负偏离扣2分，直到扣完为止。提供制造商盖章的官方彩页原件或制造商盖章的检测报告复印件予以证明</w:t>
                  </w:r>
                  <w:r>
                    <w:rPr>
                      <w:rFonts w:hint="eastAsia" w:ascii="宋体" w:hAnsi="宋体" w:eastAsia="宋体" w:cs="宋体"/>
                      <w:color w:val="000000"/>
                      <w:kern w:val="0"/>
                      <w:sz w:val="24"/>
                      <w:lang w:eastAsia="zh-CN" w:bidi="ar"/>
                    </w:rPr>
                    <w:t>。对需要计量检定或者校准的设备，应承诺提供计量检定证书或者校准证书。</w:t>
                  </w:r>
                </w:p>
              </w:tc>
              <w:tc>
                <w:tcPr>
                  <w:tcW w:w="1376"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76" w:type="dxa"/>
                  <w:vMerge w:val="continue"/>
                  <w:vAlign w:val="center"/>
                </w:tcPr>
                <w:p>
                  <w:pPr>
                    <w:widowControl/>
                    <w:jc w:val="center"/>
                    <w:rPr>
                      <w:rFonts w:ascii="宋体" w:hAnsi="宋体" w:eastAsia="宋体" w:cs="宋体"/>
                      <w:color w:val="000000"/>
                      <w:kern w:val="0"/>
                      <w:sz w:val="24"/>
                      <w:lang w:bidi="ar"/>
                    </w:rPr>
                  </w:pPr>
                </w:p>
              </w:tc>
              <w:tc>
                <w:tcPr>
                  <w:tcW w:w="5320" w:type="dxa"/>
                  <w:vAlign w:val="center"/>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对投标人投标产品进行产品质量综合评价，至少应包含：供货渠道，产品性能指标，货物质量保证承诺，技术支持，设备安装、调试方案等内容。满足采购需求的得2分，基本满足的得1分，一般的得0分。</w:t>
                  </w:r>
                </w:p>
              </w:tc>
              <w:tc>
                <w:tcPr>
                  <w:tcW w:w="1376"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76" w:type="dxa"/>
                  <w:vMerge w:val="continue"/>
                  <w:vAlign w:val="center"/>
                </w:tcPr>
                <w:p>
                  <w:pPr>
                    <w:widowControl/>
                    <w:jc w:val="center"/>
                    <w:rPr>
                      <w:rFonts w:ascii="宋体" w:hAnsi="宋体" w:eastAsia="宋体" w:cs="宋体"/>
                      <w:color w:val="000000"/>
                      <w:kern w:val="0"/>
                      <w:sz w:val="24"/>
                      <w:lang w:bidi="ar"/>
                    </w:rPr>
                  </w:pPr>
                </w:p>
              </w:tc>
              <w:tc>
                <w:tcPr>
                  <w:tcW w:w="5320" w:type="dxa"/>
                  <w:vAlign w:val="center"/>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进口产品要求提供制造商或者国内代理商出具的授权函（须注明所投产品型号）得3分；未提供或未注明型号的不得分</w:t>
                  </w:r>
                </w:p>
              </w:tc>
              <w:tc>
                <w:tcPr>
                  <w:tcW w:w="1376"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76" w:type="dxa"/>
                  <w:vMerge w:val="restart"/>
                  <w:vAlign w:val="center"/>
                </w:tcPr>
                <w:p>
                  <w:pPr>
                    <w:widowControl/>
                    <w:jc w:val="center"/>
                  </w:pPr>
                  <w:r>
                    <w:rPr>
                      <w:rFonts w:hint="eastAsia" w:ascii="宋体" w:hAnsi="宋体" w:eastAsia="宋体" w:cs="宋体"/>
                      <w:color w:val="000000"/>
                      <w:kern w:val="0"/>
                      <w:sz w:val="24"/>
                      <w:lang w:bidi="ar"/>
                    </w:rPr>
                    <w:t>商务分</w:t>
                  </w:r>
                </w:p>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20分</w:t>
                  </w:r>
                </w:p>
              </w:tc>
              <w:tc>
                <w:tcPr>
                  <w:tcW w:w="5320" w:type="dxa"/>
                  <w:vAlign w:val="center"/>
                </w:tcPr>
                <w:p>
                  <w:pPr>
                    <w:widowControl/>
                    <w:jc w:val="left"/>
                  </w:pPr>
                  <w:r>
                    <w:rPr>
                      <w:rFonts w:hint="eastAsia" w:ascii="宋体" w:hAnsi="宋体" w:eastAsia="宋体" w:cs="宋体"/>
                      <w:color w:val="000000"/>
                      <w:kern w:val="0"/>
                      <w:sz w:val="24"/>
                      <w:lang w:bidi="ar"/>
                    </w:rPr>
                    <w:t>提供切实可行、实施性强的售后服务方案：其中应包含</w:t>
                  </w:r>
                </w:p>
                <w:p>
                  <w:pPr>
                    <w:widowControl/>
                    <w:jc w:val="left"/>
                  </w:pPr>
                  <w:r>
                    <w:rPr>
                      <w:rFonts w:hint="eastAsia" w:ascii="宋体" w:hAnsi="宋体" w:eastAsia="宋体" w:cs="宋体"/>
                      <w:color w:val="000000"/>
                      <w:kern w:val="0"/>
                      <w:sz w:val="24"/>
                      <w:lang w:bidi="ar"/>
                    </w:rPr>
                    <w:t>（1）售后服务承诺；</w:t>
                  </w:r>
                </w:p>
                <w:p>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（2）维护、维修服务方案，</w:t>
                  </w:r>
                </w:p>
                <w:p>
                  <w:pPr>
                    <w:widowControl/>
                    <w:jc w:val="left"/>
                  </w:pPr>
                  <w:r>
                    <w:rPr>
                      <w:rFonts w:hint="eastAsia" w:ascii="宋体" w:hAnsi="宋体" w:eastAsia="宋体" w:cs="宋体"/>
                      <w:color w:val="000000"/>
                      <w:kern w:val="0"/>
                      <w:sz w:val="24"/>
                      <w:lang w:bidi="ar"/>
                    </w:rPr>
                    <w:t>（3）备品备件的承诺；</w:t>
                  </w:r>
                </w:p>
                <w:p>
                  <w:pPr>
                    <w:widowControl/>
                    <w:jc w:val="left"/>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）应急措施等。</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售后服务方案详尽</w:t>
                  </w:r>
                  <w:r>
                    <w:rPr>
                      <w:rFonts w:hint="eastAsia" w:ascii="宋体" w:hAnsi="宋体" w:eastAsia="宋体" w:cs="宋体"/>
                      <w:color w:val="000000"/>
                      <w:kern w:val="0"/>
                      <w:sz w:val="24"/>
                      <w:lang w:eastAsia="zh-CN" w:bidi="ar"/>
                    </w:rPr>
                    <w:t>且维修响应承诺时间在</w:t>
                  </w:r>
                  <w:r>
                    <w:rPr>
                      <w:rFonts w:hint="eastAsia" w:ascii="宋体" w:hAnsi="宋体" w:eastAsia="宋体" w:cs="宋体"/>
                      <w:color w:val="000000"/>
                      <w:kern w:val="0"/>
                      <w:sz w:val="24"/>
                      <w:lang w:val="en-US" w:eastAsia="zh-CN" w:bidi="ar"/>
                    </w:rPr>
                    <w:t>6小时以内得7分，</w:t>
                  </w:r>
                  <w:r>
                    <w:rPr>
                      <w:rFonts w:hint="eastAsia" w:ascii="宋体" w:hAnsi="宋体" w:eastAsia="宋体" w:cs="宋体"/>
                      <w:color w:val="000000"/>
                      <w:kern w:val="0"/>
                      <w:sz w:val="24"/>
                      <w:lang w:eastAsia="zh-CN" w:bidi="ar"/>
                    </w:rPr>
                    <w:t>维修响应承诺时间</w:t>
                  </w:r>
                  <w:r>
                    <w:rPr>
                      <w:rFonts w:hint="eastAsia" w:ascii="宋体" w:hAnsi="宋体" w:eastAsia="宋体" w:cs="宋体"/>
                      <w:color w:val="000000"/>
                      <w:kern w:val="0"/>
                      <w:sz w:val="24"/>
                      <w:lang w:val="en-US" w:eastAsia="zh-CN" w:bidi="ar"/>
                    </w:rPr>
                    <w:t>12个小时以内</w:t>
                  </w:r>
                  <w:r>
                    <w:rPr>
                      <w:rFonts w:hint="eastAsia" w:ascii="宋体" w:hAnsi="宋体" w:eastAsia="宋体" w:cs="宋体"/>
                      <w:color w:val="000000"/>
                      <w:kern w:val="0"/>
                      <w:sz w:val="24"/>
                      <w:lang w:bidi="ar"/>
                    </w:rPr>
                    <w:t>的得</w:t>
                  </w: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bidi="ar"/>
                    </w:rPr>
                    <w:t>分，</w:t>
                  </w:r>
                  <w:r>
                    <w:rPr>
                      <w:rFonts w:hint="eastAsia" w:ascii="宋体" w:hAnsi="宋体" w:eastAsia="宋体" w:cs="宋体"/>
                      <w:color w:val="000000"/>
                      <w:kern w:val="0"/>
                      <w:sz w:val="24"/>
                      <w:lang w:eastAsia="zh-CN" w:bidi="ar"/>
                    </w:rPr>
                    <w:t>维修响应承诺时间</w:t>
                  </w:r>
                  <w:r>
                    <w:rPr>
                      <w:rFonts w:hint="eastAsia" w:ascii="宋体" w:hAnsi="宋体" w:eastAsia="宋体" w:cs="宋体"/>
                      <w:color w:val="000000"/>
                      <w:kern w:val="0"/>
                      <w:sz w:val="24"/>
                      <w:lang w:val="en-US" w:eastAsia="zh-CN" w:bidi="ar"/>
                    </w:rPr>
                    <w:t>24小时以内得3分；</w:t>
                  </w:r>
                  <w:r>
                    <w:rPr>
                      <w:rFonts w:hint="eastAsia" w:ascii="宋体" w:hAnsi="宋体" w:eastAsia="宋体" w:cs="宋体"/>
                      <w:color w:val="000000"/>
                      <w:kern w:val="0"/>
                      <w:sz w:val="24"/>
                      <w:lang w:bidi="ar"/>
                    </w:rPr>
                    <w:t>售后服务方案</w:t>
                  </w:r>
                  <w:r>
                    <w:rPr>
                      <w:rFonts w:hint="eastAsia" w:ascii="宋体" w:hAnsi="宋体" w:eastAsia="宋体" w:cs="宋体"/>
                      <w:color w:val="000000"/>
                      <w:kern w:val="0"/>
                      <w:sz w:val="24"/>
                      <w:lang w:eastAsia="zh-CN" w:bidi="ar"/>
                    </w:rPr>
                    <w:t>较</w:t>
                  </w:r>
                  <w:r>
                    <w:rPr>
                      <w:rFonts w:hint="eastAsia" w:ascii="宋体" w:hAnsi="宋体" w:eastAsia="宋体" w:cs="宋体"/>
                      <w:color w:val="000000"/>
                      <w:kern w:val="0"/>
                      <w:sz w:val="24"/>
                      <w:lang w:bidi="ar"/>
                    </w:rPr>
                    <w:t>详尽</w:t>
                  </w:r>
                  <w:r>
                    <w:rPr>
                      <w:rFonts w:hint="eastAsia" w:ascii="宋体" w:hAnsi="宋体" w:eastAsia="宋体" w:cs="宋体"/>
                      <w:color w:val="000000"/>
                      <w:kern w:val="0"/>
                      <w:sz w:val="24"/>
                      <w:lang w:eastAsia="zh-CN" w:bidi="ar"/>
                    </w:rPr>
                    <w:t>且维修响应承诺时间在</w:t>
                  </w:r>
                  <w:r>
                    <w:rPr>
                      <w:rFonts w:hint="eastAsia" w:ascii="宋体" w:hAnsi="宋体" w:eastAsia="宋体" w:cs="宋体"/>
                      <w:color w:val="000000"/>
                      <w:kern w:val="0"/>
                      <w:sz w:val="24"/>
                      <w:lang w:val="en-US" w:eastAsia="zh-CN" w:bidi="ar"/>
                    </w:rPr>
                    <w:t>6小时以内得5分，</w:t>
                  </w:r>
                  <w:r>
                    <w:rPr>
                      <w:rFonts w:hint="eastAsia" w:ascii="宋体" w:hAnsi="宋体" w:eastAsia="宋体" w:cs="宋体"/>
                      <w:color w:val="000000"/>
                      <w:kern w:val="0"/>
                      <w:sz w:val="24"/>
                      <w:lang w:eastAsia="zh-CN" w:bidi="ar"/>
                    </w:rPr>
                    <w:t>维修响应承诺时间</w:t>
                  </w:r>
                  <w:r>
                    <w:rPr>
                      <w:rFonts w:hint="eastAsia" w:ascii="宋体" w:hAnsi="宋体" w:eastAsia="宋体" w:cs="宋体"/>
                      <w:color w:val="000000"/>
                      <w:kern w:val="0"/>
                      <w:sz w:val="24"/>
                      <w:lang w:val="en-US" w:eastAsia="zh-CN" w:bidi="ar"/>
                    </w:rPr>
                    <w:t>12个小时以内</w:t>
                  </w:r>
                  <w:r>
                    <w:rPr>
                      <w:rFonts w:hint="eastAsia" w:ascii="宋体" w:hAnsi="宋体" w:eastAsia="宋体" w:cs="宋体"/>
                      <w:color w:val="000000"/>
                      <w:kern w:val="0"/>
                      <w:sz w:val="24"/>
                      <w:lang w:bidi="ar"/>
                    </w:rPr>
                    <w:t>的得</w:t>
                  </w: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分，</w:t>
                  </w:r>
                  <w:r>
                    <w:rPr>
                      <w:rFonts w:hint="eastAsia" w:ascii="宋体" w:hAnsi="宋体" w:eastAsia="宋体" w:cs="宋体"/>
                      <w:color w:val="000000"/>
                      <w:kern w:val="0"/>
                      <w:sz w:val="24"/>
                      <w:lang w:eastAsia="zh-CN" w:bidi="ar"/>
                    </w:rPr>
                    <w:t>维修响应承诺时间</w:t>
                  </w:r>
                  <w:r>
                    <w:rPr>
                      <w:rFonts w:hint="eastAsia" w:ascii="宋体" w:hAnsi="宋体" w:eastAsia="宋体" w:cs="宋体"/>
                      <w:color w:val="000000"/>
                      <w:kern w:val="0"/>
                      <w:sz w:val="24"/>
                      <w:lang w:val="en-US" w:eastAsia="zh-CN" w:bidi="ar"/>
                    </w:rPr>
                    <w:t>24小时以内得2分；</w:t>
                  </w:r>
                  <w:r>
                    <w:rPr>
                      <w:rFonts w:hint="eastAsia" w:ascii="宋体" w:hAnsi="宋体" w:eastAsia="宋体" w:cs="宋体"/>
                      <w:color w:val="000000"/>
                      <w:kern w:val="0"/>
                      <w:sz w:val="24"/>
                      <w:lang w:bidi="ar"/>
                    </w:rPr>
                    <w:t>售后服务方案</w:t>
                  </w:r>
                  <w:r>
                    <w:rPr>
                      <w:rFonts w:hint="eastAsia" w:ascii="宋体" w:hAnsi="宋体" w:eastAsia="宋体" w:cs="宋体"/>
                      <w:color w:val="000000"/>
                      <w:kern w:val="0"/>
                      <w:sz w:val="24"/>
                      <w:lang w:eastAsia="zh-CN" w:bidi="ar"/>
                    </w:rPr>
                    <w:t>一般且维修响应承诺时间在</w:t>
                  </w:r>
                  <w:r>
                    <w:rPr>
                      <w:rFonts w:hint="eastAsia" w:ascii="宋体" w:hAnsi="宋体" w:eastAsia="宋体" w:cs="宋体"/>
                      <w:color w:val="000000"/>
                      <w:kern w:val="0"/>
                      <w:sz w:val="24"/>
                      <w:lang w:val="en-US" w:eastAsia="zh-CN" w:bidi="ar"/>
                    </w:rPr>
                    <w:t>6小时以内得3分，</w:t>
                  </w:r>
                  <w:r>
                    <w:rPr>
                      <w:rFonts w:hint="eastAsia" w:ascii="宋体" w:hAnsi="宋体" w:eastAsia="宋体" w:cs="宋体"/>
                      <w:color w:val="000000"/>
                      <w:kern w:val="0"/>
                      <w:sz w:val="24"/>
                      <w:lang w:eastAsia="zh-CN" w:bidi="ar"/>
                    </w:rPr>
                    <w:t>维修响应承诺时间</w:t>
                  </w:r>
                  <w:r>
                    <w:rPr>
                      <w:rFonts w:hint="eastAsia" w:ascii="宋体" w:hAnsi="宋体" w:eastAsia="宋体" w:cs="宋体"/>
                      <w:color w:val="000000"/>
                      <w:kern w:val="0"/>
                      <w:sz w:val="24"/>
                      <w:lang w:val="en-US" w:eastAsia="zh-CN" w:bidi="ar"/>
                    </w:rPr>
                    <w:t>12个小时以内</w:t>
                  </w:r>
                  <w:r>
                    <w:rPr>
                      <w:rFonts w:hint="eastAsia" w:ascii="宋体" w:hAnsi="宋体" w:eastAsia="宋体" w:cs="宋体"/>
                      <w:color w:val="000000"/>
                      <w:kern w:val="0"/>
                      <w:sz w:val="24"/>
                      <w:lang w:bidi="ar"/>
                    </w:rPr>
                    <w:t>的得</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w:t>
                  </w:r>
                  <w:r>
                    <w:rPr>
                      <w:rFonts w:hint="eastAsia" w:ascii="宋体" w:hAnsi="宋体" w:eastAsia="宋体" w:cs="宋体"/>
                      <w:color w:val="000000"/>
                      <w:kern w:val="0"/>
                      <w:sz w:val="24"/>
                      <w:lang w:eastAsia="zh-CN" w:bidi="ar"/>
                    </w:rPr>
                    <w:t>维修响应承诺时间</w:t>
                  </w:r>
                  <w:r>
                    <w:rPr>
                      <w:rFonts w:hint="eastAsia" w:ascii="宋体" w:hAnsi="宋体" w:eastAsia="宋体" w:cs="宋体"/>
                      <w:color w:val="000000"/>
                      <w:kern w:val="0"/>
                      <w:sz w:val="24"/>
                      <w:lang w:val="en-US" w:eastAsia="zh-CN" w:bidi="ar"/>
                    </w:rPr>
                    <w:t>24小时以内得1分.</w:t>
                  </w:r>
                </w:p>
              </w:tc>
              <w:tc>
                <w:tcPr>
                  <w:tcW w:w="1376" w:type="dxa"/>
                  <w:vAlign w:val="center"/>
                </w:tcPr>
                <w:p>
                  <w:pPr>
                    <w:widowControl/>
                    <w:jc w:val="center"/>
                    <w:rPr>
                      <w:rFonts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7</w:t>
                  </w:r>
                  <w:r>
                    <w:rPr>
                      <w:rFonts w:hint="eastAsia" w:ascii="宋体" w:hAnsi="宋体" w:eastAsia="宋体" w:cs="宋体"/>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76" w:type="dxa"/>
                  <w:vMerge w:val="continue"/>
                  <w:vAlign w:val="center"/>
                </w:tcPr>
                <w:p>
                  <w:pPr>
                    <w:widowControl/>
                    <w:jc w:val="center"/>
                    <w:rPr>
                      <w:rFonts w:ascii="宋体" w:hAnsi="宋体" w:eastAsia="宋体" w:cs="宋体"/>
                      <w:color w:val="000000"/>
                      <w:kern w:val="0"/>
                      <w:sz w:val="24"/>
                      <w:lang w:bidi="ar"/>
                    </w:rPr>
                  </w:pPr>
                </w:p>
              </w:tc>
              <w:tc>
                <w:tcPr>
                  <w:tcW w:w="5320" w:type="dxa"/>
                  <w:vAlign w:val="center"/>
                </w:tcPr>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类似业绩：提供近3年以来的类似项目业绩，每提供1个业绩得</w:t>
                  </w:r>
                  <w:r>
                    <w:rPr>
                      <w:rFonts w:ascii="宋体" w:hAnsi="宋体" w:eastAsia="宋体" w:cs="宋体"/>
                      <w:color w:val="000000"/>
                      <w:kern w:val="0"/>
                      <w:sz w:val="24"/>
                      <w:lang w:bidi="ar"/>
                    </w:rPr>
                    <w:t>1</w:t>
                  </w:r>
                  <w:r>
                    <w:rPr>
                      <w:rFonts w:hint="eastAsia" w:ascii="宋体" w:hAnsi="宋体" w:eastAsia="宋体" w:cs="宋体"/>
                      <w:color w:val="000000"/>
                      <w:kern w:val="0"/>
                      <w:sz w:val="24"/>
                      <w:lang w:bidi="ar"/>
                    </w:rPr>
                    <w:t>分，最多得</w:t>
                  </w:r>
                  <w:r>
                    <w:rPr>
                      <w:rFonts w:ascii="宋体" w:hAnsi="宋体" w:eastAsia="宋体" w:cs="宋体"/>
                      <w:color w:val="000000"/>
                      <w:kern w:val="0"/>
                      <w:sz w:val="24"/>
                      <w:lang w:bidi="ar"/>
                    </w:rPr>
                    <w:t>3</w:t>
                  </w:r>
                  <w:r>
                    <w:rPr>
                      <w:rFonts w:hint="eastAsia" w:ascii="宋体" w:hAnsi="宋体" w:eastAsia="宋体" w:cs="宋体"/>
                      <w:color w:val="000000"/>
                      <w:kern w:val="0"/>
                      <w:sz w:val="24"/>
                      <w:lang w:bidi="ar"/>
                    </w:rPr>
                    <w:t>分。提供合同复印件加盖公章。</w:t>
                  </w:r>
                </w:p>
              </w:tc>
              <w:tc>
                <w:tcPr>
                  <w:tcW w:w="1376" w:type="dxa"/>
                  <w:vAlign w:val="center"/>
                </w:tcPr>
                <w:p>
                  <w:pPr>
                    <w:widowControl/>
                    <w:jc w:val="center"/>
                    <w:rPr>
                      <w:rFonts w:ascii="宋体" w:hAnsi="宋体" w:eastAsia="宋体" w:cs="宋体"/>
                      <w:color w:val="000000"/>
                      <w:kern w:val="0"/>
                      <w:sz w:val="24"/>
                      <w:lang w:bidi="ar"/>
                    </w:rPr>
                  </w:pPr>
                  <w:r>
                    <w:rPr>
                      <w:rFonts w:ascii="宋体" w:hAnsi="宋体" w:eastAsia="宋体" w:cs="宋体"/>
                      <w:color w:val="000000"/>
                      <w:kern w:val="0"/>
                      <w:sz w:val="24"/>
                      <w:lang w:bidi="ar"/>
                    </w:rPr>
                    <w:t>3</w:t>
                  </w:r>
                  <w:r>
                    <w:rPr>
                      <w:rFonts w:hint="eastAsia" w:ascii="宋体" w:hAnsi="宋体" w:eastAsia="宋体" w:cs="宋体"/>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76" w:type="dxa"/>
                  <w:vMerge w:val="continue"/>
                  <w:vAlign w:val="center"/>
                </w:tcPr>
                <w:p>
                  <w:pPr>
                    <w:widowControl/>
                    <w:jc w:val="center"/>
                    <w:rPr>
                      <w:rFonts w:ascii="宋体" w:hAnsi="宋体" w:eastAsia="宋体" w:cs="宋体"/>
                      <w:color w:val="000000"/>
                      <w:kern w:val="0"/>
                      <w:sz w:val="24"/>
                      <w:lang w:bidi="ar"/>
                    </w:rPr>
                  </w:pPr>
                </w:p>
              </w:tc>
              <w:tc>
                <w:tcPr>
                  <w:tcW w:w="5320" w:type="dxa"/>
                  <w:vAlign w:val="center"/>
                </w:tcPr>
                <w:p>
                  <w:pPr>
                    <w:widowControl/>
                    <w:ind w:firstLine="48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联合体成员方需提供以下资质：</w:t>
                  </w:r>
                </w:p>
                <w:p>
                  <w:pPr>
                    <w:pStyle w:val="97"/>
                    <w:widowControl/>
                    <w:numPr>
                      <w:ilvl w:val="0"/>
                      <w:numId w:val="7"/>
                    </w:numPr>
                    <w:ind w:firstLineChars="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安全生产标准化证书</w:t>
                  </w:r>
                </w:p>
                <w:p>
                  <w:pPr>
                    <w:pStyle w:val="97"/>
                    <w:widowControl/>
                    <w:numPr>
                      <w:ilvl w:val="0"/>
                      <w:numId w:val="7"/>
                    </w:numPr>
                    <w:ind w:firstLineChars="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建筑装修装饰工程专业承包贰级</w:t>
                  </w:r>
                </w:p>
                <w:p>
                  <w:pPr>
                    <w:pStyle w:val="97"/>
                    <w:widowControl/>
                    <w:numPr>
                      <w:ilvl w:val="0"/>
                      <w:numId w:val="7"/>
                    </w:numPr>
                    <w:ind w:firstLineChars="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建筑机电安装工程专业承包叁级</w:t>
                  </w:r>
                </w:p>
                <w:p>
                  <w:pPr>
                    <w:pStyle w:val="97"/>
                    <w:widowControl/>
                    <w:numPr>
                      <w:ilvl w:val="0"/>
                      <w:numId w:val="7"/>
                    </w:numPr>
                    <w:ind w:firstLineChars="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安全生产许可证</w:t>
                  </w:r>
                </w:p>
                <w:p>
                  <w:pPr>
                    <w:pStyle w:val="97"/>
                    <w:widowControl/>
                    <w:numPr>
                      <w:ilvl w:val="0"/>
                      <w:numId w:val="7"/>
                    </w:numPr>
                    <w:ind w:firstLineChars="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环保工程专业承包叁级</w:t>
                  </w:r>
                </w:p>
                <w:p>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以上资质全部提供得</w:t>
                  </w:r>
                  <w:r>
                    <w:rPr>
                      <w:rFonts w:ascii="宋体" w:hAnsi="宋体" w:eastAsia="宋体" w:cs="宋体"/>
                      <w:color w:val="000000"/>
                      <w:kern w:val="0"/>
                      <w:sz w:val="24"/>
                      <w:lang w:bidi="ar"/>
                    </w:rPr>
                    <w:t>10</w:t>
                  </w:r>
                  <w:r>
                    <w:rPr>
                      <w:rFonts w:hint="eastAsia" w:ascii="宋体" w:hAnsi="宋体" w:eastAsia="宋体" w:cs="宋体"/>
                      <w:color w:val="000000"/>
                      <w:kern w:val="0"/>
                      <w:sz w:val="24"/>
                      <w:lang w:bidi="ar"/>
                    </w:rPr>
                    <w:t>分，提供不全或者不满足不得分</w:t>
                  </w:r>
                </w:p>
              </w:tc>
              <w:tc>
                <w:tcPr>
                  <w:tcW w:w="1376" w:type="dxa"/>
                  <w:vAlign w:val="center"/>
                </w:tcPr>
                <w:p>
                  <w:pPr>
                    <w:widowControl/>
                    <w:jc w:val="center"/>
                    <w:rPr>
                      <w:rFonts w:ascii="宋体" w:hAnsi="宋体" w:eastAsia="宋体" w:cs="宋体"/>
                      <w:color w:val="000000"/>
                      <w:kern w:val="0"/>
                      <w:sz w:val="24"/>
                      <w:lang w:bidi="ar"/>
                    </w:rPr>
                  </w:pPr>
                  <w:r>
                    <w:rPr>
                      <w:rFonts w:ascii="宋体" w:hAnsi="宋体" w:eastAsia="宋体" w:cs="宋体"/>
                      <w:color w:val="000000"/>
                      <w:kern w:val="0"/>
                      <w:sz w:val="24"/>
                      <w:lang w:bidi="ar"/>
                    </w:rPr>
                    <w:t>10</w:t>
                  </w:r>
                  <w:r>
                    <w:rPr>
                      <w:rFonts w:hint="eastAsia" w:ascii="宋体" w:hAnsi="宋体" w:eastAsia="宋体" w:cs="宋体"/>
                      <w:color w:val="000000"/>
                      <w:kern w:val="0"/>
                      <w:sz w:val="24"/>
                      <w:lang w:bidi="ar"/>
                    </w:rPr>
                    <w:t>分</w:t>
                  </w:r>
                </w:p>
              </w:tc>
            </w:tr>
          </w:tbl>
          <w:p>
            <w:pPr>
              <w:pStyle w:val="7"/>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（二）推荐拟中标候选供应商名单。1、中标候选供应商数量：</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个。2、中标候选供应商排列顺序。经投标文件初审、澄清有关问题、比较与评价评标程序后，按以下办法推荐中标候选供应商名单的排列顺序（请按采购项目的评标方法从以下三项中选择一项打“√”）：</w:t>
            </w:r>
          </w:p>
          <w:p>
            <w:pPr>
              <w:pStyle w:val="7"/>
              <w:snapToGrid w:val="0"/>
              <w:spacing w:line="42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□采用最低评标价法的，评标结果按投标报价由低到高顺序排列。投标报价相同的并列。投标文件满足招标文件全部实质性要求且投标报价最低的投标人为排名第一的中标候选人。</w:t>
            </w:r>
          </w:p>
          <w:p>
            <w:pPr>
              <w:pStyle w:val="7"/>
              <w:snapToGrid w:val="0"/>
              <w:spacing w:line="420" w:lineRule="atLeast"/>
              <w:ind w:firstLine="480" w:firstLineChars="200"/>
              <w:rPr>
                <w:rFonts w:asciiTheme="minorEastAsia" w:hAnsiTheme="minorEastAsia"/>
                <w:color w:val="FF0000"/>
                <w:sz w:val="24"/>
                <w:szCs w:val="24"/>
              </w:rPr>
            </w:pPr>
            <w:r>
              <w:rPr>
                <w:rFonts w:hint="eastAsia" w:asciiTheme="minorEastAsia" w:hAnsiTheme="minorEastAsia"/>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7"/>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三、定标原则：</w:t>
            </w:r>
          </w:p>
          <w:p>
            <w:pPr>
              <w:pStyle w:val="7"/>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采购人委托招标代理机构招标，授权评标委员会直接确定中标供应商。</w:t>
            </w:r>
          </w:p>
          <w:p>
            <w:pPr>
              <w:pStyle w:val="7"/>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采购人委托招标代理机构招标，在收到评标报告后5个工作日内，按照评标报告中推荐的中标候选供应商顺序确定中标供应商。</w:t>
            </w:r>
          </w:p>
          <w:p>
            <w:pPr>
              <w:pStyle w:val="7"/>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采购人自行组织招标，在评标结束后5个工作日内确定中标供应商。</w:t>
            </w:r>
          </w:p>
        </w:tc>
      </w:tr>
    </w:tbl>
    <w:p>
      <w:pPr>
        <w:pStyle w:val="7"/>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
      <w:pPr>
        <w:pStyle w:val="5"/>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r>
        <w:rPr>
          <w:rFonts w:hint="eastAsia" w:asciiTheme="minorEastAsia" w:hAnsiTheme="minorEastAsia" w:cstheme="minorBidi"/>
          <w:b/>
          <w:color w:val="000000" w:themeColor="text1"/>
          <w:sz w:val="24"/>
          <w:szCs w:val="24"/>
          <w14:textFill>
            <w14:solidFill>
              <w14:schemeClr w14:val="tx1"/>
            </w14:solidFill>
          </w14:textFill>
        </w:rPr>
        <w:t>中标供应商须知前附表4：中小企业及监狱企业优惠办法</w:t>
      </w:r>
    </w:p>
    <w:tbl>
      <w:tblPr>
        <w:tblStyle w:val="2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w:t>
            </w:r>
          </w:p>
        </w:tc>
        <w:tc>
          <w:tcPr>
            <w:tcW w:w="6256"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spacing w:line="480" w:lineRule="exact"/>
              <w:rPr>
                <w:rFonts w:asciiTheme="minorEastAsia" w:hAnsiTheme="minorEastAsia"/>
                <w:color w:val="000000" w:themeColor="text1"/>
                <w:sz w:val="24"/>
                <w14:textFill>
                  <w14:solidFill>
                    <w14:schemeClr w14:val="tx1"/>
                  </w14:solidFill>
                </w14:textFill>
              </w:rPr>
            </w:pPr>
            <w:r>
              <w:rPr>
                <w:rFonts w:hint="eastAsia" w:ascii="Segoe UI Emoji" w:hAnsi="Segoe UI Emoji" w:cs="Segoe UI Emoji"/>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 xml:space="preserve">是/ </w:t>
            </w:r>
            <w:r>
              <w:rPr>
                <w:rFonts w:hint="eastAsia" w:asciiTheme="minorEastAsia" w:hAnsiTheme="minorEastAsia"/>
                <w:b/>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否</w:t>
            </w:r>
          </w:p>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中小企业的认定标准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投标供应商须同时满足以下两个条件，才能认定为中小企业</w:t>
            </w:r>
            <w:r>
              <w:rPr>
                <w:rFonts w:hint="eastAsia" w:asciiTheme="minorEastAsia" w:hAnsiTheme="minorEastAsia"/>
                <w:b/>
                <w:color w:val="000000" w:themeColor="text1"/>
                <w:sz w:val="24"/>
                <w14:textFill>
                  <w14:solidFill>
                    <w14:schemeClr w14:val="tx1"/>
                  </w14:solidFill>
                </w14:textFill>
              </w:rPr>
              <w:t>（含中型、小型、微型企业，下同）</w:t>
            </w:r>
            <w:r>
              <w:rPr>
                <w:rFonts w:hint="eastAsia" w:asciiTheme="minorEastAsia" w:hAnsiTheme="minorEastAsia"/>
                <w:color w:val="000000" w:themeColor="text1"/>
                <w:sz w:val="24"/>
                <w14:textFill>
                  <w14:solidFill>
                    <w14:schemeClr w14:val="tx1"/>
                  </w14:solidFill>
                </w14:textFill>
              </w:rPr>
              <w:t>：</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 联合体参与谈判响应的的，以联合体中划型标准较高的一方，作为该联合体的企业划型标准。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14:textFill>
                  <w14:solidFill>
                    <w14:schemeClr w14:val="tx1"/>
                  </w14:solidFill>
                </w14:textFill>
              </w:rPr>
              <w:t>本项所称货物不包括使用大型企业注册商标的货物；</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3</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监狱企业的认定标准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4</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优惠办法：</w:t>
            </w:r>
          </w:p>
        </w:tc>
        <w:tc>
          <w:tcPr>
            <w:tcW w:w="6256" w:type="dxa"/>
            <w:tcBorders>
              <w:bottom w:val="single" w:color="auto" w:sz="4" w:space="0"/>
            </w:tcBorders>
          </w:tcPr>
          <w:p>
            <w:pPr>
              <w:spacing w:before="60" w:beforeLines="25" w:after="60" w:afterLines="25" w:line="320" w:lineRule="exact"/>
              <w:ind w:left="-65" w:leftChars="-31" w:firstLine="12" w:firstLineChars="5"/>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小型企业或微型企业：</w:t>
            </w:r>
          </w:p>
          <w:p>
            <w:pPr>
              <w:spacing w:before="60" w:beforeLines="25" w:after="60" w:afterLines="25" w:line="320" w:lineRule="exact"/>
              <w:ind w:left="-65" w:leftChars="-31" w:firstLine="475" w:firstLineChars="205"/>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pacing w:val="-4"/>
                <w:sz w:val="24"/>
                <w14:textFill>
                  <w14:solidFill>
                    <w14:schemeClr w14:val="tx1"/>
                  </w14:solidFill>
                </w14:textFill>
              </w:rPr>
              <w:t>价格扣除：按报价的</w:t>
            </w:r>
            <w:r>
              <w:rPr>
                <w:rFonts w:hint="eastAsia" w:asciiTheme="minorEastAsia" w:hAnsiTheme="minorEastAsia"/>
                <w:color w:val="000000" w:themeColor="text1"/>
                <w:spacing w:val="-4"/>
                <w:sz w:val="24"/>
                <w:u w:val="single"/>
                <w14:textFill>
                  <w14:solidFill>
                    <w14:schemeClr w14:val="tx1"/>
                  </w14:solidFill>
                </w14:textFill>
              </w:rPr>
              <w:t>（94%）</w:t>
            </w:r>
            <w:r>
              <w:rPr>
                <w:rFonts w:hint="eastAsia" w:asciiTheme="minorEastAsia" w:hAnsiTheme="minorEastAsia"/>
                <w:color w:val="000000" w:themeColor="text1"/>
                <w:spacing w:val="-4"/>
                <w:sz w:val="24"/>
                <w14:textFill>
                  <w14:solidFill>
                    <w14:schemeClr w14:val="tx1"/>
                  </w14:solidFill>
                </w14:textFill>
              </w:rPr>
              <w:t>计算评审价</w:t>
            </w:r>
          </w:p>
          <w:p>
            <w:pPr>
              <w:spacing w:before="60" w:beforeLines="25" w:after="60" w:afterLines="25" w:line="320" w:lineRule="exact"/>
              <w:ind w:left="-65" w:leftChars="-31" w:firstLine="12" w:firstLineChars="5"/>
              <w:rPr>
                <w:rFonts w:asciiTheme="minorEastAsia" w:hAnsiTheme="minorEastAsia"/>
                <w:b/>
                <w:color w:val="000000" w:themeColor="text1"/>
                <w:spacing w:val="-4"/>
                <w:sz w:val="24"/>
                <w14:textFill>
                  <w14:solidFill>
                    <w14:schemeClr w14:val="tx1"/>
                  </w14:solidFill>
                </w14:textFill>
              </w:rPr>
            </w:pPr>
            <w:r>
              <w:rPr>
                <w:rFonts w:hint="eastAsia" w:asciiTheme="minorEastAsia" w:hAnsiTheme="minorEastAsia"/>
                <w:b/>
                <w:color w:val="000000" w:themeColor="text1"/>
                <w:spacing w:val="-4"/>
                <w:sz w:val="24"/>
                <w14:textFill>
                  <w14:solidFill>
                    <w14:schemeClr w14:val="tx1"/>
                  </w14:solidFill>
                </w14:textFill>
              </w:rPr>
              <w:t>中型企业：</w:t>
            </w:r>
          </w:p>
          <w:p>
            <w:pPr>
              <w:spacing w:before="60" w:beforeLines="25" w:after="60" w:afterLines="25" w:line="320" w:lineRule="exact"/>
              <w:ind w:firstLine="480" w:firstLineChars="200"/>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5</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tc>
        <w:tc>
          <w:tcPr>
            <w:tcW w:w="6256" w:type="dxa"/>
            <w:tcBorders>
              <w:bottom w:val="single" w:color="auto" w:sz="4" w:space="0"/>
            </w:tcBorders>
          </w:tcPr>
          <w:p>
            <w:pPr>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b/>
                <w:color w:val="000000" w:themeColor="text1"/>
                <w:sz w:val="24"/>
                <w14:textFill>
                  <w14:solidFill>
                    <w14:schemeClr w14:val="tx1"/>
                  </w14:solidFill>
                </w14:textFill>
              </w:rPr>
              <w:t>本清单附在《中小企业声明函》后，不附所投产品视为非小微企业产品）</w:t>
            </w:r>
          </w:p>
          <w:tbl>
            <w:tblPr>
              <w:tblStyle w:val="2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供应商中小企业性质（中型、小型、微型）：</w:t>
                  </w:r>
                  <w:r>
                    <w:rPr>
                      <w:rFonts w:hint="eastAsia" w:asciiTheme="minorEastAsia" w:hAnsiTheme="minorEastAsia"/>
                      <w:color w:val="000000" w:themeColor="text1"/>
                      <w:sz w:val="24"/>
                      <w:u w:val="single"/>
                      <w14:textFill>
                        <w14:solidFill>
                          <w14:schemeClr w14:val="tx1"/>
                        </w14:solidFill>
                      </w14:textFill>
                    </w:rPr>
                    <w:t xml:space="preserve">                        </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962"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货物名称</w:t>
                  </w:r>
                </w:p>
              </w:tc>
              <w:tc>
                <w:tcPr>
                  <w:tcW w:w="834"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w:t>
                  </w:r>
                </w:p>
              </w:tc>
              <w:tc>
                <w:tcPr>
                  <w:tcW w:w="1899"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制造商性质（小型、微型）</w:t>
                  </w:r>
                </w:p>
              </w:tc>
              <w:tc>
                <w:tcPr>
                  <w:tcW w:w="131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小型或微型企业货物金额合计A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报价一览表中所有货物报价B</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评审价格C=</w:t>
                  </w:r>
                  <w:r>
                    <w:rPr>
                      <w:rFonts w:hint="eastAsia" w:asciiTheme="minorEastAsia" w:hAnsiTheme="minorEastAsia"/>
                      <w:color w:val="000000" w:themeColor="text1"/>
                      <w:sz w:val="24"/>
                      <w:u w:val="single"/>
                      <w14:textFill>
                        <w14:solidFill>
                          <w14:schemeClr w14:val="tx1"/>
                        </w14:solidFill>
                      </w14:textFill>
                    </w:rPr>
                    <w:t>（0.94）</w:t>
                  </w:r>
                  <w:r>
                    <w:rPr>
                      <w:rFonts w:hint="eastAsia" w:asciiTheme="minorEastAsia" w:hAnsiTheme="minorEastAsia"/>
                      <w:color w:val="000000" w:themeColor="text1"/>
                      <w:sz w:val="24"/>
                      <w14:textFill>
                        <w14:solidFill>
                          <w14:schemeClr w14:val="tx1"/>
                        </w14:solidFill>
                      </w14:textFill>
                    </w:rPr>
                    <w:t>*A+B-A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bl>
          <w:p>
            <w:pPr>
              <w:spacing w:before="60" w:beforeLines="25" w:after="60" w:afterLines="25" w:line="320" w:lineRule="exact"/>
              <w:rPr>
                <w:rFonts w:asciiTheme="minorEastAsia" w:hAnsi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6</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证明材料</w:t>
            </w:r>
          </w:p>
        </w:tc>
        <w:tc>
          <w:tcPr>
            <w:tcW w:w="6256" w:type="dxa"/>
            <w:tcBorders>
              <w:bottom w:val="single" w:color="auto" w:sz="4" w:space="0"/>
            </w:tcBorders>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供应商参与投标响应时须对照《中小企业划型标准规定》（工信部联企业[2011]300号）文件规定，提供《中小企业声明函》。</w:t>
            </w:r>
            <w:r>
              <w:rPr>
                <w:rFonts w:asciiTheme="minorEastAsia" w:hAnsiTheme="minorEastAsia"/>
                <w:color w:val="000000" w:themeColor="text1"/>
                <w:sz w:val="24"/>
                <w14:textFill>
                  <w14:solidFill>
                    <w14:schemeClr w14:val="tx1"/>
                  </w14:solidFill>
                </w14:textFill>
              </w:rPr>
              <w:t xml:space="preserve"> </w:t>
            </w:r>
          </w:p>
          <w:p>
            <w:pPr>
              <w:spacing w:line="480" w:lineRule="exact"/>
              <w:ind w:firstLine="480" w:firstLineChars="200"/>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符合监狱企业政策的供应商参与谈判时需提供</w:t>
            </w:r>
            <w:r>
              <w:rPr>
                <w:rFonts w:hint="eastAsia" w:cs="宋体" w:asciiTheme="minorEastAsia" w:hAnsiTheme="minorEastAsia"/>
                <w:color w:val="000000" w:themeColor="text1"/>
                <w:kern w:val="0"/>
                <w:sz w:val="24"/>
                <w14:textFill>
                  <w14:solidFill>
                    <w14:schemeClr w14:val="tx1"/>
                  </w14:solidFill>
                </w14:textFill>
              </w:rPr>
              <w:t>省级以上监狱管理局、戒毒管理局（含新疆生产建设兵团）出具的属于监狱企业的证明文件。</w:t>
            </w:r>
          </w:p>
          <w:p>
            <w:pPr>
              <w:spacing w:line="480" w:lineRule="exact"/>
              <w:ind w:firstLine="480" w:firstLineChars="200"/>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sz w:val="24"/>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7</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相关风险</w:t>
            </w:r>
          </w:p>
        </w:tc>
        <w:tc>
          <w:tcPr>
            <w:tcW w:w="6256" w:type="dxa"/>
            <w:tcBorders>
              <w:bottom w:val="single" w:color="auto" w:sz="4" w:space="0"/>
            </w:tcBorders>
          </w:tcPr>
          <w:p>
            <w:pPr>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一、经评审委员会评审，存在下列任一情况的，谈判供应商将不被视为中小企业：</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1.投标供应商不符合“工信部联企业[2011]300号”规定的中小企业标准的；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2.响应货物全部或部分为使用大型企业注册商标的货物的；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响应文件中标明的中小企业产品的制造商不符合“工信部联企业[2011]300号”规定的中小企业标准的；</w:t>
            </w:r>
          </w:p>
          <w:p>
            <w:pPr>
              <w:spacing w:line="480" w:lineRule="exact"/>
              <w:ind w:firstLine="482" w:firstLineChars="200"/>
              <w:rPr>
                <w:rFonts w:cs="SimSun-Identity-H" w:asciiTheme="minorEastAsia" w:hAnsiTheme="minorEastAsia"/>
                <w:b/>
                <w:color w:val="000000" w:themeColor="text1"/>
                <w:kern w:val="0"/>
                <w:sz w:val="24"/>
                <w14:textFill>
                  <w14:solidFill>
                    <w14:schemeClr w14:val="tx1"/>
                  </w14:solidFill>
                </w14:textFill>
              </w:rPr>
            </w:pPr>
            <w:r>
              <w:rPr>
                <w:rFonts w:hint="eastAsia" w:cs="SimSun-Identity-H" w:asciiTheme="minorEastAsia" w:hAnsiTheme="minorEastAsia"/>
                <w:b/>
                <w:color w:val="000000" w:themeColor="text1"/>
                <w:kern w:val="0"/>
                <w:sz w:val="24"/>
                <w14:textFill>
                  <w14:solidFill>
                    <w14:schemeClr w14:val="tx1"/>
                  </w14:solidFill>
                </w14:textFill>
              </w:rPr>
              <w:t>二、提供虚假证明材料后果：</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SimSun-Identity-H" w:asciiTheme="minorEastAsia" w:hAnsiTheme="minorEastAsia"/>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
      <w:pPr>
        <w:spacing w:line="360" w:lineRule="auto"/>
        <w:jc w:val="center"/>
        <w:outlineLvl w:val="1"/>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中标供应商须知前附表5：节能、环境标志信息安全产品及其他采购政策</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40" w:firstLineChars="224"/>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三、提醒事项：</w:t>
            </w:r>
          </w:p>
          <w:p>
            <w:pPr>
              <w:spacing w:line="360" w:lineRule="auto"/>
              <w:ind w:firstLine="540" w:firstLineChars="224"/>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中标供应商必须凭成交通知书的原件与采购人签订《政府采购合同》。所产生的专家评审，验收费用等由中标方承担。</w:t>
            </w:r>
          </w:p>
        </w:tc>
      </w:tr>
    </w:tbl>
    <w:p>
      <w:pPr>
        <w:pStyle w:val="7"/>
        <w:spacing w:line="440" w:lineRule="exact"/>
        <w:jc w:val="center"/>
        <w:outlineLvl w:val="0"/>
        <w:rPr>
          <w:rFonts w:asciiTheme="minorEastAsia" w:hAnsiTheme="minorEastAsia"/>
          <w:color w:val="000000" w:themeColor="text1"/>
          <w:sz w:val="24"/>
          <w:szCs w:val="24"/>
          <w14:textFill>
            <w14:solidFill>
              <w14:schemeClr w14:val="tx1"/>
            </w14:solidFill>
          </w14:textFill>
        </w:rPr>
        <w:sectPr>
          <w:pgSz w:w="11907" w:h="16840"/>
          <w:pgMar w:top="1440" w:right="1800" w:bottom="1440" w:left="1800" w:header="850" w:footer="1020" w:gutter="0"/>
          <w:cols w:space="720" w:num="1"/>
          <w:docGrid w:linePitch="286" w:charSpace="0"/>
        </w:sectPr>
      </w:pPr>
      <w:r>
        <w:rPr>
          <w:rFonts w:hint="eastAsia" w:asciiTheme="minorEastAsia" w:hAnsiTheme="minorEastAsia"/>
          <w:color w:val="000000" w:themeColor="text1"/>
          <w:sz w:val="24"/>
          <w:szCs w:val="24"/>
          <w14:textFill>
            <w14:solidFill>
              <w14:schemeClr w14:val="tx1"/>
            </w14:solidFill>
          </w14:textFill>
        </w:rPr>
        <w:br w:type="page"/>
      </w:r>
    </w:p>
    <w:p>
      <w:pPr>
        <w:pStyle w:val="7"/>
        <w:spacing w:line="440" w:lineRule="exact"/>
        <w:jc w:val="center"/>
        <w:outlineLvl w:val="0"/>
        <w:rPr>
          <w:rFonts w:asciiTheme="minorEastAsia" w:hAnsiTheme="minorEastAsia"/>
          <w:b/>
          <w:bCs/>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第三章</w:t>
      </w:r>
      <w:r>
        <w:rPr>
          <w:rFonts w:hAnsi="宋体"/>
          <w:b/>
          <w:color w:val="000000" w:themeColor="text1"/>
          <w:sz w:val="36"/>
          <w:szCs w:val="36"/>
          <w14:textFill>
            <w14:solidFill>
              <w14:schemeClr w14:val="tx1"/>
            </w14:solidFill>
          </w14:textFill>
        </w:rPr>
        <w:t xml:space="preserve">  </w:t>
      </w:r>
      <w:r>
        <w:rPr>
          <w:rFonts w:hint="eastAsia" w:asciiTheme="minorEastAsia" w:hAnsiTheme="minorEastAsia"/>
          <w:b/>
          <w:bCs/>
          <w:color w:val="000000" w:themeColor="text1"/>
          <w:sz w:val="36"/>
          <w:szCs w:val="36"/>
          <w14:textFill>
            <w14:solidFill>
              <w14:schemeClr w14:val="tx1"/>
            </w14:solidFill>
          </w14:textFill>
        </w:rPr>
        <w:t>投标人须知正文部分</w:t>
      </w:r>
    </w:p>
    <w:p>
      <w:pPr>
        <w:pStyle w:val="7"/>
        <w:spacing w:line="440" w:lineRule="exact"/>
        <w:ind w:firstLine="3855" w:firstLineChars="1200"/>
        <w:rPr>
          <w:rFonts w:asciiTheme="minorEastAsia" w:hAnsiTheme="minorEastAsia"/>
          <w:b/>
          <w:bCs/>
          <w:color w:val="000000" w:themeColor="text1"/>
          <w:sz w:val="32"/>
          <w:szCs w:val="32"/>
          <w14:textFill>
            <w14:solidFill>
              <w14:schemeClr w14:val="tx1"/>
            </w14:solidFill>
          </w14:textFill>
        </w:rPr>
      </w:pPr>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一  说明</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 适用范围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定义</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 “采购代理机构”系指铜仁市公共资源交易中心 (简称铜仁市公共资源交易中心)。铜仁市公共资源交易中心是整个采购活动的组织者，依法负责编制和发布招标文件，对招标文件拥有最终的解释权。铜仁市公共资源交易中心不以任何身份出任评委会成员。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2.5 </w:t>
      </w:r>
      <w:r>
        <w:rPr>
          <w:rFonts w:hint="eastAsia" w:asciiTheme="minorEastAsia" w:hAnsiTheme="minorEastAsia"/>
          <w:sz w:val="24"/>
        </w:rPr>
        <w:t>“</w:t>
      </w:r>
      <w:r>
        <w:rPr>
          <w:rFonts w:hint="eastAsia" w:asciiTheme="minorEastAsia" w:hAnsiTheme="minorEastAsia"/>
          <w:sz w:val="24"/>
          <w:lang w:eastAsia="zh-CN"/>
        </w:rPr>
        <w:t>货物</w:t>
      </w:r>
      <w:r>
        <w:rPr>
          <w:rFonts w:hint="eastAsia" w:asciiTheme="minorEastAsia" w:hAnsiTheme="minorEastAsia"/>
          <w:sz w:val="24"/>
        </w:rPr>
        <w:t>”系</w:t>
      </w:r>
      <w:r>
        <w:rPr>
          <w:rFonts w:hAnsi="宋体"/>
          <w:sz w:val="24"/>
        </w:rPr>
        <w:t>指</w:t>
      </w:r>
      <w:r>
        <w:rPr>
          <w:rFonts w:hint="eastAsia" w:hAnsi="宋体"/>
          <w:sz w:val="24"/>
        </w:rPr>
        <w:t>除</w:t>
      </w:r>
      <w:r>
        <w:rPr>
          <w:rFonts w:hint="eastAsia" w:hAnsi="宋体"/>
          <w:sz w:val="24"/>
          <w:lang w:eastAsia="zh-CN"/>
        </w:rPr>
        <w:t>服务</w:t>
      </w:r>
      <w:r>
        <w:rPr>
          <w:rFonts w:hint="eastAsia" w:hAnsi="宋体"/>
          <w:sz w:val="24"/>
        </w:rPr>
        <w:t>和工程以外的其他政府采购对象</w:t>
      </w:r>
      <w:r>
        <w:rPr>
          <w:rFonts w:hint="eastAsia" w:asciiTheme="minorEastAsia" w:hAnsiTheme="minorEastAsia"/>
          <w:sz w:val="24"/>
        </w:rPr>
        <w:t>。</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投标人符合《中华人民共和国政府采购法》第二十二条第一款规定：</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(一)具有独立承担民事责任的能力；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(二)具有良好的商业信誉和健全的财务会计制度；</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(三)具有履行合同所必需的设备和专业技术能力；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(四)有依法缴纳税收和社会保障资金的良好记录；</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(六)法律、行政法规规定的其他条件</w:t>
      </w:r>
      <w:r>
        <w:rPr>
          <w:rFonts w:hint="eastAsia" w:asciiTheme="minorEastAsia" w:hAnsiTheme="minorEastAsia"/>
          <w:sz w:val="24"/>
        </w:rPr>
        <w:t>（如有）</w:t>
      </w:r>
      <w:r>
        <w:rPr>
          <w:rFonts w:hint="eastAsia" w:asciiTheme="minorEastAsia" w:hAnsiTheme="minorEastAsia"/>
          <w:color w:val="000000" w:themeColor="text1"/>
          <w:sz w:val="24"/>
          <w14:textFill>
            <w14:solidFill>
              <w14:schemeClr w14:val="tx1"/>
            </w14:solidFill>
          </w14:textFill>
        </w:rPr>
        <w:t>。</w:t>
      </w:r>
    </w:p>
    <w:p>
      <w:pPr>
        <w:spacing w:line="440" w:lineRule="exact"/>
        <w:ind w:firstLine="960" w:firstLineChars="4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(七)</w:t>
      </w:r>
      <w:r>
        <w:rPr>
          <w:rFonts w:hint="eastAsia"/>
        </w:rPr>
        <w:t xml:space="preserve"> </w:t>
      </w:r>
      <w:r>
        <w:rPr>
          <w:rFonts w:hint="eastAsia" w:asciiTheme="minorEastAsia" w:hAnsiTheme="minorEastAsia"/>
          <w:color w:val="000000" w:themeColor="text1"/>
          <w:sz w:val="24"/>
          <w14:textFill>
            <w14:solidFill>
              <w14:schemeClr w14:val="tx1"/>
            </w14:solidFill>
          </w14:textFill>
        </w:rPr>
        <w:t>本项目接受联合体投标，供应商若为联合体的，须提供联合体协议。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3.3 经中国政府采购网、“信用中国”等网站失信信息查询，有失信信息记录且在禁止参加政府采购活动处罚期内的供应商不能成为合格投标人；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FF0000"/>
          <w:sz w:val="24"/>
        </w:rPr>
      </w:pPr>
      <w:r>
        <w:rPr>
          <w:rFonts w:hint="eastAsia" w:asciiTheme="minorEastAsia" w:hAnsiTheme="minorEastAsia"/>
          <w:color w:val="FF0000"/>
          <w:sz w:val="24"/>
        </w:rPr>
        <w:t>3.6本项目</w:t>
      </w:r>
      <w:r>
        <w:rPr>
          <w:rFonts w:hint="eastAsia" w:asciiTheme="minorEastAsia" w:hAnsiTheme="minorEastAsia"/>
          <w:b/>
          <w:bCs/>
          <w:color w:val="FF0000"/>
          <w:sz w:val="24"/>
        </w:rPr>
        <w:t>（接受）</w:t>
      </w:r>
      <w:r>
        <w:rPr>
          <w:rFonts w:hint="eastAsia" w:asciiTheme="minorEastAsia" w:hAnsiTheme="minorEastAsia"/>
          <w:color w:val="FF0000"/>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投标费用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4.1 投标人自行承担其参加投标所涉及的一切费用。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知识产权</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纪律与保密事项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3.在确定中标供应商之前，投标人试图在投标文件审查、澄清、比较和评价时对评标委员会、采购人和铜仁市公共资源交易中心施加任何影响都可能导致其投标无效。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质疑与投诉</w:t>
      </w:r>
    </w:p>
    <w:p>
      <w:pPr>
        <w:spacing w:line="440" w:lineRule="exact"/>
        <w:ind w:firstLine="480"/>
        <w:rPr>
          <w:rFonts w:asciiTheme="minorEastAsia" w:hAnsiTheme="minorEastAsia"/>
          <w:color w:val="000000" w:themeColor="text1"/>
          <w:sz w:val="24"/>
          <w14:textFill>
            <w14:solidFill>
              <w14:schemeClr w14:val="tx1"/>
            </w14:solidFill>
          </w14:textFill>
        </w:rPr>
      </w:pPr>
      <w:bookmarkStart w:id="0" w:name="_Toc134955411"/>
      <w:r>
        <w:rPr>
          <w:rFonts w:hint="eastAsia" w:asciiTheme="minorEastAsia" w:hAnsiTheme="minorEastAsia"/>
          <w:color w:val="000000" w:themeColor="text1"/>
          <w:sz w:val="24"/>
          <w14:textFill>
            <w14:solidFill>
              <w14:schemeClr w14:val="tx1"/>
            </w14:solidFill>
          </w14:textFill>
        </w:rPr>
        <w:t>供应商认为招标文件、采购过程和中标结果使自己的权益受到损害的，可以在知道或者应知其权益受到损害之日起七个工作日内，向采购人或代理机构一次性提出针对同一采购程序环节的质疑，逾期质疑无效。供应商应知其权益受到损害之日是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对招标文件提出质疑的，为获取招标文件之日或者招标文件公告期限届满之日；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对采购过程提出质疑的，为各采购程序环节结束之日；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对中标结果提出质疑的，为中标结果公告期限届满之日。</w:t>
      </w:r>
    </w:p>
    <w:bookmarkEnd w:id="0"/>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质疑函应当包括下列主要内容：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质疑供应商和相关供应商的名称、地址、邮编、联系人及联系电话等；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质疑项目名称及编号、具体、明确的质疑事项和与质疑事项相关的请求；</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认为采购文件、采购过程、中标和成交结果使自己的合法权益受到损害的法律依据、事实依据、相关证明材料及证据来源；</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提出质疑的日期。</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以联合体形式参加政府采购活动的，其质疑应当由组成联合体的所有供应商共同提出。</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质疑应当有明确的请求和必要的证明材料。质疑内容不得含有虚假、恶意成份。依照谁质疑谁举证的原则，提出质疑者必须同时提交相关确凿的证据材料和注明证据的确切来源，证据来源必须合法，采购人、代理机构有权将质疑函转发质疑事项各关联方，请其作出解释说明。对捏造事实、滥用维权扰乱采购秩序的恶意质疑者，将上报政府采购监督管理部门依法处理，同时铜仁市公共资源交易中心将在企业信诚信平台中予以记录，对综合信用评价得分予以扣除。</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质疑供应商对采购人、代理机构的质疑答复不满意，或者采购人、代理机构未在规定期限内作出答复的，可以在答复期满后15个工作日内向采购人的同级政府采购监督管理部门提起投诉，联系电话：0856-5221778。</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质疑受理部门：铜仁市公共资源交易中心政府采购交易科或采购人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八）提交质疑函方式：现场递交、邮寄、电子邮件（必须电话告知项目负责人，否则导致邮件未及时接收的责任有投标人自行承担)，质疑函范本请自行在“铜仁市公共资源交易中心主页-办事指南-政府采购-常见问题解答”下载。</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（九）本次采购活动中，铜仁市公共资源交易中心对质疑回复等文件的送达方式为现场取件、邮寄（到付方式）或电子邮件（铜仁市公共资源交易中心指定邮箱为：</w:t>
      </w:r>
      <w:r>
        <w:fldChar w:fldCharType="begin"/>
      </w:r>
      <w:r>
        <w:instrText xml:space="preserve"> HYPERLINK "mailto:trggzyjyzxzfcg@163.com，该邮箱仅用于发送文件）。" </w:instrText>
      </w:r>
      <w:r>
        <w:fldChar w:fldCharType="separate"/>
      </w:r>
      <w:r>
        <w:rPr>
          <w:rFonts w:hint="eastAsia" w:asciiTheme="minorEastAsia" w:hAnsiTheme="minorEastAsia"/>
          <w:color w:val="000000" w:themeColor="text1"/>
          <w:sz w:val="24"/>
          <w14:textFill>
            <w14:solidFill>
              <w14:schemeClr w14:val="tx1"/>
            </w14:solidFill>
          </w14:textFill>
        </w:rPr>
        <w:t>xxxx@163.com，）。</w:t>
      </w:r>
      <w:r>
        <w:rPr>
          <w:rFonts w:asciiTheme="minorEastAsia" w:hAnsiTheme="minorEastAsia"/>
          <w:color w:val="000000" w:themeColor="text1"/>
          <w:sz w:val="24"/>
          <w14:textFill>
            <w14:solidFill>
              <w14:schemeClr w14:val="tx1"/>
            </w14:solidFill>
          </w14:textFill>
        </w:rPr>
        <w:fldChar w:fldCharType="end"/>
      </w:r>
    </w:p>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 xml:space="preserve">二 </w:t>
      </w:r>
      <w:r>
        <w:rPr>
          <w:rFonts w:asciiTheme="minorEastAsia" w:hAnsiTheme="minorEastAsia"/>
          <w:b/>
          <w:bCs/>
          <w:color w:val="000000" w:themeColor="text1"/>
          <w:sz w:val="32"/>
          <w:szCs w:val="32"/>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招标文件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 招标文件的组成</w:t>
      </w:r>
    </w:p>
    <w:p>
      <w:pPr>
        <w:pStyle w:val="7"/>
        <w:snapToGrid w:val="0"/>
        <w:spacing w:line="440" w:lineRule="exac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5.1招标文件用以阐明所需货物及服务招标程序、内容和合同主要条款。招标文件由下述部分组成：</w:t>
      </w:r>
    </w:p>
    <w:p>
      <w:pPr>
        <w:pStyle w:val="7"/>
        <w:numPr>
          <w:ilvl w:val="0"/>
          <w:numId w:val="8"/>
        </w:numPr>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招标公告</w:t>
      </w:r>
    </w:p>
    <w:p>
      <w:pPr>
        <w:pStyle w:val="7"/>
        <w:numPr>
          <w:ilvl w:val="0"/>
          <w:numId w:val="8"/>
        </w:numPr>
        <w:snapToGrid w:val="0"/>
        <w:spacing w:line="440" w:lineRule="exact"/>
        <w:ind w:firstLine="480" w:firstLineChars="200"/>
        <w:rPr>
          <w:rFonts w:ascii="宋体" w:hAnsi="宋体" w:eastAsia="宋体" w:cs="Times New Roman"/>
          <w:bCs/>
          <w:color w:val="000000"/>
          <w:sz w:val="24"/>
          <w:szCs w:val="24"/>
          <w:lang w:bidi="ar"/>
        </w:rPr>
      </w:pPr>
      <w:r>
        <w:rPr>
          <w:rFonts w:hint="eastAsia" w:ascii="宋体" w:hAnsi="宋体" w:eastAsia="宋体" w:cs="Times New Roman"/>
          <w:bCs/>
          <w:color w:val="000000"/>
          <w:sz w:val="24"/>
          <w:szCs w:val="24"/>
          <w:lang w:bidi="ar"/>
        </w:rPr>
        <w:t>投标人须知</w:t>
      </w:r>
    </w:p>
    <w:p>
      <w:pPr>
        <w:pStyle w:val="7"/>
        <w:numPr>
          <w:ilvl w:val="0"/>
          <w:numId w:val="8"/>
        </w:numPr>
        <w:snapToGrid w:val="0"/>
        <w:spacing w:line="440" w:lineRule="exact"/>
        <w:ind w:firstLine="480" w:firstLineChars="200"/>
        <w:rPr>
          <w:rFonts w:ascii="宋体" w:hAnsi="宋体" w:eastAsia="宋体" w:cs="Times New Roman"/>
          <w:bCs/>
          <w:color w:val="000000"/>
          <w:sz w:val="24"/>
          <w:szCs w:val="24"/>
          <w:lang w:bidi="ar"/>
        </w:rPr>
      </w:pPr>
      <w:r>
        <w:rPr>
          <w:rFonts w:hint="eastAsia" w:ascii="宋体" w:hAnsi="宋体" w:eastAsia="宋体" w:cs="Times New Roman"/>
          <w:bCs/>
          <w:color w:val="000000"/>
          <w:sz w:val="24"/>
          <w:szCs w:val="24"/>
          <w:lang w:bidi="ar"/>
        </w:rPr>
        <w:t>投标人须知正文部分</w:t>
      </w:r>
    </w:p>
    <w:p>
      <w:pPr>
        <w:pStyle w:val="7"/>
        <w:numPr>
          <w:ilvl w:val="0"/>
          <w:numId w:val="8"/>
        </w:numPr>
        <w:snapToGrid w:val="0"/>
        <w:spacing w:line="440" w:lineRule="exact"/>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lang w:bidi="ar"/>
        </w:rPr>
        <w:t>采购人需求</w:t>
      </w:r>
    </w:p>
    <w:p>
      <w:pPr>
        <w:pStyle w:val="7"/>
        <w:numPr>
          <w:ilvl w:val="0"/>
          <w:numId w:val="8"/>
        </w:numPr>
        <w:snapToGrid w:val="0"/>
        <w:spacing w:line="440" w:lineRule="exact"/>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lang w:bidi="ar"/>
        </w:rPr>
        <w:t>铜仁市市级政府采购合同</w:t>
      </w:r>
    </w:p>
    <w:p>
      <w:pPr>
        <w:pStyle w:val="7"/>
        <w:numPr>
          <w:ilvl w:val="0"/>
          <w:numId w:val="8"/>
        </w:numPr>
        <w:snapToGrid w:val="0"/>
        <w:spacing w:line="440" w:lineRule="exact"/>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投标文件格式</w:t>
      </w:r>
    </w:p>
    <w:p>
      <w:pPr>
        <w:spacing w:line="440" w:lineRule="exact"/>
        <w:rPr>
          <w:rFonts w:asciiTheme="minorEastAsia" w:hAnsiTheme="minorEastAsia"/>
          <w:color w:val="000000" w:themeColor="text1"/>
          <w:sz w:val="24"/>
          <w14:textFill>
            <w14:solidFill>
              <w14:schemeClr w14:val="tx1"/>
            </w14:solidFill>
          </w14:textFill>
        </w:rPr>
      </w:pPr>
      <w:bookmarkStart w:id="1" w:name="_Toc430422413"/>
      <w:bookmarkStart w:id="2" w:name="_Toc430490612"/>
      <w:bookmarkStart w:id="3" w:name="_Toc430492126"/>
      <w:bookmarkStart w:id="4" w:name="_Toc430489119"/>
      <w:bookmarkStart w:id="5" w:name="_Toc430488851"/>
      <w:bookmarkStart w:id="6" w:name="_Toc430488644"/>
      <w:bookmarkStart w:id="7" w:name="_Toc415567497"/>
      <w:r>
        <w:rPr>
          <w:rFonts w:hint="eastAsia" w:asciiTheme="minorEastAsia" w:hAnsiTheme="minorEastAsia"/>
          <w:color w:val="000000" w:themeColor="text1"/>
          <w:sz w:val="24"/>
          <w14:textFill>
            <w14:solidFill>
              <w14:schemeClr w14:val="tx1"/>
            </w14:solidFill>
          </w14:textFill>
        </w:rPr>
        <w:t>6.</w:t>
      </w:r>
      <w:bookmarkEnd w:id="1"/>
      <w:bookmarkEnd w:id="2"/>
      <w:bookmarkEnd w:id="3"/>
      <w:bookmarkEnd w:id="4"/>
      <w:bookmarkEnd w:id="5"/>
      <w:bookmarkEnd w:id="6"/>
      <w:bookmarkEnd w:id="7"/>
      <w:r>
        <w:rPr>
          <w:rFonts w:hint="eastAsia" w:asciiTheme="minorEastAsia" w:hAnsiTheme="minorEastAsia"/>
          <w:color w:val="000000" w:themeColor="text1"/>
          <w:sz w:val="24"/>
          <w14:textFill>
            <w14:solidFill>
              <w14:schemeClr w14:val="tx1"/>
            </w14:solidFill>
          </w14:textFill>
        </w:rPr>
        <w:t xml:space="preserve"> 招标文件的澄清</w:t>
      </w:r>
    </w:p>
    <w:p>
      <w:pPr>
        <w:pStyle w:val="7"/>
        <w:snapToGrid w:val="0"/>
        <w:spacing w:line="44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投标人对招标文件如有疑点，可要求澄清。要求澄清应按投标邀请中载明的地址以书面形式通知</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14:textFill>
            <w14:solidFill>
              <w14:schemeClr w14:val="tx1"/>
            </w14:solidFill>
          </w14:textFill>
        </w:rPr>
        <w:t>在原采购信息发布媒体上发布更正公告（如属网上招投标项目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该澄清内容为招标文件的组成部分。</w:t>
      </w:r>
    </w:p>
    <w:p>
      <w:pPr>
        <w:spacing w:line="440" w:lineRule="exact"/>
        <w:rPr>
          <w:rFonts w:asciiTheme="minorEastAsia" w:hAnsiTheme="minorEastAsia"/>
          <w:bCs/>
          <w:color w:val="000000" w:themeColor="text1"/>
          <w:sz w:val="24"/>
          <w14:textFill>
            <w14:solidFill>
              <w14:schemeClr w14:val="tx1"/>
            </w14:solidFill>
          </w14:textFill>
        </w:rPr>
      </w:pPr>
      <w:bookmarkStart w:id="8" w:name="_Toc430490613"/>
      <w:bookmarkStart w:id="9" w:name="_Toc430422414"/>
      <w:bookmarkStart w:id="10" w:name="_Toc430492127"/>
      <w:bookmarkStart w:id="11" w:name="_Toc430488645"/>
      <w:bookmarkStart w:id="12" w:name="_Toc430489120"/>
      <w:bookmarkStart w:id="13" w:name="_Toc415567498"/>
      <w:bookmarkStart w:id="14" w:name="_Toc430488852"/>
      <w:r>
        <w:rPr>
          <w:rFonts w:hint="eastAsia" w:asciiTheme="minorEastAsia" w:hAnsiTheme="minorEastAsia"/>
          <w:bCs/>
          <w:color w:val="000000" w:themeColor="text1"/>
          <w:sz w:val="24"/>
          <w14:textFill>
            <w14:solidFill>
              <w14:schemeClr w14:val="tx1"/>
            </w14:solidFill>
          </w14:textFill>
        </w:rPr>
        <w:t>7. 招标文件的修改</w:t>
      </w:r>
      <w:bookmarkEnd w:id="8"/>
      <w:bookmarkEnd w:id="9"/>
      <w:bookmarkEnd w:id="10"/>
      <w:bookmarkEnd w:id="11"/>
      <w:bookmarkEnd w:id="12"/>
      <w:bookmarkEnd w:id="13"/>
      <w:bookmarkEnd w:id="14"/>
    </w:p>
    <w:p>
      <w:pPr>
        <w:pStyle w:val="7"/>
        <w:snapToGrid w:val="0"/>
        <w:spacing w:line="440" w:lineRule="exact"/>
        <w:ind w:firstLineChars="175"/>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7.1 至投标截止时间15日（如至原定截止时间不足15个日历日，则需延长开标时间）前，</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可主动或依投标人要求澄清的问题修改招标文件，但应当</w:t>
      </w:r>
      <w:r>
        <w:rPr>
          <w:rFonts w:hint="eastAsia" w:asciiTheme="minorEastAsia" w:hAnsiTheme="minorEastAsia"/>
          <w:color w:val="000000" w:themeColor="text1"/>
          <w:sz w:val="24"/>
          <w:szCs w:val="24"/>
          <w14:textFill>
            <w14:solidFill>
              <w14:schemeClr w14:val="tx1"/>
            </w14:solidFill>
          </w14:textFill>
        </w:rPr>
        <w:t>在原信息发布媒体上发布更正公告，</w:t>
      </w:r>
      <w:r>
        <w:rPr>
          <w:rFonts w:hint="eastAsia" w:asciiTheme="minorEastAsia" w:hAnsiTheme="minorEastAsia"/>
          <w:bCs/>
          <w:color w:val="000000" w:themeColor="text1"/>
          <w:sz w:val="24"/>
          <w:szCs w:val="24"/>
          <w14:textFill>
            <w14:solidFill>
              <w14:schemeClr w14:val="tx1"/>
            </w14:solidFill>
          </w14:textFill>
        </w:rPr>
        <w:t>并以书面形式通知所有招标文件收受人，投标人在收到该通知后应当立予以确认</w:t>
      </w:r>
      <w:r>
        <w:rPr>
          <w:rFonts w:hint="eastAsia" w:asciiTheme="minorEastAsia" w:hAnsiTheme="minorEastAsia"/>
          <w:color w:val="000000" w:themeColor="text1"/>
          <w:sz w:val="24"/>
          <w:szCs w:val="24"/>
          <w14:textFill>
            <w14:solidFill>
              <w14:schemeClr w14:val="tx1"/>
            </w14:solidFill>
          </w14:textFill>
        </w:rPr>
        <w:t>（如属网上招投标项目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该修改内容为招标文件的组成部分，对投标人具有约束力。但</w:t>
      </w:r>
      <w:r>
        <w:rPr>
          <w:rFonts w:hint="eastAsia" w:asciiTheme="minorEastAsia" w:hAnsiTheme="minorEastAsia"/>
          <w:bCs/>
          <w:color w:val="000000" w:themeColor="text1"/>
          <w:sz w:val="24"/>
          <w:szCs w:val="24"/>
          <w14:textFill>
            <w14:solidFill>
              <w14:schemeClr w14:val="tx1"/>
            </w14:solidFill>
          </w14:textFill>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7.2 为使投标人在准备投标文件时有合理的时间考虑投标文件的修改，招标</w:t>
      </w:r>
      <w:r>
        <w:rPr>
          <w:rFonts w:hint="eastAsia" w:asciiTheme="minorEastAsia" w:hAnsiTheme="minorEastAsia"/>
          <w:bCs/>
          <w:color w:val="000000" w:themeColor="text1"/>
          <w:sz w:val="24"/>
          <w14:textFill>
            <w14:solidFill>
              <w14:schemeClr w14:val="tx1"/>
            </w14:solidFill>
          </w14:textFill>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14:textFill>
            <w14:solidFill>
              <w14:schemeClr w14:val="tx1"/>
            </w14:solidFill>
          </w14:textFill>
        </w:rPr>
        <w:t xml:space="preserve">，并在原采购信息发布媒体上发布更正公告。在此情况下，招标人和投标人受投标截止期制约的所有权利和义务均应延长至新的截止日期。 </w:t>
      </w:r>
    </w:p>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三  投标文件的编写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要求</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8.2 除非有另外的规定，投标人可对招标服务一览表所列的全部合同包或部分合同包进行投标。招标采购单位不接受有任何可选择性的报价，每一种服务只能有一个报价。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 投标文件语言</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 投标文件的组成应包括下列部分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10.1投标函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10.2开标一览表  </w:t>
      </w:r>
    </w:p>
    <w:p>
      <w:pPr>
        <w:pStyle w:val="43"/>
        <w:widowControl/>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10.3报价明细表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10.4投标供应商实质性响应表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10.5投标人资格声明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10.6法定代表人授权委托书</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10.7投标服务的详细情况及技术服务方案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10.8投标人情况说明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10.9其他（如有）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10.10有关政策的承诺函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10.11政策适用性说明（如有）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10.12中小企业声明函（如有）</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10.13制造商中小企业声明函（如有）</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 投标有效期</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11.1投标文件从</w:t>
      </w:r>
      <w:r>
        <w:rPr>
          <w:rFonts w:hint="eastAsia" w:asciiTheme="minorEastAsia" w:hAnsiTheme="minorEastAsia"/>
          <w:bCs/>
          <w:color w:val="000000" w:themeColor="text1"/>
          <w:sz w:val="24"/>
          <w14:textFill>
            <w14:solidFill>
              <w14:schemeClr w14:val="tx1"/>
            </w14:solidFill>
          </w14:textFill>
        </w:rPr>
        <w:t>投标人须知前附表1</w:t>
      </w:r>
      <w:r>
        <w:rPr>
          <w:rFonts w:hint="eastAsia" w:asciiTheme="minorEastAsia" w:hAnsiTheme="minorEastAsia"/>
          <w:color w:val="000000" w:themeColor="text1"/>
          <w:sz w:val="24"/>
          <w14:textFill>
            <w14:solidFill>
              <w14:schemeClr w14:val="tx1"/>
            </w14:solidFill>
          </w14:textFill>
        </w:rPr>
        <w:t>第4项所规定的投标截止之日开始生效，在</w:t>
      </w:r>
      <w:r>
        <w:rPr>
          <w:rFonts w:hint="eastAsia" w:asciiTheme="minorEastAsia" w:hAnsiTheme="minorEastAsia"/>
          <w:bCs/>
          <w:color w:val="000000" w:themeColor="text1"/>
          <w:sz w:val="24"/>
          <w14:textFill>
            <w14:solidFill>
              <w14:schemeClr w14:val="tx1"/>
            </w14:solidFill>
          </w14:textFill>
        </w:rPr>
        <w:t>投标人须知前附表</w:t>
      </w:r>
      <w:r>
        <w:rPr>
          <w:rFonts w:hint="eastAsia" w:asciiTheme="minorEastAsia" w:hAnsiTheme="minorEastAsia"/>
          <w:color w:val="000000" w:themeColor="text1"/>
          <w:sz w:val="24"/>
          <w14:textFill>
            <w14:solidFill>
              <w14:schemeClr w14:val="tx1"/>
            </w14:solidFill>
          </w14:textFill>
        </w:rPr>
        <w:t>第3项所规定的期限内保持有效。有效期不足将导致其投标文件被拒绝。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 投标保证金</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12.1 投标保证金为投标文件的组成部分之一。</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12.2 投标人应在提交投标文件之前向招标代理机构指定的政府采购保证金专户缴交投标人须知前附表1第5项要求的投标保证金。联合体投标的，以联合体牵头人提交投标保证金，以牵头人提交投标保证金的，对联合体各方均具有约束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12.3 投标保证金用于保护本次招标活动免受投标人的行为而引起的风险。</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12.4 投标保证金以保证金应当采用支票、汇票、本票、网上银行支付等非现金形式交纳，具体以全国公共资源交易平台（贵州.铜仁）系统显示是否缴纳成功为准。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12.5 未按要求缴交投标保证金的投标，将被视为无效投标。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12.6招标代理机构将在中标通知书发出之日起5个工作日内予以退还未中标供应商的投标保证金。</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12.7在中标人签订合同后5个工作日内，招标代理机构对中标人的投标保证金予以退还。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12.8 发生以下情形之一的，投标保证金将不予退还，由招标代理机构上缴财政部门：</w:t>
      </w:r>
    </w:p>
    <w:p>
      <w:pPr>
        <w:pStyle w:val="7"/>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（3）以他人名义投标或者以其他方式弄虚作假，骗取中标的；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（4）投标人在响应文件中提供虚假材料的；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（6）以不正当手段诋毁、排挤其他供应商的；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（7）因本项目政府采购过程中的违法行为，受到行政处罚的；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（9）法律、法规、规章及本招标文件中规定的其他没收投标保证金的情形。</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上述不予退还投标保证金的情形给招标采购单位造成损失的，相关责任人还应当承担赔偿责任。</w:t>
      </w:r>
    </w:p>
    <w:p>
      <w:pPr>
        <w:tabs>
          <w:tab w:val="left" w:pos="0"/>
          <w:tab w:val="left" w:pos="1080"/>
        </w:tabs>
        <w:spacing w:line="520" w:lineRule="exact"/>
        <w:ind w:left="420"/>
        <w:rPr>
          <w:rStyle w:val="45"/>
          <w:rFonts w:ascii="宋体" w:hAnsi="宋体"/>
          <w:sz w:val="24"/>
          <w:szCs w:val="24"/>
        </w:rPr>
      </w:pPr>
      <w:r>
        <w:rPr>
          <w:rFonts w:hint="eastAsia" w:asciiTheme="minorEastAsia" w:hAnsiTheme="minorEastAsia"/>
          <w:color w:val="000000" w:themeColor="text1"/>
          <w:sz w:val="24"/>
          <w14:textFill>
            <w14:solidFill>
              <w14:schemeClr w14:val="tx1"/>
            </w14:solidFill>
          </w14:textFill>
        </w:rPr>
        <w:t>12.9</w:t>
      </w:r>
      <w:r>
        <w:rPr>
          <w:rStyle w:val="45"/>
          <w:rFonts w:hint="eastAsia" w:ascii="宋体" w:hAnsi="宋体"/>
          <w:sz w:val="24"/>
          <w:szCs w:val="24"/>
        </w:rPr>
        <w:t>保证金缴纳流程如下：</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1.线上报名获取缴纳随机码</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·登录公共资源电子交易系统（jyzx.trs.gov.cn）</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·进入报名页面 填写完报名信息后（带*号为必填项），点左上角【保存修改】按钮。</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2.缴纳保证金</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·按照招标文件要求将投标保证金缴纳到铜仁市公共资源交易中心保证金账户，打款账户必须与交易系统中登记的账户信息一致（要求从登记的基本户打款），即与【诚信库管理】-【基本信息】中的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3.打印回执</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·点【打印保证金回执单】按钮，查看确认到账回执信息，打印留存备用。</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2.采用《投标保证金保函》（电子保函）提交的，应在投标文件递交截止时间前提交申请，且应符合下列规定：</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①为了推进全流程电子化交易，实现数据互联互通，《投标保证金保函》（电子保函）应由铜仁市电子金融保证平台出具；</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②投标担保函有效期到投标有效期后30日止。</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③具体操作方式见铜仁市公共资源交易中心首页——办事指南——政府采购——常见问题解答——《投标电子保函申请操作步骤》</w:t>
      </w:r>
    </w:p>
    <w:p>
      <w:pPr>
        <w:tabs>
          <w:tab w:val="left" w:pos="0"/>
          <w:tab w:val="left" w:pos="1080"/>
        </w:tabs>
        <w:spacing w:line="520" w:lineRule="exact"/>
        <w:ind w:left="420"/>
        <w:rPr>
          <w:rStyle w:val="45"/>
          <w:rFonts w:ascii="宋体" w:hAnsi="宋体"/>
          <w:sz w:val="24"/>
          <w:szCs w:val="24"/>
        </w:rPr>
      </w:pPr>
      <w:r>
        <w:rPr>
          <w:rStyle w:val="45"/>
          <w:rFonts w:hint="eastAsia" w:ascii="宋体" w:hAnsi="宋体"/>
          <w:sz w:val="24"/>
          <w:szCs w:val="24"/>
        </w:rPr>
        <w:t>由于申请电子保函当天不一定能审核通过，须至少于项目开标时间之前3日提交电子保函申请。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 投标文件的格式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13.1投标人须编制由本须知第10条规定文件组成的投标文件正本1份，副本</w:t>
      </w:r>
      <w:r>
        <w:rPr>
          <w:rFonts w:hint="eastAsia" w:asciiTheme="minorEastAsia" w:hAnsiTheme="minorEastAsia"/>
          <w:color w:val="000000" w:themeColor="text1"/>
          <w:sz w:val="24"/>
          <w:u w:val="single"/>
          <w14:textFill>
            <w14:solidFill>
              <w14:schemeClr w14:val="tx1"/>
            </w14:solidFill>
          </w14:textFill>
        </w:rPr>
        <w:t xml:space="preserve">  1  </w:t>
      </w:r>
      <w:r>
        <w:rPr>
          <w:rFonts w:hint="eastAsia" w:asciiTheme="minorEastAsia" w:hAnsiTheme="minorEastAsia"/>
          <w:color w:val="000000" w:themeColor="text1"/>
          <w:sz w:val="24"/>
          <w14:textFill>
            <w14:solidFill>
              <w14:schemeClr w14:val="tx1"/>
            </w14:solidFill>
          </w14:textFill>
        </w:rPr>
        <w:t>份，正本用A4幅面纸张</w:t>
      </w:r>
      <w:r>
        <w:rPr>
          <w:rFonts w:hint="eastAsia" w:asciiTheme="minorEastAsia" w:hAnsiTheme="minorEastAsia"/>
          <w:color w:val="FF0000"/>
          <w:sz w:val="24"/>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14:textFill>
            <w14:solidFill>
              <w14:schemeClr w14:val="tx1"/>
            </w14:solidFill>
          </w14:textFill>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13.3除非有另外的规定或许可，投标使用货币为人民币。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13.5 投标文件的正本和全部副本均应使用不能擦去的墨料或墨水打印、书写或复印，并逐页加盖投标人。</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13.8所有资格证明文件复印件须加盖投标人公章。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13.9 投标人应将上述文件</w:t>
      </w:r>
      <w:r>
        <w:rPr>
          <w:rFonts w:hint="eastAsia" w:asciiTheme="minorEastAsia" w:hAnsiTheme="minorEastAsia"/>
          <w:color w:val="FF0000"/>
          <w:sz w:val="24"/>
        </w:rPr>
        <w:t>装订成册</w:t>
      </w:r>
      <w:r>
        <w:rPr>
          <w:rFonts w:hint="eastAsia" w:asciiTheme="minorEastAsia" w:hAnsiTheme="minorEastAsia"/>
          <w:color w:val="000000" w:themeColor="text1"/>
          <w:sz w:val="24"/>
          <w14:textFill>
            <w14:solidFill>
              <w14:schemeClr w14:val="tx1"/>
            </w14:solidFill>
          </w14:textFill>
        </w:rPr>
        <w:t>，并编列投标文件目录、资料清单，由于装订不规范或编排顺序混乱而导致投标文件被误读或漏读，该投标可能被视为无效投标或承担不利的评标结果。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14:textFill>
            <w14:solidFill>
              <w14:schemeClr w14:val="tx1"/>
            </w14:solidFill>
          </w14:textFill>
        </w:rPr>
      </w:pPr>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 xml:space="preserve">四 </w:t>
      </w:r>
      <w:r>
        <w:rPr>
          <w:rFonts w:asciiTheme="minorEastAsia" w:hAnsiTheme="minorEastAsia"/>
          <w:b/>
          <w:bCs/>
          <w:color w:val="000000" w:themeColor="text1"/>
          <w:sz w:val="32"/>
          <w:szCs w:val="32"/>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投标文件的提交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14:textFill>
            <w14:solidFill>
              <w14:schemeClr w14:val="tx1"/>
            </w14:solidFill>
          </w14:textFill>
        </w:rPr>
        <w:t xml:space="preserve">    14.1 </w:t>
      </w:r>
      <w:r>
        <w:rPr>
          <w:rFonts w:hint="eastAsia" w:asciiTheme="minorEastAsia" w:hAnsiTheme="minorEastAsia"/>
          <w:color w:val="FF0000"/>
          <w:sz w:val="24"/>
        </w:rPr>
        <w:t>投标人应将投标文件用密封袋密封，提供一正一副投标文件，投标文件密封袋及正文封面均应注明“正本”“副本”。正副本信封及投标文件封面均应写明（包括但不限于）项目名称、招标编号、投标人名称、地址、联系人及联系人电话等，并加盖投标单位公章。</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14.2 本项目只接受现场递交投标文件。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14.6投标人在投标截止时间后不得修改、撤回投标文件。投标人在投标截止时间后修改投标文件的，其投标将被拒绝。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14.7投标截止时间结束后参加投标的投标人不足3家的，本次招标程序终止，除采购任务取消情形外，招标采购单位将依法重新组织招标或者采取其他方式采购。</w:t>
      </w:r>
    </w:p>
    <w:p>
      <w:pPr>
        <w:spacing w:line="440" w:lineRule="exact"/>
        <w:ind w:firstLine="480"/>
        <w:rPr>
          <w:rFonts w:asciiTheme="minorEastAsia" w:hAnsiTheme="minorEastAsia"/>
          <w:color w:val="000000" w:themeColor="text1"/>
          <w:sz w:val="24"/>
          <w14:textFill>
            <w14:solidFill>
              <w14:schemeClr w14:val="tx1"/>
            </w14:solidFill>
          </w14:textFill>
        </w:rPr>
      </w:pPr>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 xml:space="preserve">五 </w:t>
      </w:r>
      <w:r>
        <w:rPr>
          <w:rFonts w:asciiTheme="minorEastAsia" w:hAnsiTheme="minorEastAsia"/>
          <w:b/>
          <w:bCs/>
          <w:color w:val="000000" w:themeColor="text1"/>
          <w:sz w:val="32"/>
          <w:szCs w:val="32"/>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无效投标条款</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出现下列情形之一的，供应商递交的投标文件作无效标处理，该供应商的投标文件不参与评审，且不计算入投标供应商家数：</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（1）递交的投标文件不完整或未按采购文件要求密封并加盖公章及签字的；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（2）供应商不符合国家及招标文件规定的资格条件的；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（3）项目接受联合体投标时，投标联合体未提交联合投标协议的；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（4）投标报价被评审委员会认定低于成本价的；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（5）投标报价高于本项目最高限价采购人无法支付的；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（6）投标文件对采购文件的实质性要求和条件未作出响应的；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（7）供应商有串通投标、弄虚作假、行贿等违法行为的；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（9）未交纳投标保证金的；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（10）投标有效期不满足采购文件要求的；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（11）法定代表人为同一个人的两个及以上法人，母公司、全资子公司及其控股公司，在同一采购项目/品目中同时投标的；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（12）为本项目提供整体设计、规范编制或者项目管理、监理、检测等服务的供应商参加本采购项目的。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（13）违反政府采购法律法规,足以导致响应文件无效的情形。</w:t>
      </w:r>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 xml:space="preserve">六 </w:t>
      </w:r>
      <w:r>
        <w:rPr>
          <w:rFonts w:asciiTheme="minorEastAsia" w:hAnsiTheme="minorEastAsia"/>
          <w:b/>
          <w:bCs/>
          <w:color w:val="000000" w:themeColor="text1"/>
          <w:sz w:val="32"/>
          <w:szCs w:val="32"/>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废标条款</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15.出现下列情形之一的，本项目/品目作废标处理,项目/品目评审终止：</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(1）.符合专业条件的或对采购文件作实质响应的有效投标供应商不足三家的；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（2）.出现影响采购公正的违法、违规行为的；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（3）.供应商报价均超过了最高限价，采购人不能支付的；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（4）.因重大变故，采购任务取消的；</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（5）.法律法规规定的其他情形</w:t>
      </w:r>
    </w:p>
    <w:p>
      <w:pPr>
        <w:spacing w:line="440" w:lineRule="exact"/>
        <w:rPr>
          <w:rFonts w:asciiTheme="minorEastAsia" w:hAnsiTheme="minorEastAsia"/>
          <w:b/>
          <w:bCs/>
          <w:color w:val="000000" w:themeColor="text1"/>
          <w:sz w:val="32"/>
          <w:szCs w:val="32"/>
          <w14:textFill>
            <w14:solidFill>
              <w14:schemeClr w14:val="tx1"/>
            </w14:solidFill>
          </w14:textFill>
        </w:rPr>
      </w:pPr>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 xml:space="preserve">七 </w:t>
      </w:r>
      <w:r>
        <w:rPr>
          <w:rFonts w:asciiTheme="minorEastAsia" w:hAnsiTheme="minorEastAsia"/>
          <w:b/>
          <w:bCs/>
          <w:color w:val="000000" w:themeColor="text1"/>
          <w:sz w:val="32"/>
          <w:szCs w:val="32"/>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开标、评标</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16．开标流程</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16.1.会议准备：采购人或代理机构工作人员于投标截止时间前30分钟到开标室组织采购人、供应商等相关人员签到。并将开评标环节所需表格文档资料填写、准备齐全。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16.2.宣读纪律：开标截止时，采购人或代理机构工作人员宣布开标会开始，并宣读开标会会场纪律和注意事项。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16.3.开标唱标：开标时，由采购人或采购代理机构对投标人身份和所递交的投标文件密封情况进行核验；经确认无误后由工作人员依次当众拆封投标文件，并宣读开标一览表中供应商名称、投标报价、交货期、投标声明等相关内容。开标时没有启封和唱标的投标文件，不能进入资格性审查和评标程序。</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16.5.资格性审查：唱标结束后，采购人或代理机构根据招标文件规定对所有递交合格投标文件的供应商进行资格性审查。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16.6.会议结束：开标会结束后，采购人或代理机构工作人员须即刻将通过资格性审查的供应商递交的投标文件及相关证明资料完整移送到评标室。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17．评标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17.1评标地点：铜仁市公共资源交易中心评标区域。</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17.2评标程序：评标委员会推选出一名评标组长，由评标组长按照以下流程组织评标：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2．无效标检查：依照本招标文件无效标条款规定审查供应商是否为有效投标。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17.3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17.4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17.5评标报告：评标组长根据评分汇总情况及排序情况，主持编写评标报告。评标报告按规定需涵盖公告发布情况、开评标情况、推荐排序及有关需要说明的情况等。评标委员会成员须在评标报告上签字确认。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17.6评审复核：评标委员会对评审过程和评审结果进行复核。评标委员会可对评审过程和结果中存在的遗漏或偏差进行修正，完成复核后，确定评标结果及推荐排序。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17.7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当资格性和符合性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（2）投标文件的评审和比较、中标候选人的推荐以及与评标有关的其他情况，评标委员会成员、采购人和采购代理机构等人员均不得泄露。</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（3）开标、评标过程由铜仁公共资源铜仁市公共资源交易中心全程同步录音录像，相关录音录像资料由铜仁市公共资源交易中心存档，以便为财政、纪检监察等有关部门处理项目相关事宜提供资料。</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（4）演示：如项目有演示需求的，由铜仁市公共资源交易中心工作人员组织。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（5）评标过程中，如需出具统一意见但评标专家意见不一致的，可保留个人意见，但按照少数服从多数的原则形成决议。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18.评标委员会</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（一）享有的权利：</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1．对政府采购制度及相关情况的知情权；</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2．对供应商所供货物和服务质量的评审权；</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3．推荐中标候选供应商的表决权；</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4．按规定获得相应的评审劳务报酬；</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5．法律、法规和规章规定的其他权利。</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（二）承担的义务：</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1.按规定时间到达评标现场，开展评审活动；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2．为政府采购工作提供科学合理、经济有效的评审意见；</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3．严格遵守政府采购评审工作纪律，不得向外界泄露评审情况；</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4．发现供应商在政府采购活动中有不正当竞争或恶意串通等违规行为，应及时向政府采购评审工作的组织者或财政部门报告并加以制止；</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5．解答有关方面对政府采购评审工作中有关问题的咨询或质疑；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6．法律、法规和规章规定的其他义务。</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19.询标与澄清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评标过程中，评标委员会发现投标文件存在含义不明、表述不清、有歧义等情况，实质性影响评审结果的，评标委员会可书面向供应商进行询标，要求供应商对询问的问题进行澄清。供应商须在铜仁市公共资源交易中心通知的时间内进行书面答疑和澄清。供应商未在通知的时间内进行答疑和澄清的，视为放弃澄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pStyle w:val="7"/>
        <w:spacing w:line="440" w:lineRule="exact"/>
        <w:ind w:firstLine="0"/>
        <w:jc w:val="center"/>
        <w:outlineLvl w:val="1"/>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 xml:space="preserve">八 </w:t>
      </w:r>
      <w:r>
        <w:rPr>
          <w:rFonts w:asciiTheme="minorEastAsia" w:hAnsiTheme="minorEastAsia"/>
          <w:b/>
          <w:bCs/>
          <w:color w:val="000000" w:themeColor="text1"/>
          <w:sz w:val="32"/>
          <w:szCs w:val="32"/>
          <w14:textFill>
            <w14:solidFill>
              <w14:schemeClr w14:val="tx1"/>
            </w14:solidFill>
          </w14:textFill>
        </w:rPr>
        <w:t xml:space="preserve"> </w:t>
      </w:r>
      <w:r>
        <w:rPr>
          <w:rFonts w:hint="eastAsia" w:asciiTheme="minorEastAsia" w:hAnsiTheme="minorEastAsia"/>
          <w:b/>
          <w:bCs/>
          <w:color w:val="000000" w:themeColor="text1"/>
          <w:sz w:val="32"/>
          <w:szCs w:val="32"/>
          <w14:textFill>
            <w14:solidFill>
              <w14:schemeClr w14:val="tx1"/>
            </w14:solidFill>
          </w14:textFill>
        </w:rPr>
        <w:t>定标与签订合同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21.定标准则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21.1最低投标价不作为中标的保证。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21.2投标人的投标文件符合招标文件要求，按招标文件确定评标方法、标准，经评委评审并推荐中标候选人。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中标通知</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22.1  评标结束后，评标结果经采购人确认后，招标代理机构应自中标人确定之日起2个工作日内在贵州省政府采购网、全国公共资源交易平台（贵州.铜仁）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22.2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22.3 招标代理机构应当在中标通知书发出后5个工作日内退还未中标供应商的投标保证金，在采购人与中标供应商签订合同且公告后5个工作日内，退还中标供应商的投标保证金。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23.签订合同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23.1采购人、中标供应商应当在《中标通知书》发出之日起30日内，根据招标文件确定的事项和中标供应商投标文件，参照本招标文件第五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23.3采购人在合同履行中，需追加与合同标的相同的货物或者服务的，在不改变合同其他条款的前提下，可与供应商协商签订补充合同，但所有补充合同的采购金额不得超过原合同采购金额的10%。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23.4中标供应商因不可抗力等原因不能履行政府采购合同的，经主管部门同意后，采购人可以与排位在中标供应商之后第一位的中标候选供应商签订政府采购合同，以此类推。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before="120"/>
        <w:ind w:firstLine="480"/>
        <w:rPr>
          <w:rFonts w:asciiTheme="minorEastAsia" w:hAnsiTheme="minorEastAsia"/>
          <w:color w:val="000000" w:themeColor="text1"/>
          <w:sz w:val="24"/>
          <w14:textFill>
            <w14:solidFill>
              <w14:schemeClr w14:val="tx1"/>
            </w14:solidFill>
          </w14:textFill>
        </w:rPr>
      </w:pPr>
    </w:p>
    <w:p>
      <w:pP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br w:type="page"/>
      </w:r>
    </w:p>
    <w:p>
      <w:pPr>
        <w:pStyle w:val="7"/>
        <w:numPr>
          <w:ilvl w:val="0"/>
          <w:numId w:val="9"/>
        </w:numPr>
        <w:snapToGrid w:val="0"/>
        <w:spacing w:line="420" w:lineRule="atLeast"/>
        <w:ind w:firstLine="0"/>
        <w:jc w:val="center"/>
        <w:outlineLvl w:val="0"/>
        <w:rPr>
          <w:rFonts w:hint="eastAsia" w:ascii="宋体" w:hAnsi="宋体"/>
          <w:b/>
          <w:bCs/>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采购人需求</w:t>
      </w:r>
    </w:p>
    <w:p>
      <w:pPr>
        <w:pStyle w:val="2"/>
        <w:numPr>
          <w:ilvl w:val="0"/>
          <w:numId w:val="10"/>
        </w:numPr>
        <w:spacing w:line="440" w:lineRule="exact"/>
        <w:ind w:firstLine="0" w:firstLineChars="0"/>
        <w:jc w:val="center"/>
        <w:rPr>
          <w:rFonts w:ascii="宋体" w:hAnsi="宋体" w:eastAsia="宋体" w:cs="宋体"/>
          <w:b/>
          <w:bCs/>
          <w:color w:val="FF0000"/>
          <w:sz w:val="36"/>
          <w:szCs w:val="36"/>
        </w:rPr>
      </w:pPr>
      <w:r>
        <w:rPr>
          <w:rFonts w:hint="eastAsia" w:ascii="宋体" w:hAnsi="宋体" w:eastAsia="宋体" w:cs="宋体"/>
          <w:b/>
          <w:bCs/>
          <w:color w:val="FF0000"/>
          <w:sz w:val="36"/>
          <w:szCs w:val="36"/>
        </w:rPr>
        <w:t>核酸实验室仪器设备及参数</w:t>
      </w:r>
    </w:p>
    <w:p>
      <w:pPr>
        <w:pStyle w:val="2"/>
        <w:spacing w:line="440" w:lineRule="exact"/>
        <w:ind w:firstLine="0" w:firstLineChars="0"/>
        <w:rPr>
          <w:rFonts w:ascii="宋体" w:hAnsi="宋体" w:eastAsia="宋体" w:cs="宋体"/>
          <w:b/>
          <w:bCs/>
          <w:color w:val="FF0000"/>
          <w:sz w:val="36"/>
          <w:szCs w:val="36"/>
        </w:rPr>
      </w:pPr>
    </w:p>
    <w:tbl>
      <w:tblPr>
        <w:tblStyle w:val="25"/>
        <w:tblW w:w="4998" w:type="pct"/>
        <w:tblInd w:w="0" w:type="dxa"/>
        <w:tblLayout w:type="autofit"/>
        <w:tblCellMar>
          <w:top w:w="0" w:type="dxa"/>
          <w:left w:w="0" w:type="dxa"/>
          <w:bottom w:w="0" w:type="dxa"/>
          <w:right w:w="0" w:type="dxa"/>
        </w:tblCellMar>
      </w:tblPr>
      <w:tblGrid>
        <w:gridCol w:w="1190"/>
        <w:gridCol w:w="2494"/>
        <w:gridCol w:w="2357"/>
        <w:gridCol w:w="3056"/>
      </w:tblGrid>
      <w:tr>
        <w:tblPrEx>
          <w:tblCellMar>
            <w:top w:w="0" w:type="dxa"/>
            <w:left w:w="0" w:type="dxa"/>
            <w:bottom w:w="0" w:type="dxa"/>
            <w:right w:w="0" w:type="dxa"/>
          </w:tblCellMar>
        </w:tblPrEx>
        <w:trPr>
          <w:trHeight w:val="660" w:hRule="atLeast"/>
        </w:trPr>
        <w:tc>
          <w:tcPr>
            <w:tcW w:w="65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序号</w:t>
            </w:r>
          </w:p>
        </w:tc>
        <w:tc>
          <w:tcPr>
            <w:tcW w:w="137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商品名称</w:t>
            </w:r>
          </w:p>
        </w:tc>
        <w:tc>
          <w:tcPr>
            <w:tcW w:w="129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数量</w:t>
            </w:r>
          </w:p>
        </w:tc>
        <w:tc>
          <w:tcPr>
            <w:tcW w:w="167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备注</w:t>
            </w:r>
          </w:p>
        </w:tc>
      </w:tr>
      <w:tr>
        <w:tblPrEx>
          <w:tblCellMar>
            <w:top w:w="0" w:type="dxa"/>
            <w:left w:w="0" w:type="dxa"/>
            <w:bottom w:w="0" w:type="dxa"/>
            <w:right w:w="0" w:type="dxa"/>
          </w:tblCellMar>
        </w:tblPrEx>
        <w:trPr>
          <w:trHeight w:val="5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3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生物安全柜</w:t>
            </w:r>
          </w:p>
        </w:tc>
        <w:tc>
          <w:tcPr>
            <w:tcW w:w="1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3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实时荧光PCR</w:t>
            </w:r>
          </w:p>
        </w:tc>
        <w:tc>
          <w:tcPr>
            <w:tcW w:w="12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3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eastAsia="zh-CN" w:bidi="ar"/>
              </w:rPr>
              <w:t>移动</w:t>
            </w:r>
            <w:r>
              <w:rPr>
                <w:rFonts w:hint="eastAsia" w:ascii="仿宋" w:hAnsi="仿宋" w:eastAsia="仿宋" w:cs="仿宋"/>
                <w:color w:val="000000"/>
                <w:kern w:val="0"/>
                <w:sz w:val="20"/>
                <w:szCs w:val="20"/>
                <w:lang w:bidi="ar"/>
              </w:rPr>
              <w:t>空气</w:t>
            </w:r>
            <w:r>
              <w:rPr>
                <w:rFonts w:hint="eastAsia" w:ascii="仿宋" w:hAnsi="仿宋" w:eastAsia="仿宋" w:cs="仿宋"/>
                <w:color w:val="000000"/>
                <w:kern w:val="0"/>
                <w:sz w:val="20"/>
                <w:szCs w:val="20"/>
                <w:lang w:eastAsia="zh-CN" w:bidi="ar"/>
              </w:rPr>
              <w:t>消毒机</w:t>
            </w:r>
          </w:p>
        </w:tc>
        <w:tc>
          <w:tcPr>
            <w:tcW w:w="1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3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低温冰箱</w:t>
            </w:r>
          </w:p>
        </w:tc>
        <w:tc>
          <w:tcPr>
            <w:tcW w:w="1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核酸提取仪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药品保存柜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高压灭菌器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超低温冰箱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高速冷冻离心机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瞬时离心机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FF0000"/>
                <w:kern w:val="0"/>
                <w:sz w:val="20"/>
                <w:szCs w:val="2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移液器（支）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bl>
    <w:p>
      <w:pPr>
        <w:spacing w:line="360" w:lineRule="auto"/>
        <w:rPr>
          <w:rFonts w:ascii="Helvetica" w:hAnsi="Helvetica" w:eastAsia="方正仿宋简体"/>
          <w:color w:val="000000"/>
          <w:sz w:val="44"/>
          <w:szCs w:val="44"/>
        </w:rPr>
      </w:pPr>
    </w:p>
    <w:tbl>
      <w:tblPr>
        <w:tblStyle w:val="25"/>
        <w:tblW w:w="4998" w:type="pct"/>
        <w:tblInd w:w="0" w:type="dxa"/>
        <w:tblLayout w:type="fixed"/>
        <w:tblCellMar>
          <w:top w:w="0" w:type="dxa"/>
          <w:left w:w="0" w:type="dxa"/>
          <w:bottom w:w="0" w:type="dxa"/>
          <w:right w:w="0" w:type="dxa"/>
        </w:tblCellMar>
      </w:tblPr>
      <w:tblGrid>
        <w:gridCol w:w="502"/>
        <w:gridCol w:w="957"/>
        <w:gridCol w:w="11"/>
        <w:gridCol w:w="7627"/>
      </w:tblGrid>
      <w:tr>
        <w:tblPrEx>
          <w:tblCellMar>
            <w:top w:w="0" w:type="dxa"/>
            <w:left w:w="0" w:type="dxa"/>
            <w:bottom w:w="0" w:type="dxa"/>
            <w:right w:w="0" w:type="dxa"/>
          </w:tblCellMar>
        </w:tblPrEx>
        <w:trPr>
          <w:trHeight w:val="660" w:hRule="atLeast"/>
        </w:trPr>
        <w:tc>
          <w:tcPr>
            <w:tcW w:w="27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532" w:type="pct"/>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商品名称</w:t>
            </w:r>
          </w:p>
        </w:tc>
        <w:tc>
          <w:tcPr>
            <w:tcW w:w="419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配置及参数</w:t>
            </w:r>
          </w:p>
        </w:tc>
      </w:tr>
      <w:tr>
        <w:tblPrEx>
          <w:tblCellMar>
            <w:top w:w="0" w:type="dxa"/>
            <w:left w:w="0" w:type="dxa"/>
            <w:bottom w:w="0" w:type="dxa"/>
            <w:right w:w="0" w:type="dxa"/>
          </w:tblCellMar>
        </w:tblPrEx>
        <w:trPr>
          <w:trHeight w:val="500" w:hRule="atLeast"/>
        </w:trPr>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532"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生物安全柜</w:t>
            </w:r>
          </w:p>
        </w:tc>
        <w:tc>
          <w:tcPr>
            <w:tcW w:w="41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1、安全柜类别：A2型生物安全柜，符合CFDA III类医疗器械产品认证。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2、气流模式：30%外排，70%内循环。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3、工作区尺寸≥1800mm×550mm×650mm（长x宽x高）。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4、风速显示：配备风速传感器，可同时独立显示进风风速和下沉风速，以便实时监测风速变化，发现数值衰减时，可立即中止实验，确保生物安全。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5、平均气流速度：沉降气流不低于0.35m/s、进气气流不低于0. 50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★6、自净功能：具备开机强制3-15分钟预洁净程序，预防操作者没有预洁净直接开始操作、造成污染。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★7、洁净度要求：操作区空气洁净度要求达到ISO 14644.1标准Class 3（美联邦209 E 1级洁净度标准）。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★8、过滤器：过滤器属于核心部件，要求使用进口ULPA超高效过滤器，可截留尘埃粒子直径≥0.2μm，截留效率≥99.999%；滤器结构：微褶皱无间隔，增加过滤面积；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★9、预过滤装置：配有可移动预过滤器隔栅，方便选装预过滤器，对进气流中较大颗粒物或尖锐物体对主过滤器造成损害。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风机系统：风机系统属于核心部件，要求使用进口直流变频高效风机，可自动进行风量补偿，当出现进风通道受阻或过滤器年限增加导致堵塞阻力增加250%的情况，安全柜仍然能提供安全风速；节能静音风机功率≤250W，可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11、安全设计：通体式搁手架宽度≥1800mm，整体高于前进气口，没有限位装置，操作时不影响气流进入，且降低长时间操作疲劳。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12、控制器：微电脑控制，位于柜体中部倾斜面，可集中设置各种参数及紫外灭菌功能，管理员可通过加密保护已设定参数。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13、安全监控系统：实时数字式显示下降气流和流入气流速度，当风速数值波动超过20%时提供声光报警，过滤器使用寿命状态实时显示。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★14、操作台面：与进气隔栅一体成型，浅盘式设计，具有集液功能，防止有害液体喷洒泄漏，整个台面可以单独取出，方便对台面以下区域进一步清洁消毒。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负压保护：Dynamic负压防泄漏设计，全部污染区处于封闭环绕负压腔，防止滤器泄漏、密封失效造成的泄漏；同时操作室台面两侧设计气流回流通道形成四面负压；前窗两侧预留增强的侧壁导流孔有效防止逆流、湍流形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16、操作前窗：光学透视清晰，双层覆膜，减少视力疲劳；前窗不得使用电动控制，以保证断电时能及时关门防护；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17、紫外预约：紫外灯可预约自动开启灭菌。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18、内部照明：荧光灯位于非污染区域，照度：1300Lux。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★19、外部防污染：整机外部（含底部支架）采用抑菌涂层设计，避免柜面细菌、微生物着附而导致的交叉污染风险；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★20、电源插座及水气接口：电源插座预留孔分别位于操作室两侧，四个水气接口预留位分别交错位于操作室两侧；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21、配重：安全柜背面配重平衡块与玻璃前窗需用高强度钢丝绳连接（非尼龙绳），坚韧耐用，避免长期磨损导致连接绳意外断裂，砸伤实验人员。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22、带轮支架，方便移动和固定，较小对实验室地面损伤。</w:t>
            </w:r>
          </w:p>
        </w:tc>
      </w:tr>
      <w:tr>
        <w:tblPrEx>
          <w:tblCellMar>
            <w:top w:w="0" w:type="dxa"/>
            <w:left w:w="0" w:type="dxa"/>
            <w:bottom w:w="0" w:type="dxa"/>
            <w:right w:w="0" w:type="dxa"/>
          </w:tblCellMar>
        </w:tblPrEx>
        <w:trPr>
          <w:trHeight w:val="500" w:hRule="atLeast"/>
        </w:trPr>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53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实时荧光PCR</w:t>
            </w:r>
          </w:p>
        </w:tc>
        <w:tc>
          <w:tcPr>
            <w:tcW w:w="41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1.工作环境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1.1工作温度：5-32℃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1.2工作湿度：20-80%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1.3工作电压：100-240VAC,50-60Hz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可用于基因表达分析、突变筛查、突变检测、拷贝数变异分析、高分辨率熔解曲线分析、基因分型分析等多种研究领域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3.主要性能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3.1主要功能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3.1.1在PCR过程中实时监测、实时在线显示反应过程;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3.1.2具备出色的温控系统，保证整个反应过程中的温控精确、均匀一致、升降温快速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3.1.3可同时检测4荧光（四通道）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★3.1.4完全试剂开放，各种科研和临床试剂适用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3.1.5适用于染料法及探针法荧光标记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3.1.6采用普通的PCR薄壁管、八联排管、96孔板等，消耗品成本低；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3.1.7具有熔解曲线分析功能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3.2主要技术指标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3.2.1光源：长寿命免维护高效LED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★3.2.2检测器：高效大尺寸PMT（光电倍增管）；非光电二极管检测器；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3.2.3发射光透镜：菲涅尔透镜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3.2.4激发/检测范围：455-650nm/510-715nm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★3.2.5荧光检测通道：四通道，可同时检测4个目标基因；无需ROX校正；扩增效率高，Ct值准确，Ct值算法包括二阶导法和插值法，荧光阈值可手动调整；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3.2.6荧光值可显示ΔRn值及归一化后数值；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3.2.7检测灵敏度：能检测1拷贝人基因组DNA基因；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3.2.8分辨率：在单重反应中可区分1.33倍拷贝数差异；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3.2.9动态范围：10个数量级；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★3.2.10扫描方式：逐孔时间分辨采集，保证荧光串扰降至最低,非CCD拍照采集；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3.2.11最大样品容量：96个；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3.2.12反应体系：10-50µl，默认20ul；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★3.2.13熔解曲线支持双FAM模式，有效缩短熔解曲线时间；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3.2.14升降温方式：半导体Peltier加热/制冷；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3.2.15最大升降温速率：6°C/秒；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★3.2.16边缘温度补偿技术，温度均一性≤±0.2°C；（提供证明材料）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3.2.17温度准确性：±0.2°C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3.2.18温度范围：4-100°C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3.2.19温度梯度范围：30-100°C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3.2.20温度梯度温差范围：1-36°C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3.2.21数据分析模式：标准曲线绝对定量、相对定量、熔解曲线、终点荧光分析。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3.2.22 数据导出：Excel,结果包含运行设置，图形和表格数据结果。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4.必须附件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配置：qPCR主机、计算机及分析软件等；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5.质量保质期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自仪器安装验合格后起，保修3年，操作软件终生免费升级。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6、招投标需要提供生产商的资质文件、项目授权书、印刷版彩页加盖公章等文件；</w:t>
            </w:r>
          </w:p>
        </w:tc>
      </w:tr>
      <w:tr>
        <w:tblPrEx>
          <w:tblCellMar>
            <w:top w:w="0" w:type="dxa"/>
            <w:left w:w="0" w:type="dxa"/>
            <w:bottom w:w="0" w:type="dxa"/>
            <w:right w:w="0" w:type="dxa"/>
          </w:tblCellMar>
        </w:tblPrEx>
        <w:trPr>
          <w:trHeight w:val="500" w:hRule="atLeast"/>
        </w:trPr>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5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eastAsia="zh-CN" w:bidi="ar"/>
              </w:rPr>
              <w:t>移动</w:t>
            </w:r>
            <w:r>
              <w:rPr>
                <w:rFonts w:hint="eastAsia" w:ascii="宋体" w:hAnsi="宋体" w:eastAsia="宋体" w:cs="宋体"/>
                <w:color w:val="000000"/>
                <w:kern w:val="0"/>
                <w:szCs w:val="21"/>
                <w:lang w:bidi="ar"/>
              </w:rPr>
              <w:t>空气</w:t>
            </w:r>
            <w:r>
              <w:rPr>
                <w:rFonts w:hint="eastAsia" w:ascii="宋体" w:hAnsi="宋体" w:eastAsia="宋体" w:cs="宋体"/>
                <w:color w:val="000000"/>
                <w:kern w:val="0"/>
                <w:szCs w:val="21"/>
                <w:lang w:eastAsia="zh-CN" w:bidi="ar"/>
              </w:rPr>
              <w:t>消毒机</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 适用于生物安全实验室，层流净化室等各种空间的消毒灭菌，提供设备原产地证明。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作用原理：以文丘里效应，干雾技术为原理。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产品可进行全方位无死角消毒，有喷射颗粒直径≤5μm，不发生雾状凝结，喷射速度≥80m/秒  喷射量1L/h，消毒液消耗量1ml/m³空间，处理能力：10-1000m³空间，环境温度可适合-59℃至50℃。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产品采用过氧化氢消毒剂，浓度≤8%时仍具有高效的消毒灭菌性能，消毒液无毒，无腐蚀性，能迅速分解。提供原厂的材料兼容性测试报告。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 产品的消毒效力：设备可达到对枯草芽孢达到6个对数的杀灭效果。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设备具备定时开关机功能，能延时启动，保证使用安全，保证人员安全撤离。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设备具有遥控开关功能，操作人员在房间外面可操控设备的开关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 产品体积小巧，便携，便于疫情处理现场封闭空间消毒灭菌。设备重量≤6kg，主机功率≤1千瓦，便于实验室内传递窗生物安全柜的消毒处理。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 消毒液通过1L的有刻度显示的瓶子直接跟设备对接，方便装取。消毒结束后，瓶子取下后用盖子密封，便于下次使用。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设备型号可选择手提式、壁挂式、手提/壁挂两用型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质保期：免费质保一年。</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低温冰箱</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★1、样式：立式    容积≥400L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★2、温度控制：-10℃~-25℃可调，微电脑控制，数码显示箱内温度。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3、多重保护功能：开机延时、停机间隔、键盘锁等。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4、两种故障报警：高低温报警，温度可设定；传感器故障报警；蜂鸣器和灯光闪烁两种报警方式。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5、安全门锁，防止随意开启：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6、加厚保温层、超微孔发泡技术、保温效果好，无氟发泡、无氟制冷剂、绿色环保。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7、合理优化蒸发冷凝系统设计，制冷强劲。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8、具备强制制冷功能。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9、安装压力平衡阀，开门更省力。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10、宽电压设计，一栋方便轻松。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11、宽气候带设计，适合10°C~32°C环境使用。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企业资质：要求产品有相关的医疗器械生产许可证、医疗器械注册表（注册证标明型号），附产品检验报告、企业通过ISO9001、13485质量管理体系认证证书、28001职业健康安全管理体系证书、ISO14001环境管理体系认证证书等。</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核酸提取仪</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1、产品：全自动核酸提取仪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2、方法学：磁珠法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3、最高通量：96个/次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★4、处理时间：14min/次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5、处理体积：50-1000μL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7、磁棒数量：96根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7、样本类型：全血、血清、血浆、鼻/咽拭子、分泌物、脱落细胞、尿液、痰液、粪便、FFPE组织、动植物组织、干血斑、唾液，肺灌洗液等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8、温度调控：室温至120℃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9、程序储存：内建5组模式程序，可存储≧50000组程序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10、吸磁能力：磁棒磁通量高达5500高斯，最大程度降低磁珠掉磁风险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11、磁棒套取放模式：磁棒套自动取放试剂盒，无需人员操作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12、磁珠回收率：≧98%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13、提取孔间差：CV≤3%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★14、防交叉污染：紫外消毒模块、通风设施、气溶胶高效过滤器、负压排气功能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★15、智能程序：智能紫外灯消毒与自动关机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★16、断电保护：意外断电且恢复供电后，可选择继续运行实验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★17、故障处理：智能多维度故障提醒，实现一键故障自动清除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18、开机自检：开机自动初始化并温控自检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19、舱门保护：舱门误开，程序暂停，关闭舱门后继续运行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20、振荡模式：多模式多档可调（5档）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21、操作界面：8.4寸彩色大触摸屏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22、程序管理：新建、编辑、删除模式程序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23、照明系统：LED灯源，可实时查看仪器运行状况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24、工作环境：5-40℃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25、接口方式：USB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26、尺寸（L×W×H）：696mm×450mm×460mm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27、净重：45kg提供原厂授权文件及售后服务承诺书</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药品保存柜</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1、样式：立式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★2、有效容积：≥330L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3、温度控制系统 ：微电脑控制，数码显示箱内温度，显示精度0.1℃。强制风冷系统，箱内温度恒定控制在2℃~8℃。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4、安全控制系统：多种故障报警：高低温报警、传感器故障报警、开门报警；三种报警方式：声音蜂鸣报警、灯光闪烁报警，多重保护功能：开机延时、停机间隔等。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★5、制冷系统：采用进口压缩机（提供报关单予以佐证）和国际名牌EBM风扇电机。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6、人性化设计：安全门锁设计，防止随意开启。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7、透明中空钢化离线镀膜反射玻璃门，防止玻璃门凝露。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★8、产品及企业资质：所投产品具有医疗器械注册证（注册证有具体型号），生产企业通过ISO9001/14001/13485/OHSAS18001体系认证。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★10、产品及企业资质：所投产品具有医疗器械注册证，生产企业通过ISO9001/14001/13485/体系认证。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11，提供生产厂家针对本项目的授权原件</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高压灭菌器</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★1、容量：≥90L，底部带脚轮，易移动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★2、灭菌腔尺寸(直径×高度)mm：Ф400×730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3、灭菌工作温度：105℃～138℃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4、灭菌时间预置范围：1分钟～6000分钟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5、定时器预置范围：0分钟至需使用时间（年月日时分）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★6、压力（因特种设备，此条必须满足）：腔体设计压力≥0.35Mpa。每台产品对应编号都有生产厂家产品质量证明书原件和特种设备制造监督检验部门出具对应编号的证书原件，有过程设备设计计算书和竣工图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★7、压力安全保护：两路独立管路测量控制，双重压力保护，电子式及机械式，安全阀起跳压力0.31Mpa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8、灭菌模式：固体模式：加热→灭菌→排汽、风冷  固体带干燥模式（选配）：加热→灭菌→排水、排汽→干燥 液体模式：加热→灭菌→预冷→排汽  液体带保温模式：加热→灭菌→预冷→排汽→保温   废弃物模式：加热→灭菌→排汽    琼脂模式：加热→融化→保温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★9、排汽模式：全自动内排，内置蒸汽冷凝液收集瓶，前置集水桶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★10、开盖方式：独特的八柱式联锁装置（具有国家专利证书），翻盖式开关盖（上掀下压式开关盖），触拨式把手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★11、控制器及记忆存储功能：6个固有操作模式，82个可修改模式，共计88个存储记忆；可对仪器按照用户，管理员，工程师三级进行管理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12、安全装置：门锁联锁装置；闭盖检查；干烧保护；水位传感器监测；电子过压保护；机械式安全阀；过温与升温保护；过流、短路保护；漏电保护；冷却锁；防烫伤安全保护；自动故障检测系统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13、配置：2个不锈钢提篮，1个冷凝液收集瓶，1块水位板，1根排水软管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14、可选购配件：物品温度计，打印机，USB数据导出曲线成图，压力传感器，冷却风扇，3Q验证转接头，厂家供3Q验证服务和第三方3Q验证服务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技术支持及服务：产品保修期为12个月，在保修期内供方将免费维修和更换属质量原因造成的零部件损坏，保修期外零部件的损坏，供方维修或提供的配件均按成本价计。在保修期外公司技术人员每年回访调查用户使用情况</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超低温冰箱</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★1、样式及容积：立式，容积≥390升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★2、温度：箱内温度-40℃～-86℃可调；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3、样式：样式：立式内外双门，内门为轻质不锈钢三层隔板、分为四个内门；门锁与把手一体化。符合人体工程力学设计的单手操作门把手兼容两把挂锁。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★4、温控方式：电脑板温控，21寸液晶触摸屏（提供证明材料）温度显示精度0.1度，可以显示温度曲线，历史数据查询、开门报警次数可以查询及导出，历史数据可以存储15年以上；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多种故障报警：高温报警、低温报警、传感器故障报警、冷凝器脏报警、断电报警、电池低电量报警、环温过高报警、开门报警等系列安全报警功能，确保使用安全；报警方式设计声音蜂鸣报警、数码闪烁报警、可接远程报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★6、全密闭双压缩机复叠制冷系统、独特的蒸发冷凝换热系统设计，制冷能力更强；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7、进口国际名牌压缩机和国际名牌EBM风扇电机，制冷管路和机舱结构减震设计，整机噪声低。无氟发泡，无氟制冷剂，绿色环保；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8、超厚保温层，箱体发泡层厚度≥130mm。独特的四道密封结构加隔热系统设计，有效消除结霜现象，锁住空气，保温效果好；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★9、企业资质：要求产品有相关的医疗器械生产许可证、医疗器械注册表注册，具有ISO13485、ISO9001、ISO14001。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10，提供生产厂家针对本项目的授权原件</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高速冷冻离心机</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1.最大容量：≥48×1.5/2.0 mL 离心管，16×5.0ml离心管，6×50ml离心管，2×MTP微孔板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2.最大相对离心力≥30,130×g(17,500 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3.12款不同转子可选择，可离心0.2ml至50ml的所有离心管、微孔板和PCR板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★4.转子气密性经由英国Proton Down的应用微生物研究中心（CAMR）测试并认证，可高温高压灭菌(121 ℃, 20 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5.具备自动识别转子和转子转速，操作更安全简便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6.自动转子失衡识别，保护操作人员安全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7.QuickLock快速锁定技术，可快速轻松地开盖和关盖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8.大型背光液晶显示屏，人性化的操作面板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9.5个快捷程序按键，可存储多达50个常用程序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★10.单独的“Short Spin”瞬时离心按键，方便操作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11.“At set rpm”定速计时功能，达到预定转速后再倒计时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★12.具备“Fast Temp”快速制冷编程功能，可以预先设定制冷的时间和日期，在预定时间进行快速制冷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13.具备“standby cooling”待机冷却功能 ，即使在待机状态下可持续制冷长达8小时。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14.所有的转子在最高转速时，均可维持在4C。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15.具备SOFT软刹车功能，防止样品重悬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16.单独的rpm（转速）/rcf（相对离心力）转换按键，便于操作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17.从零加速至最高转速的时间和从最高转速减速至零的时间：14秒/15秒（适配转子FA-45-30-11）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18.温控范围：-11℃－40℃，并可在离心机运行期间设置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19.离心计时：30秒至99小时59分钟，可连续离心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20.离心结束后自动开盖，防止样品过热，便于取放样品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21.专利动态压缩机控制技术提供ECO自动待机功能，可选1、2、4、8 小时无使用后自动关机，优化制冷性能，降低能耗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22.内置冷凝水槽，避免冷凝水积聚，防止腐蚀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23.符合ICE 1010-2-020国际最高安全标准</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瞬时离心机</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1.所有转子可高温高压灭菌(121 °C，20 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2.单独的“Short Spin”瞬时离心按键，操作简便安全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3.最高转速运行20分钟后，温度仅为 12 °C，保持样品低温离心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4.数字显示屏便于操作，离心结束后顶盖可以自动开启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5.选购配件：0.2 ml PCR管的适配器，0.4 ml微型离心管的适配器，0.5 ml 微型离心管的适配器，0.6 ml Microtainer®的适配器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6.无碳刷电机，免维护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7.专利的压缩机频率调制器降低噪音水平，实现超静音操作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8.符合最严格的IEC 1010-2-020离心机安全标准，保证离心操作高度安全，适用于P3实验室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9.最高转速: 13400rpm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10.最大相对离心力: 12100×g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11.离心时间：15秒－30分钟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12.功率：70W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13.加速到最高转速所需时间：13秒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14.从最高转速减速所需时间：12秒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15.尺寸（长×宽×高）：22.6×23.9×11.9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16.净重，含转子：4.3kg</w:t>
            </w:r>
          </w:p>
        </w:tc>
      </w:tr>
      <w:tr>
        <w:tblPrEx>
          <w:tblCellMar>
            <w:top w:w="0" w:type="dxa"/>
            <w:left w:w="0" w:type="dxa"/>
            <w:bottom w:w="0" w:type="dxa"/>
            <w:right w:w="0" w:type="dxa"/>
          </w:tblCellMar>
        </w:tblPrEx>
        <w:trPr>
          <w:trHeight w:val="500" w:hRule="atLeast"/>
        </w:trPr>
        <w:tc>
          <w:tcPr>
            <w:tcW w:w="2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5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移液器（支）</w:t>
            </w:r>
          </w:p>
        </w:tc>
        <w:tc>
          <w:tcPr>
            <w:tcW w:w="4198"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1.卓越人体工程学设计，重量轻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2.显著减少手、手臂和肩膀用力，避免手部重复性劳损（RSI）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3.可整支高温高压灭菌和紫外线灭菌，操作更安全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★4.新增伸缩式弹性吸嘴设计，确保吸头装配的气密性和移液均一性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★5.独有密度调节窗口，适用于甘油、氯化铯等不同密度的液体，通用性更广泛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6.四位数字放大体积显示，位置合理，便于移液时观察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7.采用Perfect Piston™系统的高科技材质，坚固耐用，耐高温抗腐蚀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★8.多道移液器具备独立活塞设计，每个通道可单独拆卸，灵活性更高，节省维修成本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9.0.1-2.5μl、0.5-10μl、2-20μl、10-100μl、20-200μl、30-300μl、100-1000μl可选</w:t>
            </w:r>
          </w:p>
        </w:tc>
      </w:tr>
    </w:tbl>
    <w:p>
      <w:pPr>
        <w:pStyle w:val="2"/>
        <w:ind w:firstLine="440"/>
        <w:rPr>
          <w:rFonts w:ascii="Helvetica" w:hAnsi="Helvetica" w:eastAsia="方正仿宋简体"/>
          <w:color w:val="000000"/>
          <w:sz w:val="44"/>
          <w:szCs w:val="44"/>
        </w:rPr>
      </w:pPr>
    </w:p>
    <w:p>
      <w:pPr>
        <w:pStyle w:val="2"/>
        <w:ind w:firstLine="440"/>
        <w:rPr>
          <w:rFonts w:ascii="Helvetica" w:hAnsi="Helvetica" w:eastAsia="方正仿宋简体"/>
          <w:color w:val="000000"/>
          <w:sz w:val="44"/>
          <w:szCs w:val="44"/>
        </w:rPr>
      </w:pPr>
    </w:p>
    <w:p>
      <w:pPr>
        <w:pStyle w:val="2"/>
        <w:ind w:left="0" w:leftChars="0" w:firstLine="0" w:firstLineChars="0"/>
        <w:rPr>
          <w:rFonts w:ascii="Helvetica" w:hAnsi="Helvetica" w:eastAsia="方正仿宋简体"/>
          <w:color w:val="000000"/>
          <w:sz w:val="44"/>
          <w:szCs w:val="44"/>
        </w:rPr>
      </w:pPr>
    </w:p>
    <w:p>
      <w:pPr>
        <w:pStyle w:val="2"/>
        <w:numPr>
          <w:ilvl w:val="0"/>
          <w:numId w:val="10"/>
        </w:numPr>
        <w:spacing w:line="440" w:lineRule="exact"/>
        <w:ind w:firstLine="0" w:firstLineChars="0"/>
        <w:jc w:val="center"/>
        <w:rPr>
          <w:rFonts w:ascii="宋体" w:hAnsi="宋体" w:eastAsia="宋体" w:cs="宋体"/>
          <w:b/>
          <w:bCs/>
          <w:color w:val="FF0000"/>
          <w:sz w:val="36"/>
          <w:szCs w:val="36"/>
        </w:rPr>
      </w:pPr>
      <w:r>
        <w:rPr>
          <w:rFonts w:hint="eastAsia" w:ascii="宋体" w:hAnsi="宋体" w:eastAsia="宋体" w:cs="宋体"/>
          <w:b/>
          <w:bCs/>
          <w:color w:val="FF0000"/>
          <w:sz w:val="36"/>
          <w:szCs w:val="36"/>
        </w:rPr>
        <w:t>饮用水监测能力实验室设备及参数</w:t>
      </w:r>
    </w:p>
    <w:tbl>
      <w:tblPr>
        <w:tblStyle w:val="25"/>
        <w:tblW w:w="4998" w:type="pct"/>
        <w:tblInd w:w="0" w:type="dxa"/>
        <w:tblLayout w:type="autofit"/>
        <w:tblCellMar>
          <w:top w:w="0" w:type="dxa"/>
          <w:left w:w="0" w:type="dxa"/>
          <w:bottom w:w="0" w:type="dxa"/>
          <w:right w:w="0" w:type="dxa"/>
        </w:tblCellMar>
      </w:tblPr>
      <w:tblGrid>
        <w:gridCol w:w="1410"/>
        <w:gridCol w:w="5142"/>
        <w:gridCol w:w="1347"/>
        <w:gridCol w:w="1198"/>
      </w:tblGrid>
      <w:tr>
        <w:tblPrEx>
          <w:tblCellMar>
            <w:top w:w="0" w:type="dxa"/>
            <w:left w:w="0" w:type="dxa"/>
            <w:bottom w:w="0" w:type="dxa"/>
            <w:right w:w="0" w:type="dxa"/>
          </w:tblCellMar>
        </w:tblPrEx>
        <w:trPr>
          <w:trHeight w:val="6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序号</w:t>
            </w:r>
          </w:p>
        </w:tc>
        <w:tc>
          <w:tcPr>
            <w:tcW w:w="28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商品名称</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数</w:t>
            </w:r>
            <w:r>
              <w:rPr>
                <w:rFonts w:hint="eastAsia" w:ascii="仿宋" w:hAnsi="仿宋" w:eastAsia="仿宋" w:cs="仿宋"/>
                <w:b/>
                <w:color w:val="000000"/>
                <w:kern w:val="0"/>
                <w:sz w:val="24"/>
                <w:lang w:bidi="ar"/>
              </w:rPr>
              <w:br w:type="textWrapping"/>
            </w:r>
            <w:r>
              <w:rPr>
                <w:rFonts w:hint="eastAsia" w:ascii="仿宋" w:hAnsi="仿宋" w:eastAsia="仿宋" w:cs="仿宋"/>
                <w:b/>
                <w:color w:val="000000"/>
                <w:kern w:val="0"/>
                <w:sz w:val="24"/>
                <w:lang w:bidi="ar"/>
              </w:rPr>
              <w:t>量</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备注</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8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全自动微生物鉴定系统及药敏分析系统</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8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实时荧光PCR</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8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生物安全柜</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8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电感耦合等离子体</w:t>
            </w:r>
            <w:r>
              <w:rPr>
                <w:rFonts w:hint="eastAsia" w:ascii="仿宋" w:hAnsi="仿宋" w:eastAsia="仿宋" w:cs="仿宋"/>
                <w:color w:val="000000"/>
                <w:kern w:val="0"/>
                <w:sz w:val="20"/>
                <w:szCs w:val="20"/>
                <w:lang w:eastAsia="zh-CN" w:bidi="ar"/>
              </w:rPr>
              <w:t>光</w:t>
            </w:r>
            <w:r>
              <w:rPr>
                <w:rFonts w:hint="eastAsia" w:ascii="仿宋" w:hAnsi="仿宋" w:eastAsia="仿宋" w:cs="仿宋"/>
                <w:color w:val="000000"/>
                <w:kern w:val="0"/>
                <w:sz w:val="20"/>
                <w:szCs w:val="20"/>
                <w:lang w:bidi="ar"/>
              </w:rPr>
              <w:t>谱仪</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282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离子色谱仪</w:t>
            </w:r>
          </w:p>
        </w:tc>
        <w:tc>
          <w:tcPr>
            <w:tcW w:w="74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5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28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顶空-气相色谱仪</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进口</w:t>
            </w:r>
          </w:p>
        </w:tc>
      </w:tr>
      <w:tr>
        <w:tblPrEx>
          <w:tblCellMar>
            <w:top w:w="0" w:type="dxa"/>
            <w:left w:w="0" w:type="dxa"/>
            <w:bottom w:w="0" w:type="dxa"/>
            <w:right w:w="0" w:type="dxa"/>
          </w:tblCellMar>
        </w:tblPrEx>
        <w:trPr>
          <w:trHeight w:val="500" w:hRule="atLeast"/>
        </w:trPr>
        <w:tc>
          <w:tcPr>
            <w:tcW w:w="77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82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单通道移液器（支）</w:t>
            </w:r>
          </w:p>
        </w:tc>
        <w:tc>
          <w:tcPr>
            <w:tcW w:w="74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FF0000"/>
                <w:kern w:val="0"/>
                <w:sz w:val="20"/>
                <w:szCs w:val="20"/>
                <w:lang w:val="en-US" w:eastAsia="zh-CN" w:bidi="ar"/>
              </w:rPr>
              <w:t>4</w:t>
            </w:r>
          </w:p>
        </w:tc>
        <w:tc>
          <w:tcPr>
            <w:tcW w:w="65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lang w:eastAsia="zh-CN"/>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干烤灭菌箱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高压灭菌器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1/万电子天平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PH/离子选择电极测定仪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超声波清洗器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可见分光光度计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流动注射分析仪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rPr>
            </w:pPr>
          </w:p>
        </w:tc>
      </w:tr>
    </w:tbl>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1"/>
        <w:gridCol w:w="1371"/>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75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商品名称</w:t>
            </w:r>
          </w:p>
        </w:tc>
        <w:tc>
          <w:tcPr>
            <w:tcW w:w="3942" w:type="pct"/>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配置及参数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753" w:type="pct"/>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全自动微生物鉴定系统及药敏分析系统</w:t>
            </w:r>
          </w:p>
        </w:tc>
        <w:tc>
          <w:tcPr>
            <w:tcW w:w="3942" w:type="pct"/>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一、技术参数: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★1.鉴定原理采用比色、比浊动态分析法，24小时连续自动检测，并实时出报告，系统可同时做抗菌药物敏感性试验；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★2.分析组件可对环境和食品中的细菌进行全自动鉴定，种类包括革兰氏阴性菌、革兰氏阳性菌、芽胞杆菌、厌氧菌、酵母菌、奈瑟菌、棒状杆菌等的鉴定；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3.系统可处理≥15张卡片，并具有扩容功能；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4.超过530种可鉴定细菌，全部鉴定结果通过FDA认证, 并且鉴定方法原理可在GB4789中查询（提供FDA资料文件）；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全密封设计试剂卡，卡内含有64个微孔，已预先填入鉴定或药敏试验的底物。每个反应卡都带有条形码可指示卡片的序列号和测试的种类。卡片填充菌液后为封闭式卡片，不会造成环境污染，检测过程中无需额外添加试剂；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★6.读数频率：最少每15分钟对同一卡片进行1次光学检测；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7.光学系统：应用至少三种波长的光学系统和透光度光学系统进行试剂卡样本孔中细菌生长的分析；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★8.鉴定速度：95％常见细菌≤5小时，其中革兰氏阴性菌（GN）≤10小时，革兰氏阳性菌（GP）≤8小时；平均药敏实验时间不大于6小时；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★9.系统自动化程度高，具备条码识别系统，能自动真空填充悬浮液至试剂卡、自动密封试剂卡，并自动将卡片装载于光学读数系统/孵育系统，测试结束自动丢弃试剂卡；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10.鉴定卡和药敏卡必须独立包装（提供SFDA注册证）；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11.支持用户自建菌库功能；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对于药敏测试，根据需要可提供至少20种药物的多种浓度，阳性菌药敏卡卡片中常规包含头孢西丁筛选实验和苯唑西林ＭＩＣ实验，包含ＶＲＳＡ确证实验、红霉素诱导克林霉素耐药实验、高水平氨基糖甙类耐药测试等临床必须的实验；ESBL确证试验包含在常规药敏卡片中，使用头孢他啶/头孢他啶+棒酸；头孢噻肟/头孢噻肟+棒酸；头孢泊肟/头孢泊肟+棒酸三对确证实验，并在6小时内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13.药敏试验种类：满足革兰氏阴性菌、革兰氏阳性菌、链球菌、葡萄阳性球菌药敏试验；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14.经分析软件分析后得出结果并可自动打印报告，并保存结果；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15.具备中文报告软件系统；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16.双向联网软件，可传输报告结果；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17.具有完备的售后服务保证体系，必须提供终身售后服务支持；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18.系统电脑配置正版操作系统；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19.提供中文报告和统计系统，数据可以导入Excel和Whonet统计软件；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20.提供图形界面的新数据管理和统计分析软件。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二、配置要求：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1.全自动微生物鉴定仪主机1台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2.条码扫描器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3.电子比浊仪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4.台式电脑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5.微生物中文报告软件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6.UPS不间断电源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7.革兰氏阴性(GN)菌试剂卡 1盒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8.革兰氏阳性(GP)菌试剂卡 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75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实时荧光PCR</w:t>
            </w:r>
          </w:p>
        </w:tc>
        <w:tc>
          <w:tcPr>
            <w:tcW w:w="3942" w:type="pct"/>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1.工作环境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1.1工作温度：5-32℃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1.2工作湿度：20-80%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1.3工作电压：100-240VAC,50-60Hz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2.设备用途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可用于基因表达分析、突变筛查、突变检测、拷贝数变异分析、高分辨率熔解曲线分析、基因分型分析等多种研究领域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3.主要性能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3.1主要功能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3.1.1在PCR过程中实时监测、实时在线显示反应过程;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3.1.2具备出色的温控系统，保证整个反应过程中的温控精确、均匀一致、升降温快速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3.1.3可同时检测4荧光（四通道）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★3.1.4完全试剂开放，各种科研和临床试剂适用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3.1.5适用于染料法及探针法荧光标记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3.1.6采用普通的PCR薄壁管、八联排管、96孔板等，消耗品成本低；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3.1.7具有熔解曲线分析功能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3.2主要技术指标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3.2.1光源：长寿命免维护高效LED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★3.2.2检测器：高效大尺寸PMT（光电倍增管）；非光电二极管检测器；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3.2.3发射光透镜：菲涅尔透镜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3.2.4激发/检测范围：455-650nm/510-715nm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★3.2.5荧光检测通道：四通道，可同时检测4个目标基因；无需ROX校正；扩增效率高，Ct值准确，Ct值算法包括二阶导法和插值法，荧光阈值可手动调整；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3.2.6荧光值可显示ΔRn值及归一化后数值；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3.2.7检测灵敏度：能检测1拷贝人基因组DNA基因；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3.2.8分辨率：在单重反应中可区分1.33倍拷贝数差异；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3.2.9动态范围：10个数量级；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★3.2.10扫描方式：逐孔时间分辨采集，保证荧光串扰降至最低,非CCD拍照采集；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3.2.11最大样品容量：96个；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3.2.12反应体系：10-50µl，默认20ul；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★3.2.13熔解曲线支持双FAM模式，有效缩短熔解曲线时间；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3.2.14升降温方式：半导体Peltier加热/制冷；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3.2.15最大升降温速率：6°C/秒；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★3.2.16边缘温度补偿技术，温度均一性≤±0.2°C；（提供证明材料）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3.2.17温度准确性：±0.2°C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3.2.18温度范围：4-100°C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3.2.19温度梯度范围：30-100°C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3.2.20温度梯度温差范围：1-36°C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3.2.21数据分析模式：标准曲线绝对定量、相对定量、熔解曲线、终点荧光分析。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3.2.22 数据导出：Excel,结果包含运行设置，图形和表格数据结果。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4.必须附件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配置：qPCR主机、计算机及分析软件等；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5.质量保质期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自仪器安装验合格后起，保修3年，操作软件终生免费升级。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6、招投标需要提供生产商的资质文件、项目授权书、印刷版彩页加盖公章等文件；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753" w:type="pct"/>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生物安全柜</w:t>
            </w:r>
          </w:p>
        </w:tc>
        <w:tc>
          <w:tcPr>
            <w:tcW w:w="3942" w:type="pc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1、安全柜类别：A2型生物安全柜，符合CFDA III类医疗器械产品认证。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2、气流模式：30%外排，70%内循环。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3、工作区尺寸≥≥1800mm×550mm×650mm（长x宽x高）。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4、风速显示：配备风速传感器，可同时独立显示进风风速和下沉风速，以便实时监测风速变化，发现数值衰减时，可立即中止实验，确保生物安全。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5、平均气流速度：沉降气流不低于0.35m/s、进气气流不低于0. 50 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★6、自净功能：具备开机强制3-15分钟预洁净程序，预防操作者没有预洁净直接开始操作、造成污染。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★7、洁净度要求：操作区空气洁净度要求达到ISO 14644.1标准Class 3（美联邦209 E 1级洁净度标准）。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★8、过滤器：过滤器属于核心部件，要求使用进口ULPA超高效过滤器，可截留尘埃粒子直径≥0.2μm，截留效率≥99.999%；滤器结构：微褶皱无间隔，增加过滤面积；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★9、预过滤装置：配有可移动预过滤器隔栅，方便选装预过滤器，对进气流中较大颗粒物或尖锐物体对主过滤器造成损害。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风机系统：风机系统属于核心部件，要求使用进口直流变频高效风机，可自动进行风量补偿，当出现进风通道受阻或过滤器年限增加导致堵塞阻力增加250%的情况，安全柜仍然能提供安全风速；节能静音风机功率≤250W，可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11、安全设计：通体式搁手架宽度≥1800mm，整体高于前进气口，没有限位装置，操作时不影响气流进入，且降低长时间操作疲劳。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12、控制器：微电脑控制，位于柜体中部倾斜面，可集中设置各种参数及紫外灭菌功能，管理员可通过加密保护已设定参数。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13、安全监控系统：实时数字式显示下降气流和流入气流速度，当风速数值波动超过20%时提供声光报警，过滤器使用寿命状态实时显示。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★14、操作台面：与进气隔栅一体成型，浅盘式设计，具有集液功能，防止有害液体喷洒泄漏，整个台面可以单独取出，方便对台面以下区域进一步清洁消毒。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负压保护：Dynamic负压防泄漏设计，全部污染区处于封闭环绕负压腔，防止滤器泄漏、密封失效造成的泄漏；同时操作室台面两侧设计气流回流通道形成四面负压；前窗两侧预留增强的侧壁导流孔有效防止逆流、湍流形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16、操作前窗：光学透视清晰，双层覆膜，减少视力疲劳；前窗不得使用电动控制，以保证断电时能及时关门防护；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17、紫外预约：紫外灯可预约自动开启灭菌。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18、内部照明：荧光灯位于非污染区域，照度：1300Lux。</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★19、外部防污染：整机外部（含底部支架）采用抑菌涂层设计，避免柜面细菌、微生物着附而导致的交叉污染风险；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★20、电源插座及水气接口：电源插座预留孔分别位于操作室两侧，四个水气接口预留位分别交错位于操作室两侧；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21、配重：安全柜背面配重平衡块与玻璃前窗需用高强度钢丝绳连接（非尼龙绳），坚韧耐用，避免长期磨损导致连接绳意外断裂，砸伤实验人员。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22、带轮支架，方便移动和固定，较小对实验室地面损伤。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753" w:type="pct"/>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电感耦合等离子体</w:t>
            </w:r>
            <w:r>
              <w:rPr>
                <w:rFonts w:hint="eastAsia" w:ascii="宋体" w:hAnsi="宋体" w:eastAsia="宋体" w:cs="宋体"/>
                <w:color w:val="000000"/>
                <w:kern w:val="0"/>
                <w:szCs w:val="21"/>
                <w:lang w:eastAsia="zh-CN" w:bidi="ar"/>
              </w:rPr>
              <w:t>光</w:t>
            </w:r>
            <w:r>
              <w:rPr>
                <w:rFonts w:hint="eastAsia" w:ascii="宋体" w:hAnsi="宋体" w:eastAsia="宋体" w:cs="宋体"/>
                <w:color w:val="000000"/>
                <w:kern w:val="0"/>
                <w:szCs w:val="21"/>
                <w:lang w:bidi="ar"/>
              </w:rPr>
              <w:t>谱仪</w:t>
            </w:r>
          </w:p>
        </w:tc>
        <w:tc>
          <w:tcPr>
            <w:tcW w:w="3942" w:type="pct"/>
            <w:shd w:val="clear" w:color="auto" w:fill="auto"/>
            <w:tcMar>
              <w:top w:w="15" w:type="dxa"/>
              <w:left w:w="15" w:type="dxa"/>
              <w:right w:w="15" w:type="dxa"/>
            </w:tcMar>
          </w:tcPr>
          <w:p>
            <w:pPr>
              <w:spacing w:line="360" w:lineRule="auto"/>
              <w:rPr>
                <w:rFonts w:ascii="宋体" w:hAnsi="宋体"/>
                <w:bCs/>
                <w:szCs w:val="21"/>
              </w:rPr>
            </w:pPr>
            <w:r>
              <w:rPr>
                <w:rFonts w:hint="eastAsia" w:ascii="宋体" w:hAnsi="宋体"/>
                <w:bCs/>
                <w:szCs w:val="21"/>
              </w:rPr>
              <w:t>1、工作条件：</w:t>
            </w:r>
          </w:p>
          <w:p>
            <w:pPr>
              <w:spacing w:line="360" w:lineRule="auto"/>
              <w:ind w:firstLine="420" w:firstLineChars="200"/>
              <w:rPr>
                <w:rFonts w:hint="eastAsia" w:ascii="宋体" w:hAnsi="宋体"/>
                <w:szCs w:val="21"/>
              </w:rPr>
            </w:pPr>
            <w:r>
              <w:rPr>
                <w:rFonts w:hint="eastAsia" w:ascii="宋体" w:hAnsi="宋体"/>
                <w:szCs w:val="21"/>
              </w:rPr>
              <w:t>除非在技术资料中明确说明，仪器系统中的所有部件都须符合下列要求：</w:t>
            </w:r>
          </w:p>
          <w:p>
            <w:pPr>
              <w:spacing w:line="360" w:lineRule="auto"/>
              <w:rPr>
                <w:rFonts w:hint="eastAsia" w:ascii="宋体" w:hAnsi="宋体"/>
                <w:szCs w:val="21"/>
              </w:rPr>
            </w:pPr>
            <w:r>
              <w:rPr>
                <w:rFonts w:hint="eastAsia" w:ascii="宋体" w:hAnsi="宋体"/>
                <w:szCs w:val="21"/>
              </w:rPr>
              <w:t>1.1 适于在气温+1</w:t>
            </w:r>
            <w:r>
              <w:rPr>
                <w:rFonts w:ascii="宋体" w:hAnsi="宋体"/>
                <w:szCs w:val="21"/>
              </w:rPr>
              <w:t>5</w:t>
            </w:r>
            <w:r>
              <w:rPr>
                <w:rFonts w:hint="eastAsia" w:ascii="宋体" w:hAnsi="宋体"/>
                <w:szCs w:val="21"/>
              </w:rPr>
              <w:t>℃～+</w:t>
            </w:r>
            <w:r>
              <w:rPr>
                <w:rFonts w:ascii="宋体" w:hAnsi="宋体"/>
                <w:szCs w:val="21"/>
              </w:rPr>
              <w:t>35</w:t>
            </w:r>
            <w:r>
              <w:rPr>
                <w:rFonts w:hint="eastAsia" w:ascii="宋体" w:hAnsi="宋体"/>
                <w:szCs w:val="21"/>
              </w:rPr>
              <w:t>℃，相对湿度</w:t>
            </w:r>
            <w:r>
              <w:rPr>
                <w:rFonts w:ascii="宋体" w:hAnsi="宋体"/>
                <w:szCs w:val="21"/>
              </w:rPr>
              <w:t>2</w:t>
            </w:r>
            <w:r>
              <w:rPr>
                <w:rFonts w:hint="eastAsia" w:ascii="宋体" w:hAnsi="宋体"/>
                <w:szCs w:val="21"/>
              </w:rPr>
              <w:t>0-</w:t>
            </w:r>
            <w:r>
              <w:rPr>
                <w:rFonts w:ascii="宋体" w:hAnsi="宋体"/>
                <w:szCs w:val="21"/>
              </w:rPr>
              <w:t>8</w:t>
            </w:r>
            <w:r>
              <w:rPr>
                <w:rFonts w:hint="eastAsia" w:ascii="宋体" w:hAnsi="宋体"/>
                <w:szCs w:val="21"/>
              </w:rPr>
              <w:t>0％的环境条件下长期连续运行；</w:t>
            </w:r>
          </w:p>
          <w:p>
            <w:pPr>
              <w:spacing w:line="360" w:lineRule="auto"/>
              <w:rPr>
                <w:rFonts w:hint="eastAsia" w:ascii="宋体" w:hAnsi="宋体"/>
                <w:szCs w:val="21"/>
              </w:rPr>
            </w:pPr>
            <w:r>
              <w:rPr>
                <w:rFonts w:hint="eastAsia" w:ascii="宋体" w:hAnsi="宋体"/>
                <w:szCs w:val="21"/>
              </w:rPr>
              <w:t xml:space="preserve">1.2 适于在交流电源相电压为230V±10％，频率50/60Hz的中国电网条件下长期正常工作； </w:t>
            </w:r>
          </w:p>
          <w:p>
            <w:pPr>
              <w:spacing w:line="360" w:lineRule="auto"/>
              <w:rPr>
                <w:rFonts w:hint="eastAsia" w:ascii="宋体" w:hAnsi="宋体"/>
                <w:szCs w:val="21"/>
              </w:rPr>
            </w:pPr>
            <w:r>
              <w:rPr>
                <w:rFonts w:hint="eastAsia" w:ascii="宋体" w:hAnsi="宋体"/>
                <w:szCs w:val="21"/>
              </w:rPr>
              <w:t>★2、设备用途与总体描述</w:t>
            </w:r>
          </w:p>
          <w:p>
            <w:pPr>
              <w:spacing w:line="360" w:lineRule="auto"/>
              <w:ind w:firstLine="480"/>
              <w:rPr>
                <w:rFonts w:ascii="宋体" w:hAnsi="宋体"/>
                <w:szCs w:val="21"/>
              </w:rPr>
            </w:pPr>
            <w:r>
              <w:rPr>
                <w:rFonts w:ascii="宋体" w:hAnsi="宋体"/>
                <w:szCs w:val="21"/>
              </w:rPr>
              <w:t>主要应用于</w:t>
            </w:r>
            <w:r>
              <w:rPr>
                <w:rFonts w:hint="eastAsia" w:ascii="宋体" w:hAnsi="宋体"/>
                <w:szCs w:val="21"/>
              </w:rPr>
              <w:t>对用于对各类样品中主量、微量及痕量元素的定性、半定量和定量分析，仪器以两个CCD固体检测器为基础，由耐HF酸进样系统、高频发生器、垂直等离子体炬、双向观测外光路系统、样品与氖灯参比同时分光的双光束中阶梯光栅棱镜内光路系统、背照式双CCD检测器、 分析软件和计算机系统组成，全自动控制，仪器监控仪表全部由计算机控制，仪器参数不需要手动调节的等离子体发射光谱仪。投标商的投标型号应为厂家最新型号。</w:t>
            </w:r>
          </w:p>
          <w:p>
            <w:pPr>
              <w:spacing w:line="360" w:lineRule="auto"/>
              <w:rPr>
                <w:rFonts w:hint="eastAsia" w:ascii="宋体" w:hAnsi="宋体"/>
                <w:bCs/>
                <w:szCs w:val="21"/>
              </w:rPr>
            </w:pPr>
            <w:r>
              <w:rPr>
                <w:rFonts w:hint="eastAsia" w:ascii="宋体" w:hAnsi="宋体"/>
                <w:bCs/>
                <w:szCs w:val="21"/>
              </w:rPr>
              <w:t>3、技术规格与要求：</w:t>
            </w:r>
          </w:p>
          <w:p>
            <w:pPr>
              <w:spacing w:line="360" w:lineRule="auto"/>
              <w:rPr>
                <w:rFonts w:hint="eastAsia" w:ascii="宋体" w:hAnsi="宋体"/>
                <w:szCs w:val="21"/>
              </w:rPr>
            </w:pPr>
            <w:r>
              <w:rPr>
                <w:rFonts w:hint="eastAsia" w:ascii="宋体" w:hAnsi="宋体"/>
                <w:szCs w:val="21"/>
              </w:rPr>
              <w:t>3.1</w:t>
            </w:r>
            <w:r>
              <w:rPr>
                <w:rFonts w:hint="eastAsia" w:ascii="宋体" w:hAnsi="宋体"/>
                <w:bCs/>
                <w:szCs w:val="21"/>
              </w:rPr>
              <w:t>技术</w:t>
            </w:r>
            <w:r>
              <w:rPr>
                <w:rFonts w:hint="eastAsia" w:ascii="宋体" w:hAnsi="宋体"/>
                <w:szCs w:val="21"/>
              </w:rPr>
              <w:t>规格</w:t>
            </w:r>
          </w:p>
          <w:p>
            <w:pPr>
              <w:spacing w:line="360" w:lineRule="auto"/>
              <w:rPr>
                <w:rFonts w:hint="eastAsia" w:ascii="宋体" w:hAnsi="宋体"/>
                <w:szCs w:val="21"/>
              </w:rPr>
            </w:pPr>
            <w:r>
              <w:rPr>
                <w:rFonts w:hint="eastAsia" w:ascii="宋体" w:hAnsi="宋体"/>
                <w:szCs w:val="21"/>
              </w:rPr>
              <w:t>3.1.1进样系统</w:t>
            </w:r>
          </w:p>
          <w:p>
            <w:pPr>
              <w:spacing w:line="360" w:lineRule="auto"/>
              <w:rPr>
                <w:rFonts w:hint="eastAsia" w:ascii="宋体" w:hAnsi="宋体" w:cs="Tahoma"/>
                <w:szCs w:val="21"/>
              </w:rPr>
            </w:pPr>
            <w:r>
              <w:rPr>
                <w:rFonts w:hint="eastAsia" w:ascii="宋体" w:hAnsi="宋体"/>
                <w:szCs w:val="21"/>
              </w:rPr>
              <w:t>3.1.1.1 耐HF酸进样系统，</w:t>
            </w:r>
            <w:r>
              <w:rPr>
                <w:rFonts w:hint="eastAsia" w:ascii="宋体" w:hAnsi="宋体" w:cs="Tahoma"/>
                <w:szCs w:val="21"/>
              </w:rPr>
              <w:t>耐： 50% (v/v) HCl、HNO</w:t>
            </w:r>
            <w:r>
              <w:rPr>
                <w:rFonts w:hint="eastAsia" w:ascii="宋体" w:hAnsi="宋体" w:cs="Tahoma"/>
                <w:szCs w:val="21"/>
                <w:vertAlign w:val="subscript"/>
              </w:rPr>
              <w:t>3</w:t>
            </w:r>
            <w:r>
              <w:rPr>
                <w:rFonts w:hint="eastAsia" w:ascii="宋体" w:hAnsi="宋体" w:cs="Tahoma"/>
                <w:szCs w:val="21"/>
              </w:rPr>
              <w:t>、H</w:t>
            </w:r>
            <w:r>
              <w:rPr>
                <w:rFonts w:hint="eastAsia" w:ascii="宋体" w:hAnsi="宋体" w:cs="Tahoma"/>
                <w:szCs w:val="21"/>
                <w:vertAlign w:val="subscript"/>
              </w:rPr>
              <w:t>2</w:t>
            </w:r>
            <w:r>
              <w:rPr>
                <w:rFonts w:hint="eastAsia" w:ascii="宋体" w:hAnsi="宋体" w:cs="Tahoma"/>
                <w:szCs w:val="21"/>
              </w:rPr>
              <w:t>SO</w:t>
            </w:r>
            <w:r>
              <w:rPr>
                <w:rFonts w:hint="eastAsia" w:ascii="宋体" w:hAnsi="宋体" w:cs="Tahoma"/>
                <w:szCs w:val="21"/>
                <w:vertAlign w:val="subscript"/>
              </w:rPr>
              <w:t>4</w:t>
            </w:r>
            <w:r>
              <w:rPr>
                <w:rFonts w:hint="eastAsia" w:ascii="宋体" w:hAnsi="宋体" w:cs="Tahoma"/>
                <w:szCs w:val="21"/>
              </w:rPr>
              <w:t>、H</w:t>
            </w:r>
            <w:r>
              <w:rPr>
                <w:rFonts w:hint="eastAsia" w:ascii="宋体" w:hAnsi="宋体" w:cs="Tahoma"/>
                <w:szCs w:val="21"/>
                <w:vertAlign w:val="subscript"/>
              </w:rPr>
              <w:t>3</w:t>
            </w:r>
            <w:r>
              <w:rPr>
                <w:rFonts w:hint="eastAsia" w:ascii="宋体" w:hAnsi="宋体" w:cs="Tahoma"/>
                <w:szCs w:val="21"/>
              </w:rPr>
              <w:t>PO</w:t>
            </w:r>
            <w:r>
              <w:rPr>
                <w:rFonts w:hint="eastAsia" w:ascii="宋体" w:hAnsi="宋体" w:cs="Tahoma"/>
                <w:szCs w:val="21"/>
                <w:vertAlign w:val="subscript"/>
              </w:rPr>
              <w:t>4</w:t>
            </w:r>
            <w:r>
              <w:rPr>
                <w:rFonts w:hint="eastAsia" w:ascii="宋体" w:hAnsi="宋体" w:cs="Tahoma"/>
                <w:szCs w:val="21"/>
              </w:rPr>
              <w:t>；20% (v/v) HF；30% (w/v)NaOH以及30%的高盐样品。</w:t>
            </w:r>
          </w:p>
          <w:p>
            <w:pPr>
              <w:spacing w:line="360" w:lineRule="auto"/>
              <w:rPr>
                <w:rFonts w:hint="eastAsia" w:ascii="宋体" w:hAnsi="宋体" w:cs="Tahoma"/>
                <w:szCs w:val="21"/>
              </w:rPr>
            </w:pPr>
            <w:r>
              <w:rPr>
                <w:rFonts w:hint="eastAsia" w:ascii="宋体" w:hAnsi="宋体"/>
                <w:szCs w:val="21"/>
              </w:rPr>
              <w:t>3.1.1.2 蠕动泵为四通道系统。</w:t>
            </w:r>
          </w:p>
          <w:p>
            <w:pPr>
              <w:spacing w:line="360" w:lineRule="auto"/>
              <w:rPr>
                <w:rFonts w:hint="eastAsia" w:ascii="宋体" w:hAnsi="宋体"/>
                <w:szCs w:val="21"/>
              </w:rPr>
            </w:pPr>
            <w:r>
              <w:rPr>
                <w:rFonts w:hint="eastAsia" w:ascii="宋体" w:hAnsi="宋体"/>
                <w:szCs w:val="21"/>
              </w:rPr>
              <w:t>★3.1.1.3超高灵敏度进样系统，分析1ppm的锰标准溶液，Mn 257nm谱线的强度大于8</w:t>
            </w:r>
            <w:r>
              <w:rPr>
                <w:rFonts w:ascii="宋体" w:hAnsi="宋体"/>
                <w:szCs w:val="21"/>
              </w:rPr>
              <w:t>00</w:t>
            </w:r>
            <w:r>
              <w:rPr>
                <w:rFonts w:hint="eastAsia" w:ascii="宋体" w:hAnsi="宋体"/>
                <w:szCs w:val="21"/>
              </w:rPr>
              <w:t>万cps（或cts</w:t>
            </w:r>
            <w:r>
              <w:rPr>
                <w:rFonts w:ascii="宋体" w:hAnsi="宋体"/>
                <w:szCs w:val="21"/>
              </w:rPr>
              <w:t>）</w:t>
            </w:r>
            <w:r>
              <w:rPr>
                <w:rFonts w:hint="eastAsia" w:ascii="宋体" w:hAnsi="宋体"/>
                <w:szCs w:val="21"/>
              </w:rPr>
              <w:t>。</w:t>
            </w:r>
          </w:p>
          <w:p>
            <w:pPr>
              <w:spacing w:line="360" w:lineRule="auto"/>
              <w:rPr>
                <w:rFonts w:hint="eastAsia" w:ascii="宋体" w:hAnsi="宋体" w:cs="Tahoma"/>
                <w:szCs w:val="21"/>
              </w:rPr>
            </w:pPr>
            <w:r>
              <w:rPr>
                <w:rFonts w:hint="eastAsia" w:ascii="宋体" w:hAnsi="宋体"/>
                <w:szCs w:val="21"/>
              </w:rPr>
              <w:t>3.1.1.4</w:t>
            </w:r>
            <w:r>
              <w:rPr>
                <w:rFonts w:hint="eastAsia" w:ascii="宋体" w:hAnsi="宋体" w:cs="Tahoma"/>
                <w:szCs w:val="21"/>
              </w:rPr>
              <w:t>炬管、雾室和雾化器为一体式设计，从雾室到炬管无需任何管线连接，以减小样品分析时的记忆效应，安装和拆卸无需任何工具。</w:t>
            </w:r>
          </w:p>
          <w:p>
            <w:pPr>
              <w:spacing w:line="360" w:lineRule="auto"/>
              <w:rPr>
                <w:rFonts w:ascii="宋体" w:hAnsi="宋体" w:cs="Tahoma"/>
                <w:szCs w:val="21"/>
              </w:rPr>
            </w:pPr>
            <w:r>
              <w:rPr>
                <w:rFonts w:ascii="宋体" w:hAnsi="宋体" w:cs="Tahoma"/>
                <w:szCs w:val="21"/>
              </w:rPr>
              <w:t>3.1.1.</w:t>
            </w:r>
            <w:r>
              <w:rPr>
                <w:rFonts w:hint="eastAsia" w:ascii="宋体" w:hAnsi="宋体" w:cs="Tahoma"/>
                <w:szCs w:val="21"/>
              </w:rPr>
              <w:t>5雾室、雾化器和等离子体相互分隔，以减小等离子体温度对雾化器雾化效率的影响，提高仪器的稳定性。</w:t>
            </w:r>
          </w:p>
          <w:p>
            <w:pPr>
              <w:spacing w:line="360" w:lineRule="auto"/>
              <w:rPr>
                <w:rFonts w:hint="eastAsia" w:ascii="宋体" w:hAnsi="宋体" w:cs="Tahoma"/>
                <w:szCs w:val="21"/>
              </w:rPr>
            </w:pPr>
            <w:r>
              <w:rPr>
                <w:rFonts w:ascii="宋体" w:hAnsi="宋体" w:cs="Tahoma"/>
                <w:szCs w:val="21"/>
              </w:rPr>
              <w:t>3.1.1.</w:t>
            </w:r>
            <w:r>
              <w:rPr>
                <w:rFonts w:hint="eastAsia" w:ascii="宋体" w:hAnsi="宋体" w:cs="Tahoma"/>
                <w:szCs w:val="21"/>
              </w:rPr>
              <w:t>6</w:t>
            </w:r>
            <w:r>
              <w:rPr>
                <w:rFonts w:ascii="宋体" w:hAnsi="宋体" w:cs="Tahoma"/>
                <w:szCs w:val="21"/>
              </w:rPr>
              <w:t xml:space="preserve"> </w:t>
            </w:r>
            <w:r>
              <w:rPr>
                <w:rFonts w:hint="eastAsia" w:ascii="宋体" w:hAnsi="宋体" w:cs="Tahoma"/>
                <w:szCs w:val="21"/>
              </w:rPr>
              <w:t>具有雾化器压力提示功能，随时监控雾化器是否堵塞。提供软件截屏作为证明资料。</w:t>
            </w:r>
          </w:p>
          <w:p>
            <w:pPr>
              <w:spacing w:line="360" w:lineRule="auto"/>
              <w:rPr>
                <w:rFonts w:hint="eastAsia" w:ascii="宋体" w:hAnsi="宋体" w:cs="Tahoma"/>
                <w:szCs w:val="21"/>
              </w:rPr>
            </w:pPr>
            <w:r>
              <w:rPr>
                <w:rFonts w:hint="eastAsia" w:ascii="宋体" w:hAnsi="宋体" w:cs="Tahoma"/>
                <w:szCs w:val="21"/>
              </w:rPr>
              <w:t>3.1.1.7蠕动泵具有智能快速冲洗功能，随时监测特定的谱线，直至其强度降低到设定值后才开始分析下一个样品。</w:t>
            </w:r>
          </w:p>
          <w:p>
            <w:pPr>
              <w:spacing w:line="360" w:lineRule="auto"/>
              <w:rPr>
                <w:rFonts w:hint="eastAsia" w:ascii="宋体" w:hAnsi="宋体" w:cs="Tahoma"/>
                <w:szCs w:val="21"/>
              </w:rPr>
            </w:pPr>
            <w:r>
              <w:rPr>
                <w:rFonts w:hint="eastAsia" w:ascii="宋体" w:hAnsi="宋体" w:cs="Tahoma"/>
                <w:szCs w:val="21"/>
              </w:rPr>
              <w:t>★3.1.2</w:t>
            </w:r>
            <w:r>
              <w:rPr>
                <w:rFonts w:hint="eastAsia" w:ascii="宋体" w:hAnsi="宋体"/>
                <w:szCs w:val="21"/>
              </w:rPr>
              <w:t>自激式射频发生器，频率30.00MHz以上。功率稳定性优于0.1%。射频发生器的功率传输效率优于</w:t>
            </w:r>
            <w:r>
              <w:rPr>
                <w:rFonts w:ascii="宋体" w:hAnsi="宋体"/>
                <w:szCs w:val="21"/>
              </w:rPr>
              <w:t>81</w:t>
            </w:r>
            <w:r>
              <w:rPr>
                <w:rFonts w:hint="eastAsia" w:ascii="宋体" w:hAnsi="宋体"/>
                <w:szCs w:val="21"/>
              </w:rPr>
              <w:t>%。功率：最大功率≥</w:t>
            </w:r>
            <w:r>
              <w:rPr>
                <w:rFonts w:ascii="宋体" w:hAnsi="宋体"/>
                <w:szCs w:val="21"/>
              </w:rPr>
              <w:t>15</w:t>
            </w:r>
            <w:r>
              <w:rPr>
                <w:rFonts w:hint="eastAsia" w:ascii="宋体" w:hAnsi="宋体"/>
                <w:szCs w:val="21"/>
              </w:rPr>
              <w:t>0</w:t>
            </w:r>
            <w:r>
              <w:rPr>
                <w:rFonts w:ascii="宋体" w:hAnsi="宋体"/>
                <w:szCs w:val="21"/>
              </w:rPr>
              <w:t>0W</w:t>
            </w:r>
            <w:r>
              <w:rPr>
                <w:rFonts w:hint="eastAsia" w:ascii="宋体" w:hAnsi="宋体"/>
                <w:szCs w:val="21"/>
              </w:rPr>
              <w:t>，1W增量连续可调。</w:t>
            </w:r>
            <w:r>
              <w:rPr>
                <w:rFonts w:hint="eastAsia" w:ascii="宋体" w:hAnsi="宋体" w:cs="Tahoma"/>
                <w:szCs w:val="21"/>
              </w:rPr>
              <w:t>提供软件截屏作为证明资料</w:t>
            </w:r>
          </w:p>
          <w:p>
            <w:pPr>
              <w:spacing w:line="360" w:lineRule="auto"/>
              <w:rPr>
                <w:rFonts w:ascii="宋体" w:hAnsi="宋体"/>
                <w:szCs w:val="21"/>
              </w:rPr>
            </w:pPr>
            <w:r>
              <w:rPr>
                <w:rFonts w:hint="eastAsia" w:ascii="宋体" w:hAnsi="宋体"/>
                <w:szCs w:val="21"/>
              </w:rPr>
              <w:t>★3.1.3等离子体为垂直式，观测方式有：轴向、轴向衰减和径向、径向衰减四种，在一次分析中可以采用轴向、轴向衰减和径向、径向衰减四种观测方式，并同时给出四种观测方式的测量结果。</w:t>
            </w:r>
          </w:p>
          <w:p>
            <w:pPr>
              <w:spacing w:line="360" w:lineRule="auto"/>
              <w:rPr>
                <w:rFonts w:hint="eastAsia" w:ascii="宋体" w:hAnsi="宋体"/>
                <w:szCs w:val="21"/>
              </w:rPr>
            </w:pPr>
            <w:r>
              <w:rPr>
                <w:rFonts w:ascii="宋体" w:hAnsi="宋体"/>
                <w:szCs w:val="21"/>
              </w:rPr>
              <w:t>3.1.</w:t>
            </w:r>
            <w:r>
              <w:rPr>
                <w:rFonts w:hint="eastAsia" w:ascii="宋体" w:hAnsi="宋体"/>
                <w:szCs w:val="21"/>
              </w:rPr>
              <w:t>4</w:t>
            </w:r>
            <w:r>
              <w:rPr>
                <w:rFonts w:ascii="宋体" w:hAnsi="宋体"/>
                <w:szCs w:val="21"/>
              </w:rPr>
              <w:t xml:space="preserve"> </w:t>
            </w:r>
            <w:r>
              <w:rPr>
                <w:rFonts w:hint="eastAsia" w:ascii="宋体" w:hAnsi="宋体"/>
                <w:szCs w:val="21"/>
              </w:rPr>
              <w:t>免维护的平板或线圈等离子体设计，平板或线圈无需循环冷却水或气体进行冷却，长寿命，终身免维护。</w:t>
            </w:r>
          </w:p>
          <w:p>
            <w:pPr>
              <w:spacing w:line="360" w:lineRule="auto"/>
              <w:rPr>
                <w:rFonts w:hint="eastAsia" w:ascii="宋体" w:hAnsi="宋体"/>
                <w:szCs w:val="21"/>
              </w:rPr>
            </w:pPr>
            <w:r>
              <w:rPr>
                <w:rFonts w:hint="eastAsia" w:ascii="宋体" w:hAnsi="宋体"/>
                <w:szCs w:val="21"/>
              </w:rPr>
              <w:t>3.1.5 分析简单水溶液样品时，等离子体正常运行的氩气消耗总量小于10升/分钟，一瓶15Mpa钢瓶氩气，正常分析测试时间＞</w:t>
            </w:r>
            <w:r>
              <w:rPr>
                <w:rFonts w:ascii="宋体" w:hAnsi="宋体"/>
                <w:szCs w:val="21"/>
              </w:rPr>
              <w:t>8</w:t>
            </w:r>
            <w:r>
              <w:rPr>
                <w:rFonts w:hint="eastAsia" w:ascii="宋体" w:hAnsi="宋体"/>
                <w:szCs w:val="21"/>
              </w:rPr>
              <w:t>小时。</w:t>
            </w:r>
          </w:p>
          <w:p>
            <w:pPr>
              <w:spacing w:line="360" w:lineRule="auto"/>
              <w:rPr>
                <w:rFonts w:hint="eastAsia" w:ascii="宋体" w:hAnsi="宋体" w:cs="Tahoma"/>
                <w:szCs w:val="21"/>
              </w:rPr>
            </w:pPr>
            <w:r>
              <w:rPr>
                <w:rFonts w:hint="eastAsia" w:ascii="宋体" w:hAnsi="宋体"/>
                <w:szCs w:val="21"/>
              </w:rPr>
              <w:t>3.1.6 等离子体气、雾化器、辅助气全部采用质量流量计控制，连续可调，其中等离子体气流量控制步长1L/min，辅助气流量控制为0.1L/min，雾化器流量控制调节步长0.01L/min。</w:t>
            </w:r>
          </w:p>
          <w:p>
            <w:pPr>
              <w:spacing w:line="360" w:lineRule="auto"/>
              <w:rPr>
                <w:rFonts w:hint="eastAsia" w:ascii="宋体" w:hAnsi="宋体" w:cs="Tahoma"/>
                <w:szCs w:val="21"/>
              </w:rPr>
            </w:pPr>
            <w:r>
              <w:rPr>
                <w:rFonts w:hint="eastAsia" w:ascii="宋体" w:hAnsi="宋体"/>
                <w:szCs w:val="21"/>
              </w:rPr>
              <w:t>3.1.7等离子体具有实时全彩色摄像系统，操作者在仪器的控制软件中可以实时全彩色看到等离子体的运行图形，并观察炬管、炬管中心管是否变脏需要清洗。可设置1/500秒、1/1000秒、1/2000秒摄像速度抓拍等离子体。</w:t>
            </w:r>
            <w:r>
              <w:rPr>
                <w:rFonts w:hint="eastAsia" w:ascii="宋体" w:hAnsi="宋体" w:cs="Tahoma"/>
                <w:szCs w:val="21"/>
              </w:rPr>
              <w:t>提供软件截屏作为证明资料。</w:t>
            </w:r>
          </w:p>
          <w:p>
            <w:pPr>
              <w:spacing w:line="360" w:lineRule="auto"/>
              <w:rPr>
                <w:rFonts w:hint="eastAsia" w:ascii="宋体" w:hAnsi="宋体"/>
                <w:szCs w:val="21"/>
              </w:rPr>
            </w:pPr>
            <w:r>
              <w:rPr>
                <w:rFonts w:hint="eastAsia" w:ascii="宋体" w:hAnsi="宋体"/>
                <w:szCs w:val="21"/>
              </w:rPr>
              <w:t>★3.1.8 光学系统类型：高性能二维(交叉)色散中阶梯光栅(或棱镜)，波长范围：167-900nm。</w:t>
            </w:r>
          </w:p>
          <w:p>
            <w:pPr>
              <w:spacing w:line="360" w:lineRule="auto"/>
              <w:rPr>
                <w:rFonts w:ascii="宋体" w:hAnsi="宋体"/>
                <w:szCs w:val="21"/>
              </w:rPr>
            </w:pPr>
            <w:r>
              <w:rPr>
                <w:rFonts w:hint="eastAsia" w:ascii="宋体" w:hAnsi="宋体"/>
                <w:szCs w:val="21"/>
              </w:rPr>
              <w:t>能测试Cl894.800nm；提供光谱图及标准曲线作为证明资料并作为验收指标。</w:t>
            </w:r>
          </w:p>
          <w:p>
            <w:pPr>
              <w:spacing w:line="360" w:lineRule="auto"/>
              <w:rPr>
                <w:rFonts w:hint="eastAsia" w:ascii="宋体" w:hAnsi="宋体" w:cs="Tahoma"/>
                <w:szCs w:val="21"/>
              </w:rPr>
            </w:pPr>
            <w:r>
              <w:rPr>
                <w:rFonts w:hint="eastAsia" w:ascii="宋体" w:hAnsi="宋体"/>
                <w:szCs w:val="21"/>
              </w:rPr>
              <w:t>3.1.9 检测器是背照式双CCD固态检测器，检测器可以同时测量来自样品和参比光束的谱线。</w:t>
            </w:r>
          </w:p>
          <w:p>
            <w:pPr>
              <w:spacing w:line="360" w:lineRule="auto"/>
              <w:rPr>
                <w:rFonts w:hint="eastAsia" w:ascii="宋体" w:hAnsi="宋体"/>
                <w:szCs w:val="21"/>
              </w:rPr>
            </w:pPr>
            <w:r>
              <w:rPr>
                <w:rFonts w:hint="eastAsia" w:ascii="宋体" w:hAnsi="宋体"/>
                <w:szCs w:val="21"/>
              </w:rPr>
              <w:t>3.1.10 在光学设计上强光和弱光同时测量可以采用不同的积分时间，以避免检测器的损坏，表现在仪器的软件上为曝光时间和曝光次数自动确定，随样品中谱线的不同而自动变化，无需人工设置积分时间。</w:t>
            </w:r>
            <w:r>
              <w:rPr>
                <w:rFonts w:hint="eastAsia" w:ascii="宋体" w:hAnsi="宋体" w:cs="Tahoma"/>
                <w:szCs w:val="21"/>
              </w:rPr>
              <w:t>提供</w:t>
            </w:r>
            <w:r>
              <w:rPr>
                <w:rFonts w:ascii="宋体" w:hAnsi="宋体" w:cs="Tahoma"/>
                <w:szCs w:val="21"/>
              </w:rPr>
              <w:t>10</w:t>
            </w:r>
            <w:r>
              <w:rPr>
                <w:rFonts w:hint="eastAsia" w:ascii="宋体" w:hAnsi="宋体" w:cs="Tahoma"/>
                <w:szCs w:val="21"/>
              </w:rPr>
              <w:t>个元素以上不同积分的软件截屏作为证明资料。</w:t>
            </w:r>
          </w:p>
          <w:p>
            <w:pPr>
              <w:spacing w:line="360" w:lineRule="auto"/>
              <w:rPr>
                <w:rFonts w:hint="eastAsia" w:ascii="宋体" w:hAnsi="宋体" w:cs="Tahoma"/>
                <w:szCs w:val="21"/>
              </w:rPr>
            </w:pPr>
            <w:r>
              <w:rPr>
                <w:rFonts w:hint="eastAsia" w:ascii="宋体" w:hAnsi="宋体"/>
                <w:szCs w:val="21"/>
              </w:rPr>
              <w:t>3.1.11 仪器冷开机时间小于10分钟。包括仪器主机、气体、冷却循环水等冷启动，到仪器点炬时间。</w:t>
            </w:r>
          </w:p>
          <w:p>
            <w:pPr>
              <w:spacing w:line="360" w:lineRule="auto"/>
              <w:rPr>
                <w:rFonts w:hint="eastAsia" w:ascii="宋体" w:hAnsi="宋体" w:cs="Tahoma"/>
                <w:szCs w:val="21"/>
              </w:rPr>
            </w:pPr>
            <w:r>
              <w:rPr>
                <w:rFonts w:hint="eastAsia" w:ascii="宋体" w:hAnsi="宋体"/>
                <w:szCs w:val="21"/>
              </w:rPr>
              <w:t>3.1.12 计算机控制系统与数据工作站为联想最新款高配置商务机型，19”液晶。配HP激光高速打印机。软件为多任务操作，即在分析样品的同时，能同时进行数据处理，并处理和打印报告。控制软件可以在Windows 7下运行，也可以作为虚拟仪器，脱离仪器安装在其它计算机上进行模拟运行（模拟等离子体点火、熄火、样品分析），同时模拟软件具有数据处理功能，以便于教学、演示和培训。</w:t>
            </w:r>
          </w:p>
          <w:p>
            <w:pPr>
              <w:spacing w:line="360" w:lineRule="auto"/>
              <w:rPr>
                <w:rFonts w:hint="eastAsia" w:ascii="宋体" w:hAnsi="宋体"/>
                <w:szCs w:val="21"/>
              </w:rPr>
            </w:pPr>
            <w:r>
              <w:rPr>
                <w:rFonts w:hint="eastAsia" w:ascii="宋体" w:hAnsi="宋体" w:cs="Tahoma"/>
                <w:szCs w:val="21"/>
              </w:rPr>
              <w:t>3.1.13 具有元素间干扰校正技术、谱线拟合干扰校正技术和实时背景扣除功能等不少于3种干扰校正技术</w:t>
            </w:r>
            <w:r>
              <w:rPr>
                <w:rFonts w:hint="eastAsia" w:ascii="宋体" w:hAnsi="宋体"/>
                <w:szCs w:val="21"/>
              </w:rPr>
              <w:t>。</w:t>
            </w:r>
          </w:p>
          <w:p>
            <w:pPr>
              <w:spacing w:line="360" w:lineRule="auto"/>
              <w:rPr>
                <w:rFonts w:hint="eastAsia" w:ascii="宋体" w:hAnsi="宋体" w:cs="Tahoma"/>
                <w:szCs w:val="21"/>
              </w:rPr>
            </w:pPr>
            <w:r>
              <w:rPr>
                <w:rFonts w:hint="eastAsia" w:ascii="宋体" w:hAnsi="宋体" w:cs="宋体"/>
                <w:szCs w:val="21"/>
              </w:rPr>
              <w:t>★</w:t>
            </w:r>
            <w:r>
              <w:rPr>
                <w:rFonts w:hint="eastAsia" w:ascii="宋体" w:hAnsi="宋体" w:cs="Tahoma"/>
                <w:szCs w:val="21"/>
              </w:rPr>
              <w:t>3.1.14</w:t>
            </w:r>
            <w:r>
              <w:rPr>
                <w:rFonts w:ascii="宋体" w:hAnsi="宋体"/>
                <w:sz w:val="24"/>
              </w:rPr>
              <w:t>具有</w:t>
            </w:r>
            <w:r>
              <w:rPr>
                <w:rFonts w:hint="eastAsia" w:ascii="宋体" w:hAnsi="宋体"/>
                <w:sz w:val="24"/>
              </w:rPr>
              <w:t>4</w:t>
            </w:r>
            <w:r>
              <w:rPr>
                <w:rFonts w:ascii="宋体" w:hAnsi="宋体"/>
                <w:sz w:val="24"/>
              </w:rPr>
              <w:t>万条以上谱线的谱线库。</w:t>
            </w:r>
            <w:r>
              <w:rPr>
                <w:rFonts w:hint="eastAsia" w:ascii="宋体" w:hAnsi="宋体"/>
                <w:sz w:val="24"/>
              </w:rPr>
              <w:t>以软件现场演示为准，或</w:t>
            </w:r>
            <w:r>
              <w:rPr>
                <w:rFonts w:hint="eastAsia" w:ascii="宋体" w:hAnsi="宋体" w:cs="Tahoma"/>
                <w:szCs w:val="21"/>
              </w:rPr>
              <w:t>提供软件截屏作为证明资料。</w:t>
            </w:r>
          </w:p>
          <w:p>
            <w:pPr>
              <w:spacing w:line="360" w:lineRule="auto"/>
              <w:rPr>
                <w:rFonts w:hint="eastAsia" w:ascii="宋体" w:hAnsi="宋体" w:cs="Tahoma"/>
                <w:szCs w:val="21"/>
              </w:rPr>
            </w:pPr>
            <w:r>
              <w:rPr>
                <w:rFonts w:hint="eastAsia" w:ascii="宋体" w:hAnsi="宋体" w:cs="Tahoma"/>
                <w:szCs w:val="21"/>
              </w:rPr>
              <w:t>3.1.15 软件具有多元素谱图同时显示功能，至少提供10个元素同时显示的软件截屏作为证明资料。</w:t>
            </w:r>
          </w:p>
          <w:p>
            <w:pPr>
              <w:spacing w:line="360" w:lineRule="auto"/>
              <w:rPr>
                <w:rFonts w:hint="eastAsia" w:ascii="宋体" w:hAnsi="宋体" w:cs="Tahoma"/>
                <w:szCs w:val="21"/>
              </w:rPr>
            </w:pPr>
            <w:r>
              <w:rPr>
                <w:rFonts w:hint="eastAsia" w:ascii="宋体" w:hAnsi="宋体" w:cs="Tahoma"/>
                <w:szCs w:val="21"/>
              </w:rPr>
              <w:t>3.1.16具有谱图叠加功能，同一个元素不同样品可以同时显示，提供软件截屏作为证明资料。</w:t>
            </w:r>
          </w:p>
          <w:p>
            <w:pPr>
              <w:spacing w:line="360" w:lineRule="auto"/>
              <w:rPr>
                <w:rFonts w:hint="eastAsia" w:ascii="宋体" w:hAnsi="宋体" w:cs="Tahoma"/>
                <w:szCs w:val="21"/>
              </w:rPr>
            </w:pPr>
            <w:r>
              <w:rPr>
                <w:rFonts w:hint="eastAsia" w:ascii="宋体" w:hAnsi="宋体" w:cs="宋体"/>
                <w:szCs w:val="21"/>
              </w:rPr>
              <w:t>★</w:t>
            </w:r>
            <w:r>
              <w:rPr>
                <w:rFonts w:hint="eastAsia" w:ascii="宋体" w:hAnsi="宋体" w:cs="Tahoma"/>
                <w:szCs w:val="21"/>
              </w:rPr>
              <w:t>3.1.17 每个谱图至少可以显示50个以上的像素点，</w:t>
            </w:r>
            <w:r>
              <w:rPr>
                <w:rFonts w:hint="eastAsia" w:ascii="宋体" w:hAnsi="宋体"/>
                <w:sz w:val="24"/>
              </w:rPr>
              <w:t>以软件现场演示为准，或</w:t>
            </w:r>
            <w:r>
              <w:rPr>
                <w:rFonts w:hint="eastAsia" w:ascii="宋体" w:hAnsi="宋体" w:cs="Tahoma"/>
                <w:szCs w:val="21"/>
              </w:rPr>
              <w:t>提供软件截屏作为证明资料。</w:t>
            </w:r>
          </w:p>
          <w:p>
            <w:pPr>
              <w:spacing w:line="360" w:lineRule="auto"/>
              <w:rPr>
                <w:rFonts w:hint="eastAsia" w:ascii="宋体" w:hAnsi="宋体" w:cs="Tahoma"/>
                <w:szCs w:val="21"/>
              </w:rPr>
            </w:pPr>
            <w:r>
              <w:rPr>
                <w:rFonts w:hint="eastAsia" w:ascii="宋体" w:hAnsi="宋体" w:cs="宋体"/>
                <w:szCs w:val="21"/>
              </w:rPr>
              <w:t>★</w:t>
            </w:r>
            <w:r>
              <w:rPr>
                <w:rFonts w:hint="eastAsia" w:ascii="宋体" w:hAnsi="宋体" w:cs="Tahoma"/>
                <w:szCs w:val="21"/>
              </w:rPr>
              <w:t>3.1.18 提供测量结果的交叉表报告模块，每一行显示不同的样品，每一列显示不同的元素或谱线，显示内容至少包括强度和浓度两种方式，</w:t>
            </w:r>
            <w:r>
              <w:rPr>
                <w:rFonts w:hint="eastAsia" w:ascii="宋体" w:hAnsi="宋体"/>
                <w:sz w:val="24"/>
              </w:rPr>
              <w:t>以软件现场演示为准，或</w:t>
            </w:r>
            <w:r>
              <w:rPr>
                <w:rFonts w:hint="eastAsia" w:ascii="宋体" w:hAnsi="宋体" w:cs="Tahoma"/>
                <w:szCs w:val="21"/>
              </w:rPr>
              <w:t>提供软件截屏作为证明资料。</w:t>
            </w:r>
          </w:p>
          <w:p>
            <w:pPr>
              <w:spacing w:line="360" w:lineRule="auto"/>
              <w:rPr>
                <w:rFonts w:ascii="宋体" w:hAnsi="宋体"/>
                <w:szCs w:val="21"/>
              </w:rPr>
            </w:pPr>
            <w:r>
              <w:rPr>
                <w:rFonts w:ascii="宋体" w:hAnsi="宋体"/>
                <w:szCs w:val="21"/>
              </w:rPr>
              <w:t>3.2性能指标，仪器安装验收按照下列的性能指标逐项进行，全部符合则为仪器验收合格。</w:t>
            </w:r>
          </w:p>
          <w:p>
            <w:pPr>
              <w:spacing w:line="360" w:lineRule="auto"/>
              <w:ind w:left="473" w:hanging="472" w:hangingChars="225"/>
              <w:rPr>
                <w:rFonts w:ascii="宋体" w:hAnsi="宋体"/>
                <w:kern w:val="0"/>
                <w:sz w:val="20"/>
                <w:szCs w:val="20"/>
              </w:rPr>
            </w:pPr>
            <w:r>
              <w:rPr>
                <w:rFonts w:hint="eastAsia" w:ascii="宋体" w:hAnsi="宋体" w:cs="宋体"/>
                <w:szCs w:val="21"/>
              </w:rPr>
              <w:t>★</w:t>
            </w:r>
            <w:r>
              <w:rPr>
                <w:rFonts w:ascii="宋体" w:hAnsi="宋体"/>
                <w:szCs w:val="21"/>
              </w:rPr>
              <w:t xml:space="preserve">3.2.1等离子体气（Plasma gas）流量 </w:t>
            </w:r>
            <w:r>
              <w:rPr>
                <w:rFonts w:ascii="宋体" w:hAnsi="宋体"/>
                <w:kern w:val="0"/>
                <w:sz w:val="20"/>
                <w:szCs w:val="20"/>
              </w:rPr>
              <w:t>≤</w:t>
            </w:r>
            <w:r>
              <w:rPr>
                <w:rFonts w:hint="eastAsia" w:ascii="宋体" w:hAnsi="宋体"/>
                <w:kern w:val="0"/>
                <w:sz w:val="20"/>
                <w:szCs w:val="20"/>
              </w:rPr>
              <w:t xml:space="preserve"> </w:t>
            </w:r>
            <w:r>
              <w:rPr>
                <w:rFonts w:ascii="宋体" w:hAnsi="宋体"/>
                <w:kern w:val="0"/>
                <w:sz w:val="20"/>
                <w:szCs w:val="20"/>
              </w:rPr>
              <w:t>9L/min。</w:t>
            </w:r>
          </w:p>
          <w:p>
            <w:pPr>
              <w:spacing w:line="360" w:lineRule="auto"/>
              <w:ind w:left="473" w:hanging="472" w:hangingChars="225"/>
              <w:rPr>
                <w:rFonts w:ascii="宋体" w:hAnsi="宋体"/>
                <w:szCs w:val="21"/>
              </w:rPr>
            </w:pPr>
            <w:r>
              <w:rPr>
                <w:rFonts w:hint="eastAsia" w:ascii="宋体" w:hAnsi="宋体" w:cs="宋体"/>
                <w:szCs w:val="21"/>
              </w:rPr>
              <w:t>★</w:t>
            </w:r>
            <w:r>
              <w:rPr>
                <w:rFonts w:ascii="宋体" w:hAnsi="宋体"/>
                <w:szCs w:val="21"/>
              </w:rPr>
              <w:t>3.2.</w:t>
            </w:r>
            <w:r>
              <w:rPr>
                <w:rFonts w:hint="eastAsia" w:ascii="宋体" w:hAnsi="宋体"/>
                <w:szCs w:val="21"/>
              </w:rPr>
              <w:t>2</w:t>
            </w:r>
            <w:r>
              <w:rPr>
                <w:rFonts w:ascii="宋体" w:hAnsi="宋体"/>
                <w:szCs w:val="21"/>
              </w:rPr>
              <w:t>分辨率：</w:t>
            </w:r>
            <w:r>
              <w:rPr>
                <w:rFonts w:ascii="宋体" w:hAnsi="宋体"/>
                <w:kern w:val="0"/>
                <w:sz w:val="20"/>
                <w:szCs w:val="20"/>
              </w:rPr>
              <w:t>As 193.696</w:t>
            </w:r>
            <w:r>
              <w:rPr>
                <w:rFonts w:hint="eastAsia" w:ascii="宋体" w:hAnsi="宋体"/>
                <w:kern w:val="0"/>
                <w:sz w:val="20"/>
                <w:szCs w:val="20"/>
              </w:rPr>
              <w:t>，</w:t>
            </w:r>
            <w:r>
              <w:rPr>
                <w:rFonts w:ascii="宋体" w:hAnsi="宋体"/>
                <w:kern w:val="0"/>
                <w:sz w:val="20"/>
                <w:szCs w:val="20"/>
              </w:rPr>
              <w:t>0.007</w:t>
            </w:r>
            <w:r>
              <w:rPr>
                <w:rFonts w:ascii="宋体" w:hAnsi="宋体"/>
                <w:szCs w:val="21"/>
              </w:rPr>
              <w:t xml:space="preserve"> nm</w:t>
            </w:r>
          </w:p>
          <w:p>
            <w:pPr>
              <w:pStyle w:val="14"/>
              <w:spacing w:line="360" w:lineRule="auto"/>
              <w:ind w:left="473" w:hanging="472" w:hangingChars="225"/>
              <w:rPr>
                <w:sz w:val="21"/>
                <w:szCs w:val="21"/>
              </w:rPr>
            </w:pPr>
            <w:r>
              <w:rPr>
                <w:sz w:val="21"/>
                <w:szCs w:val="21"/>
              </w:rPr>
              <w:t>3.2.</w:t>
            </w:r>
            <w:r>
              <w:rPr>
                <w:rFonts w:hint="eastAsia"/>
                <w:sz w:val="21"/>
                <w:szCs w:val="21"/>
              </w:rPr>
              <w:t>3</w:t>
            </w:r>
            <w:r>
              <w:rPr>
                <w:sz w:val="21"/>
                <w:szCs w:val="21"/>
              </w:rPr>
              <w:t xml:space="preserve">精密度（重复测量10次的相对标准偏差百分数，RSD%）： </w:t>
            </w:r>
          </w:p>
          <w:p>
            <w:pPr>
              <w:rPr>
                <w:rFonts w:ascii="宋体" w:hAnsi="宋体"/>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22"/>
              <w:gridCol w:w="1808"/>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noWrap w:val="0"/>
                  <w:vAlign w:val="center"/>
                </w:tcPr>
                <w:p>
                  <w:pPr>
                    <w:spacing w:line="360" w:lineRule="auto"/>
                    <w:jc w:val="center"/>
                    <w:rPr>
                      <w:rFonts w:ascii="宋体" w:hAnsi="宋体"/>
                      <w:szCs w:val="21"/>
                    </w:rPr>
                  </w:pPr>
                  <w:r>
                    <w:rPr>
                      <w:rFonts w:ascii="宋体" w:hAnsi="宋体"/>
                      <w:szCs w:val="21"/>
                    </w:rPr>
                    <w:t>谱线</w:t>
                  </w:r>
                </w:p>
              </w:tc>
              <w:tc>
                <w:tcPr>
                  <w:tcW w:w="1927" w:type="dxa"/>
                  <w:noWrap w:val="0"/>
                  <w:vAlign w:val="center"/>
                </w:tcPr>
                <w:p>
                  <w:pPr>
                    <w:spacing w:line="360" w:lineRule="auto"/>
                    <w:jc w:val="center"/>
                    <w:rPr>
                      <w:rFonts w:ascii="宋体" w:hAnsi="宋体"/>
                      <w:szCs w:val="21"/>
                    </w:rPr>
                  </w:pPr>
                  <w:r>
                    <w:rPr>
                      <w:rFonts w:ascii="宋体" w:hAnsi="宋体"/>
                      <w:szCs w:val="21"/>
                    </w:rPr>
                    <w:t>标准溶液浓度</w:t>
                  </w:r>
                </w:p>
              </w:tc>
              <w:tc>
                <w:tcPr>
                  <w:tcW w:w="2070" w:type="dxa"/>
                  <w:noWrap w:val="0"/>
                  <w:vAlign w:val="center"/>
                </w:tcPr>
                <w:p>
                  <w:pPr>
                    <w:spacing w:line="360" w:lineRule="auto"/>
                    <w:jc w:val="center"/>
                    <w:rPr>
                      <w:rFonts w:ascii="宋体" w:hAnsi="宋体"/>
                      <w:szCs w:val="21"/>
                    </w:rPr>
                  </w:pPr>
                  <w:r>
                    <w:rPr>
                      <w:rFonts w:ascii="宋体" w:hAnsi="宋体"/>
                      <w:szCs w:val="21"/>
                    </w:rPr>
                    <w:t>积分时间</w:t>
                  </w:r>
                </w:p>
              </w:tc>
              <w:tc>
                <w:tcPr>
                  <w:tcW w:w="2070" w:type="dxa"/>
                  <w:noWrap w:val="0"/>
                  <w:vAlign w:val="center"/>
                </w:tcPr>
                <w:p>
                  <w:pPr>
                    <w:spacing w:line="360" w:lineRule="auto"/>
                    <w:jc w:val="center"/>
                    <w:rPr>
                      <w:rFonts w:ascii="宋体" w:hAnsi="宋体"/>
                      <w:szCs w:val="21"/>
                    </w:rPr>
                  </w:pPr>
                  <w:r>
                    <w:rPr>
                      <w:rFonts w:ascii="宋体" w:hAnsi="宋体"/>
                      <w:szCs w:val="21"/>
                    </w:rPr>
                    <w:t>精密度（RSD%）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center"/>
                </w:tcPr>
                <w:p>
                  <w:pPr>
                    <w:spacing w:line="360" w:lineRule="auto"/>
                    <w:jc w:val="center"/>
                    <w:rPr>
                      <w:rFonts w:ascii="宋体" w:hAnsi="宋体"/>
                      <w:szCs w:val="21"/>
                    </w:rPr>
                  </w:pPr>
                  <w:r>
                    <w:rPr>
                      <w:rFonts w:ascii="宋体" w:hAnsi="宋体"/>
                      <w:kern w:val="0"/>
                      <w:sz w:val="20"/>
                      <w:szCs w:val="20"/>
                    </w:rPr>
                    <w:t>Zn 206.197</w:t>
                  </w:r>
                </w:p>
              </w:tc>
              <w:tc>
                <w:tcPr>
                  <w:tcW w:w="1927" w:type="dxa"/>
                  <w:noWrap w:val="0"/>
                  <w:vAlign w:val="center"/>
                </w:tcPr>
                <w:p>
                  <w:pPr>
                    <w:jc w:val="center"/>
                    <w:rPr>
                      <w:rFonts w:ascii="宋体" w:hAnsi="宋体"/>
                    </w:rPr>
                  </w:pPr>
                  <w:r>
                    <w:rPr>
                      <w:rFonts w:ascii="宋体" w:hAnsi="宋体"/>
                      <w:szCs w:val="21"/>
                    </w:rPr>
                    <w:t>1 mg/L</w:t>
                  </w:r>
                </w:p>
              </w:tc>
              <w:tc>
                <w:tcPr>
                  <w:tcW w:w="2070" w:type="dxa"/>
                  <w:noWrap w:val="0"/>
                  <w:vAlign w:val="center"/>
                </w:tcPr>
                <w:p>
                  <w:pPr>
                    <w:jc w:val="center"/>
                    <w:rPr>
                      <w:rFonts w:ascii="宋体" w:hAnsi="宋体"/>
                    </w:rPr>
                  </w:pPr>
                  <w:r>
                    <w:rPr>
                      <w:rFonts w:ascii="宋体" w:hAnsi="宋体"/>
                      <w:kern w:val="0"/>
                      <w:sz w:val="20"/>
                      <w:szCs w:val="20"/>
                    </w:rPr>
                    <w:t>1秒</w:t>
                  </w:r>
                </w:p>
              </w:tc>
              <w:tc>
                <w:tcPr>
                  <w:tcW w:w="2070"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 xml:space="preserve"> </w:t>
                  </w:r>
                  <w:r>
                    <w:rPr>
                      <w:rFonts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noWrap w:val="0"/>
                  <w:vAlign w:val="center"/>
                </w:tcPr>
                <w:p>
                  <w:pPr>
                    <w:spacing w:line="360" w:lineRule="auto"/>
                    <w:jc w:val="center"/>
                    <w:rPr>
                      <w:rFonts w:ascii="宋体" w:hAnsi="宋体"/>
                      <w:szCs w:val="21"/>
                    </w:rPr>
                  </w:pPr>
                  <w:r>
                    <w:rPr>
                      <w:rFonts w:ascii="宋体" w:hAnsi="宋体"/>
                      <w:kern w:val="0"/>
                      <w:sz w:val="20"/>
                      <w:szCs w:val="20"/>
                    </w:rPr>
                    <w:t>Mg 280.260</w:t>
                  </w:r>
                </w:p>
              </w:tc>
              <w:tc>
                <w:tcPr>
                  <w:tcW w:w="1927" w:type="dxa"/>
                  <w:noWrap w:val="0"/>
                  <w:vAlign w:val="center"/>
                </w:tcPr>
                <w:p>
                  <w:pPr>
                    <w:jc w:val="center"/>
                    <w:rPr>
                      <w:rFonts w:ascii="宋体" w:hAnsi="宋体"/>
                    </w:rPr>
                  </w:pPr>
                  <w:r>
                    <w:rPr>
                      <w:rFonts w:ascii="宋体" w:hAnsi="宋体"/>
                      <w:szCs w:val="21"/>
                    </w:rPr>
                    <w:t>0.1 mg/L</w:t>
                  </w:r>
                </w:p>
              </w:tc>
              <w:tc>
                <w:tcPr>
                  <w:tcW w:w="2070" w:type="dxa"/>
                  <w:noWrap w:val="0"/>
                  <w:vAlign w:val="center"/>
                </w:tcPr>
                <w:p>
                  <w:pPr>
                    <w:jc w:val="center"/>
                    <w:rPr>
                      <w:rFonts w:ascii="宋体" w:hAnsi="宋体"/>
                    </w:rPr>
                  </w:pPr>
                  <w:r>
                    <w:rPr>
                      <w:rFonts w:ascii="宋体" w:hAnsi="宋体"/>
                      <w:kern w:val="0"/>
                      <w:sz w:val="20"/>
                      <w:szCs w:val="20"/>
                    </w:rPr>
                    <w:t>1秒</w:t>
                  </w:r>
                </w:p>
              </w:tc>
              <w:tc>
                <w:tcPr>
                  <w:tcW w:w="2070"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 xml:space="preserve"> </w:t>
                  </w:r>
                  <w:r>
                    <w:rPr>
                      <w:rFonts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noWrap w:val="0"/>
                  <w:vAlign w:val="center"/>
                </w:tcPr>
                <w:p>
                  <w:pPr>
                    <w:spacing w:line="360" w:lineRule="auto"/>
                    <w:jc w:val="center"/>
                    <w:rPr>
                      <w:rFonts w:ascii="宋体" w:hAnsi="宋体"/>
                      <w:szCs w:val="21"/>
                    </w:rPr>
                  </w:pPr>
                  <w:r>
                    <w:rPr>
                      <w:rFonts w:ascii="宋体" w:hAnsi="宋体"/>
                      <w:kern w:val="0"/>
                      <w:sz w:val="20"/>
                      <w:szCs w:val="20"/>
                    </w:rPr>
                    <w:t>Mg 285.207</w:t>
                  </w:r>
                </w:p>
              </w:tc>
              <w:tc>
                <w:tcPr>
                  <w:tcW w:w="1927" w:type="dxa"/>
                  <w:noWrap w:val="0"/>
                  <w:vAlign w:val="center"/>
                </w:tcPr>
                <w:p>
                  <w:pPr>
                    <w:jc w:val="center"/>
                    <w:rPr>
                      <w:rFonts w:ascii="宋体" w:hAnsi="宋体"/>
                    </w:rPr>
                  </w:pPr>
                  <w:r>
                    <w:rPr>
                      <w:rFonts w:ascii="宋体" w:hAnsi="宋体"/>
                      <w:szCs w:val="21"/>
                    </w:rPr>
                    <w:t>0.1 mg/L</w:t>
                  </w:r>
                </w:p>
              </w:tc>
              <w:tc>
                <w:tcPr>
                  <w:tcW w:w="2070" w:type="dxa"/>
                  <w:noWrap w:val="0"/>
                  <w:vAlign w:val="center"/>
                </w:tcPr>
                <w:p>
                  <w:pPr>
                    <w:jc w:val="center"/>
                    <w:rPr>
                      <w:rFonts w:ascii="宋体" w:hAnsi="宋体"/>
                    </w:rPr>
                  </w:pPr>
                  <w:r>
                    <w:rPr>
                      <w:rFonts w:ascii="宋体" w:hAnsi="宋体"/>
                      <w:kern w:val="0"/>
                      <w:sz w:val="20"/>
                      <w:szCs w:val="20"/>
                    </w:rPr>
                    <w:t>1秒</w:t>
                  </w:r>
                </w:p>
              </w:tc>
              <w:tc>
                <w:tcPr>
                  <w:tcW w:w="2070"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 xml:space="preserve"> </w:t>
                  </w:r>
                  <w:r>
                    <w:rPr>
                      <w:rFonts w:ascii="宋体" w:hAnsi="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noWrap w:val="0"/>
                  <w:vAlign w:val="center"/>
                </w:tcPr>
                <w:p>
                  <w:pPr>
                    <w:spacing w:line="360" w:lineRule="auto"/>
                    <w:jc w:val="center"/>
                    <w:rPr>
                      <w:rFonts w:ascii="宋体" w:hAnsi="宋体"/>
                      <w:szCs w:val="21"/>
                    </w:rPr>
                  </w:pPr>
                  <w:r>
                    <w:rPr>
                      <w:rFonts w:ascii="宋体" w:hAnsi="宋体"/>
                      <w:kern w:val="0"/>
                      <w:sz w:val="20"/>
                      <w:szCs w:val="20"/>
                    </w:rPr>
                    <w:t>Ba 455.389</w:t>
                  </w:r>
                </w:p>
              </w:tc>
              <w:tc>
                <w:tcPr>
                  <w:tcW w:w="1927" w:type="dxa"/>
                  <w:noWrap w:val="0"/>
                  <w:vAlign w:val="center"/>
                </w:tcPr>
                <w:p>
                  <w:pPr>
                    <w:jc w:val="center"/>
                    <w:rPr>
                      <w:rFonts w:ascii="宋体" w:hAnsi="宋体"/>
                    </w:rPr>
                  </w:pPr>
                  <w:r>
                    <w:rPr>
                      <w:rFonts w:ascii="宋体" w:hAnsi="宋体"/>
                      <w:szCs w:val="21"/>
                    </w:rPr>
                    <w:t>0.1 mg/L</w:t>
                  </w:r>
                </w:p>
              </w:tc>
              <w:tc>
                <w:tcPr>
                  <w:tcW w:w="2070" w:type="dxa"/>
                  <w:noWrap w:val="0"/>
                  <w:vAlign w:val="center"/>
                </w:tcPr>
                <w:p>
                  <w:pPr>
                    <w:jc w:val="center"/>
                    <w:rPr>
                      <w:rFonts w:ascii="宋体" w:hAnsi="宋体"/>
                    </w:rPr>
                  </w:pPr>
                  <w:r>
                    <w:rPr>
                      <w:rFonts w:ascii="宋体" w:hAnsi="宋体"/>
                      <w:kern w:val="0"/>
                      <w:sz w:val="20"/>
                      <w:szCs w:val="20"/>
                    </w:rPr>
                    <w:t>1秒</w:t>
                  </w:r>
                </w:p>
              </w:tc>
              <w:tc>
                <w:tcPr>
                  <w:tcW w:w="2070"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 xml:space="preserve"> </w:t>
                  </w:r>
                  <w:r>
                    <w:rPr>
                      <w:rFonts w:ascii="宋体" w:hAnsi="宋体"/>
                      <w:kern w:val="0"/>
                      <w:sz w:val="20"/>
                      <w:szCs w:val="20"/>
                    </w:rPr>
                    <w:t>1</w:t>
                  </w:r>
                </w:p>
              </w:tc>
            </w:tr>
          </w:tbl>
          <w:p>
            <w:pPr>
              <w:rPr>
                <w:rFonts w:ascii="宋体" w:hAnsi="宋体"/>
              </w:rPr>
            </w:pPr>
          </w:p>
          <w:p>
            <w:pPr>
              <w:pStyle w:val="14"/>
              <w:spacing w:line="360" w:lineRule="auto"/>
              <w:ind w:left="473" w:hanging="472" w:hangingChars="225"/>
              <w:jc w:val="left"/>
              <w:rPr>
                <w:sz w:val="21"/>
                <w:szCs w:val="21"/>
              </w:rPr>
            </w:pPr>
            <w:r>
              <w:rPr>
                <w:sz w:val="21"/>
                <w:szCs w:val="21"/>
              </w:rPr>
              <w:t>3.2.</w:t>
            </w:r>
            <w:r>
              <w:rPr>
                <w:rFonts w:hint="eastAsia"/>
                <w:sz w:val="21"/>
                <w:szCs w:val="21"/>
              </w:rPr>
              <w:t>4</w:t>
            </w:r>
            <w:r>
              <w:rPr>
                <w:sz w:val="21"/>
                <w:szCs w:val="21"/>
              </w:rPr>
              <w:t>灵敏度（标准溶液单位浓度测量时仪器给出的谱线积分强度，以耐HF酸的进样系统</w:t>
            </w:r>
            <w:r>
              <w:rPr>
                <w:rFonts w:hint="eastAsia"/>
                <w:sz w:val="21"/>
                <w:szCs w:val="21"/>
              </w:rPr>
              <w:t>进行测试</w:t>
            </w:r>
            <w:r>
              <w:rPr>
                <w:sz w:val="21"/>
                <w:szCs w:val="21"/>
              </w:rPr>
              <w:t xml:space="preserve">）： </w:t>
            </w:r>
          </w:p>
          <w:p>
            <w:pPr>
              <w:rPr>
                <w:rFonts w:ascii="宋体" w:hAnsi="宋体"/>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706"/>
              <w:gridCol w:w="996"/>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pPr>
                    <w:spacing w:line="360" w:lineRule="auto"/>
                    <w:jc w:val="center"/>
                    <w:rPr>
                      <w:rFonts w:ascii="宋体" w:hAnsi="宋体"/>
                      <w:szCs w:val="21"/>
                    </w:rPr>
                  </w:pPr>
                  <w:r>
                    <w:rPr>
                      <w:rFonts w:ascii="宋体" w:hAnsi="宋体"/>
                      <w:szCs w:val="21"/>
                    </w:rPr>
                    <w:t>谱线</w:t>
                  </w:r>
                </w:p>
              </w:tc>
              <w:tc>
                <w:tcPr>
                  <w:tcW w:w="1890" w:type="dxa"/>
                  <w:noWrap w:val="0"/>
                  <w:vAlign w:val="center"/>
                </w:tcPr>
                <w:p>
                  <w:pPr>
                    <w:spacing w:line="360" w:lineRule="auto"/>
                    <w:jc w:val="center"/>
                    <w:rPr>
                      <w:rFonts w:ascii="宋体" w:hAnsi="宋体"/>
                      <w:szCs w:val="21"/>
                    </w:rPr>
                  </w:pPr>
                  <w:r>
                    <w:rPr>
                      <w:rFonts w:ascii="宋体" w:hAnsi="宋体"/>
                      <w:szCs w:val="21"/>
                    </w:rPr>
                    <w:t>标准溶液浓度</w:t>
                  </w:r>
                </w:p>
              </w:tc>
              <w:tc>
                <w:tcPr>
                  <w:tcW w:w="1094" w:type="dxa"/>
                  <w:noWrap w:val="0"/>
                  <w:vAlign w:val="center"/>
                </w:tcPr>
                <w:p>
                  <w:pPr>
                    <w:spacing w:line="360" w:lineRule="auto"/>
                    <w:jc w:val="center"/>
                    <w:rPr>
                      <w:rFonts w:ascii="宋体" w:hAnsi="宋体"/>
                      <w:szCs w:val="21"/>
                    </w:rPr>
                  </w:pPr>
                  <w:r>
                    <w:rPr>
                      <w:rFonts w:ascii="宋体" w:hAnsi="宋体"/>
                      <w:szCs w:val="21"/>
                    </w:rPr>
                    <w:t>积分时间</w:t>
                  </w:r>
                </w:p>
              </w:tc>
              <w:tc>
                <w:tcPr>
                  <w:tcW w:w="3057" w:type="dxa"/>
                  <w:noWrap w:val="0"/>
                  <w:vAlign w:val="center"/>
                </w:tcPr>
                <w:p>
                  <w:pPr>
                    <w:spacing w:line="360" w:lineRule="auto"/>
                    <w:jc w:val="center"/>
                    <w:rPr>
                      <w:rFonts w:ascii="宋体" w:hAnsi="宋体"/>
                      <w:szCs w:val="21"/>
                    </w:rPr>
                  </w:pPr>
                  <w:r>
                    <w:rPr>
                      <w:rFonts w:ascii="宋体" w:hAnsi="宋体"/>
                      <w:szCs w:val="21"/>
                    </w:rPr>
                    <w:t>灵敏度(单位：cps或cts)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pPr>
                    <w:spacing w:line="360" w:lineRule="auto"/>
                    <w:jc w:val="center"/>
                    <w:rPr>
                      <w:rFonts w:ascii="宋体" w:hAnsi="宋体"/>
                      <w:szCs w:val="21"/>
                    </w:rPr>
                  </w:pPr>
                  <w:r>
                    <w:rPr>
                      <w:rFonts w:ascii="宋体" w:hAnsi="宋体"/>
                      <w:kern w:val="0"/>
                      <w:sz w:val="20"/>
                      <w:szCs w:val="20"/>
                    </w:rPr>
                    <w:t>Mn 257.610</w:t>
                  </w:r>
                </w:p>
              </w:tc>
              <w:tc>
                <w:tcPr>
                  <w:tcW w:w="1890" w:type="dxa"/>
                  <w:noWrap w:val="0"/>
                  <w:vAlign w:val="center"/>
                </w:tcPr>
                <w:p>
                  <w:pPr>
                    <w:jc w:val="center"/>
                    <w:rPr>
                      <w:rFonts w:ascii="宋体" w:hAnsi="宋体"/>
                    </w:rPr>
                  </w:pPr>
                  <w:r>
                    <w:rPr>
                      <w:rFonts w:ascii="宋体" w:hAnsi="宋体"/>
                      <w:szCs w:val="21"/>
                    </w:rPr>
                    <w:t>1 mg/L</w:t>
                  </w:r>
                </w:p>
              </w:tc>
              <w:tc>
                <w:tcPr>
                  <w:tcW w:w="1094" w:type="dxa"/>
                  <w:noWrap w:val="0"/>
                  <w:vAlign w:val="center"/>
                </w:tcPr>
                <w:p>
                  <w:pPr>
                    <w:spacing w:line="360" w:lineRule="auto"/>
                    <w:jc w:val="center"/>
                    <w:rPr>
                      <w:rFonts w:ascii="宋体" w:hAnsi="宋体"/>
                      <w:kern w:val="0"/>
                      <w:sz w:val="20"/>
                      <w:szCs w:val="20"/>
                    </w:rPr>
                  </w:pPr>
                  <w:r>
                    <w:rPr>
                      <w:rFonts w:ascii="宋体" w:hAnsi="宋体"/>
                      <w:kern w:val="0"/>
                      <w:sz w:val="20"/>
                      <w:szCs w:val="20"/>
                    </w:rPr>
                    <w:t>1秒</w:t>
                  </w:r>
                </w:p>
              </w:tc>
              <w:tc>
                <w:tcPr>
                  <w:tcW w:w="3057" w:type="dxa"/>
                  <w:noWrap w:val="0"/>
                  <w:vAlign w:val="center"/>
                </w:tcPr>
                <w:p>
                  <w:pPr>
                    <w:spacing w:line="360" w:lineRule="auto"/>
                    <w:jc w:val="center"/>
                    <w:rPr>
                      <w:rFonts w:ascii="宋体" w:hAnsi="宋体"/>
                      <w:kern w:val="0"/>
                      <w:sz w:val="20"/>
                      <w:szCs w:val="20"/>
                    </w:rPr>
                  </w:pPr>
                  <w:r>
                    <w:rPr>
                      <w:rFonts w:ascii="宋体" w:hAnsi="宋体"/>
                      <w:kern w:val="0"/>
                      <w:sz w:val="20"/>
                      <w:szCs w:val="20"/>
                    </w:rPr>
                    <w:t>大于三百万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pPr>
                    <w:spacing w:line="360" w:lineRule="auto"/>
                    <w:jc w:val="center"/>
                    <w:rPr>
                      <w:rFonts w:ascii="宋体" w:hAnsi="宋体"/>
                      <w:szCs w:val="21"/>
                    </w:rPr>
                  </w:pPr>
                  <w:r>
                    <w:rPr>
                      <w:rFonts w:ascii="宋体" w:hAnsi="宋体"/>
                      <w:kern w:val="0"/>
                      <w:sz w:val="20"/>
                      <w:szCs w:val="20"/>
                    </w:rPr>
                    <w:t>Zn 206.197</w:t>
                  </w:r>
                </w:p>
              </w:tc>
              <w:tc>
                <w:tcPr>
                  <w:tcW w:w="1890" w:type="dxa"/>
                  <w:noWrap w:val="0"/>
                  <w:vAlign w:val="center"/>
                </w:tcPr>
                <w:p>
                  <w:pPr>
                    <w:jc w:val="center"/>
                    <w:rPr>
                      <w:rFonts w:ascii="宋体" w:hAnsi="宋体"/>
                    </w:rPr>
                  </w:pPr>
                  <w:r>
                    <w:rPr>
                      <w:rFonts w:ascii="宋体" w:hAnsi="宋体"/>
                      <w:szCs w:val="21"/>
                    </w:rPr>
                    <w:t>1 mg/L</w:t>
                  </w:r>
                </w:p>
              </w:tc>
              <w:tc>
                <w:tcPr>
                  <w:tcW w:w="1094" w:type="dxa"/>
                  <w:noWrap w:val="0"/>
                  <w:vAlign w:val="center"/>
                </w:tcPr>
                <w:p>
                  <w:pPr>
                    <w:jc w:val="center"/>
                    <w:rPr>
                      <w:rFonts w:ascii="宋体" w:hAnsi="宋体"/>
                    </w:rPr>
                  </w:pPr>
                  <w:r>
                    <w:rPr>
                      <w:rFonts w:ascii="宋体" w:hAnsi="宋体"/>
                      <w:kern w:val="0"/>
                      <w:sz w:val="20"/>
                      <w:szCs w:val="20"/>
                    </w:rPr>
                    <w:t>1秒</w:t>
                  </w:r>
                </w:p>
              </w:tc>
              <w:tc>
                <w:tcPr>
                  <w:tcW w:w="3057" w:type="dxa"/>
                  <w:noWrap w:val="0"/>
                  <w:vAlign w:val="center"/>
                </w:tcPr>
                <w:p>
                  <w:pPr>
                    <w:jc w:val="center"/>
                    <w:rPr>
                      <w:rFonts w:ascii="宋体" w:hAnsi="宋体"/>
                    </w:rPr>
                  </w:pPr>
                  <w:r>
                    <w:rPr>
                      <w:rFonts w:ascii="宋体" w:hAnsi="宋体"/>
                      <w:kern w:val="0"/>
                      <w:sz w:val="20"/>
                      <w:szCs w:val="20"/>
                    </w:rPr>
                    <w:t>大于八万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pPr>
                    <w:spacing w:line="360" w:lineRule="auto"/>
                    <w:jc w:val="center"/>
                    <w:rPr>
                      <w:rFonts w:ascii="宋体" w:hAnsi="宋体"/>
                      <w:szCs w:val="21"/>
                    </w:rPr>
                  </w:pPr>
                  <w:r>
                    <w:rPr>
                      <w:rFonts w:ascii="宋体" w:hAnsi="宋体"/>
                      <w:kern w:val="0"/>
                      <w:sz w:val="20"/>
                      <w:szCs w:val="20"/>
                    </w:rPr>
                    <w:t>Mg 280.260</w:t>
                  </w:r>
                </w:p>
              </w:tc>
              <w:tc>
                <w:tcPr>
                  <w:tcW w:w="1890" w:type="dxa"/>
                  <w:noWrap w:val="0"/>
                  <w:vAlign w:val="center"/>
                </w:tcPr>
                <w:p>
                  <w:pPr>
                    <w:jc w:val="center"/>
                    <w:rPr>
                      <w:rFonts w:ascii="宋体" w:hAnsi="宋体"/>
                    </w:rPr>
                  </w:pPr>
                  <w:r>
                    <w:rPr>
                      <w:rFonts w:ascii="宋体" w:hAnsi="宋体"/>
                      <w:szCs w:val="21"/>
                    </w:rPr>
                    <w:t>0.1 mg/L</w:t>
                  </w:r>
                </w:p>
              </w:tc>
              <w:tc>
                <w:tcPr>
                  <w:tcW w:w="1094" w:type="dxa"/>
                  <w:noWrap w:val="0"/>
                  <w:vAlign w:val="center"/>
                </w:tcPr>
                <w:p>
                  <w:pPr>
                    <w:jc w:val="center"/>
                    <w:rPr>
                      <w:rFonts w:ascii="宋体" w:hAnsi="宋体"/>
                    </w:rPr>
                  </w:pPr>
                  <w:r>
                    <w:rPr>
                      <w:rFonts w:ascii="宋体" w:hAnsi="宋体"/>
                      <w:kern w:val="0"/>
                      <w:sz w:val="20"/>
                      <w:szCs w:val="20"/>
                    </w:rPr>
                    <w:t>1秒</w:t>
                  </w:r>
                </w:p>
              </w:tc>
              <w:tc>
                <w:tcPr>
                  <w:tcW w:w="3057" w:type="dxa"/>
                  <w:noWrap w:val="0"/>
                  <w:vAlign w:val="center"/>
                </w:tcPr>
                <w:p>
                  <w:pPr>
                    <w:jc w:val="center"/>
                    <w:rPr>
                      <w:rFonts w:ascii="宋体" w:hAnsi="宋体"/>
                    </w:rPr>
                  </w:pPr>
                  <w:r>
                    <w:rPr>
                      <w:rFonts w:ascii="宋体" w:hAnsi="宋体"/>
                      <w:kern w:val="0"/>
                      <w:sz w:val="20"/>
                      <w:szCs w:val="20"/>
                    </w:rPr>
                    <w:t>大于八十万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pPr>
                    <w:spacing w:line="360" w:lineRule="auto"/>
                    <w:jc w:val="center"/>
                    <w:rPr>
                      <w:rFonts w:ascii="宋体" w:hAnsi="宋体"/>
                      <w:szCs w:val="21"/>
                    </w:rPr>
                  </w:pPr>
                  <w:r>
                    <w:rPr>
                      <w:rFonts w:ascii="宋体" w:hAnsi="宋体"/>
                      <w:kern w:val="0"/>
                      <w:sz w:val="20"/>
                      <w:szCs w:val="20"/>
                    </w:rPr>
                    <w:t>Mg 285.207</w:t>
                  </w:r>
                </w:p>
              </w:tc>
              <w:tc>
                <w:tcPr>
                  <w:tcW w:w="1890" w:type="dxa"/>
                  <w:noWrap w:val="0"/>
                  <w:vAlign w:val="center"/>
                </w:tcPr>
                <w:p>
                  <w:pPr>
                    <w:jc w:val="center"/>
                    <w:rPr>
                      <w:rFonts w:ascii="宋体" w:hAnsi="宋体"/>
                    </w:rPr>
                  </w:pPr>
                  <w:r>
                    <w:rPr>
                      <w:rFonts w:ascii="宋体" w:hAnsi="宋体"/>
                      <w:szCs w:val="21"/>
                    </w:rPr>
                    <w:t>0.1 mg/L</w:t>
                  </w:r>
                </w:p>
              </w:tc>
              <w:tc>
                <w:tcPr>
                  <w:tcW w:w="1094" w:type="dxa"/>
                  <w:noWrap w:val="0"/>
                  <w:vAlign w:val="center"/>
                </w:tcPr>
                <w:p>
                  <w:pPr>
                    <w:jc w:val="center"/>
                    <w:rPr>
                      <w:rFonts w:ascii="宋体" w:hAnsi="宋体"/>
                    </w:rPr>
                  </w:pPr>
                  <w:r>
                    <w:rPr>
                      <w:rFonts w:ascii="宋体" w:hAnsi="宋体"/>
                      <w:kern w:val="0"/>
                      <w:sz w:val="20"/>
                      <w:szCs w:val="20"/>
                    </w:rPr>
                    <w:t>1秒</w:t>
                  </w:r>
                </w:p>
              </w:tc>
              <w:tc>
                <w:tcPr>
                  <w:tcW w:w="3057" w:type="dxa"/>
                  <w:noWrap w:val="0"/>
                  <w:vAlign w:val="center"/>
                </w:tcPr>
                <w:p>
                  <w:pPr>
                    <w:jc w:val="center"/>
                    <w:rPr>
                      <w:rFonts w:ascii="宋体" w:hAnsi="宋体"/>
                    </w:rPr>
                  </w:pPr>
                  <w:r>
                    <w:rPr>
                      <w:rFonts w:ascii="宋体" w:hAnsi="宋体"/>
                      <w:kern w:val="0"/>
                      <w:sz w:val="20"/>
                      <w:szCs w:val="20"/>
                    </w:rPr>
                    <w:t>大于五万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noWrap w:val="0"/>
                  <w:vAlign w:val="center"/>
                </w:tcPr>
                <w:p>
                  <w:pPr>
                    <w:spacing w:line="360" w:lineRule="auto"/>
                    <w:jc w:val="center"/>
                    <w:rPr>
                      <w:rFonts w:ascii="宋体" w:hAnsi="宋体"/>
                      <w:szCs w:val="21"/>
                    </w:rPr>
                  </w:pPr>
                  <w:r>
                    <w:rPr>
                      <w:rFonts w:ascii="宋体" w:hAnsi="宋体"/>
                      <w:kern w:val="0"/>
                      <w:sz w:val="20"/>
                      <w:szCs w:val="20"/>
                    </w:rPr>
                    <w:t>Ba 455.389</w:t>
                  </w:r>
                </w:p>
              </w:tc>
              <w:tc>
                <w:tcPr>
                  <w:tcW w:w="1890" w:type="dxa"/>
                  <w:noWrap w:val="0"/>
                  <w:vAlign w:val="center"/>
                </w:tcPr>
                <w:p>
                  <w:pPr>
                    <w:jc w:val="center"/>
                    <w:rPr>
                      <w:rFonts w:ascii="宋体" w:hAnsi="宋体"/>
                    </w:rPr>
                  </w:pPr>
                  <w:r>
                    <w:rPr>
                      <w:rFonts w:ascii="宋体" w:hAnsi="宋体"/>
                      <w:szCs w:val="21"/>
                    </w:rPr>
                    <w:t>0.1 mg/L</w:t>
                  </w:r>
                </w:p>
              </w:tc>
              <w:tc>
                <w:tcPr>
                  <w:tcW w:w="1094" w:type="dxa"/>
                  <w:noWrap w:val="0"/>
                  <w:vAlign w:val="center"/>
                </w:tcPr>
                <w:p>
                  <w:pPr>
                    <w:jc w:val="center"/>
                    <w:rPr>
                      <w:rFonts w:ascii="宋体" w:hAnsi="宋体"/>
                    </w:rPr>
                  </w:pPr>
                  <w:r>
                    <w:rPr>
                      <w:rFonts w:ascii="宋体" w:hAnsi="宋体"/>
                      <w:kern w:val="0"/>
                      <w:sz w:val="20"/>
                      <w:szCs w:val="20"/>
                    </w:rPr>
                    <w:t>1秒</w:t>
                  </w:r>
                </w:p>
              </w:tc>
              <w:tc>
                <w:tcPr>
                  <w:tcW w:w="3057" w:type="dxa"/>
                  <w:noWrap w:val="0"/>
                  <w:vAlign w:val="center"/>
                </w:tcPr>
                <w:p>
                  <w:pPr>
                    <w:jc w:val="center"/>
                    <w:rPr>
                      <w:rFonts w:ascii="宋体" w:hAnsi="宋体"/>
                    </w:rPr>
                  </w:pPr>
                  <w:r>
                    <w:rPr>
                      <w:rFonts w:ascii="宋体" w:hAnsi="宋体"/>
                      <w:kern w:val="0"/>
                      <w:sz w:val="20"/>
                      <w:szCs w:val="20"/>
                    </w:rPr>
                    <w:t>大于三百万</w:t>
                  </w:r>
                </w:p>
              </w:tc>
            </w:tr>
          </w:tbl>
          <w:p>
            <w:pPr>
              <w:rPr>
                <w:rFonts w:ascii="宋体" w:hAnsi="宋体"/>
              </w:rPr>
            </w:pPr>
          </w:p>
          <w:p>
            <w:pPr>
              <w:pStyle w:val="14"/>
              <w:spacing w:line="360" w:lineRule="auto"/>
              <w:ind w:left="473" w:hanging="472" w:hangingChars="225"/>
              <w:rPr>
                <w:sz w:val="21"/>
                <w:szCs w:val="21"/>
              </w:rPr>
            </w:pPr>
            <w:r>
              <w:rPr>
                <w:sz w:val="21"/>
                <w:szCs w:val="21"/>
              </w:rPr>
              <w:t>3.2.</w:t>
            </w:r>
            <w:r>
              <w:rPr>
                <w:rFonts w:hint="eastAsia"/>
                <w:sz w:val="21"/>
                <w:szCs w:val="21"/>
              </w:rPr>
              <w:t>5</w:t>
            </w:r>
            <w:r>
              <w:rPr>
                <w:sz w:val="21"/>
                <w:szCs w:val="21"/>
              </w:rPr>
              <w:t xml:space="preserve"> 轴向观测（水平观测）检出限：积分时间1秒，以10次空白溶液测量的3</w:t>
            </w:r>
            <w:r>
              <w:rPr>
                <w:sz w:val="21"/>
                <w:szCs w:val="21"/>
              </w:rPr>
              <w:sym w:font="Symbol" w:char="F073"/>
            </w:r>
            <w:r>
              <w:rPr>
                <w:sz w:val="21"/>
                <w:szCs w:val="21"/>
              </w:rPr>
              <w:t>强度所对应的浓度计算检出限，所有下列检出限必须在同一个仪器参数下同时做出。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390"/>
              <w:gridCol w:w="222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center"/>
                </w:tcPr>
                <w:p>
                  <w:pPr>
                    <w:spacing w:line="360" w:lineRule="auto"/>
                    <w:jc w:val="center"/>
                    <w:rPr>
                      <w:rFonts w:ascii="宋体" w:hAnsi="宋体"/>
                      <w:szCs w:val="21"/>
                    </w:rPr>
                  </w:pPr>
                  <w:r>
                    <w:rPr>
                      <w:rFonts w:ascii="宋体" w:hAnsi="宋体"/>
                      <w:szCs w:val="21"/>
                    </w:rPr>
                    <w:t>谱线</w:t>
                  </w:r>
                </w:p>
              </w:tc>
              <w:tc>
                <w:tcPr>
                  <w:tcW w:w="1530" w:type="dxa"/>
                  <w:noWrap w:val="0"/>
                  <w:vAlign w:val="center"/>
                </w:tcPr>
                <w:p>
                  <w:pPr>
                    <w:spacing w:line="360" w:lineRule="auto"/>
                    <w:jc w:val="center"/>
                    <w:rPr>
                      <w:rFonts w:ascii="宋体" w:hAnsi="宋体"/>
                      <w:szCs w:val="21"/>
                    </w:rPr>
                  </w:pPr>
                  <w:r>
                    <w:rPr>
                      <w:rFonts w:ascii="宋体" w:hAnsi="宋体"/>
                      <w:szCs w:val="21"/>
                    </w:rPr>
                    <w:t>标准溶液浓度</w:t>
                  </w:r>
                </w:p>
              </w:tc>
              <w:tc>
                <w:tcPr>
                  <w:tcW w:w="2555" w:type="dxa"/>
                  <w:noWrap w:val="0"/>
                  <w:vAlign w:val="center"/>
                </w:tcPr>
                <w:p>
                  <w:pPr>
                    <w:spacing w:line="360" w:lineRule="auto"/>
                    <w:jc w:val="center"/>
                    <w:rPr>
                      <w:rFonts w:ascii="宋体" w:hAnsi="宋体"/>
                      <w:szCs w:val="21"/>
                    </w:rPr>
                  </w:pPr>
                  <w:r>
                    <w:rPr>
                      <w:rFonts w:ascii="宋体" w:hAnsi="宋体"/>
                      <w:szCs w:val="21"/>
                    </w:rPr>
                    <w:t>测量检出限所用的空白</w:t>
                  </w:r>
                </w:p>
              </w:tc>
              <w:tc>
                <w:tcPr>
                  <w:tcW w:w="1486" w:type="dxa"/>
                  <w:noWrap w:val="0"/>
                  <w:vAlign w:val="center"/>
                </w:tcPr>
                <w:p>
                  <w:pPr>
                    <w:spacing w:line="360" w:lineRule="auto"/>
                    <w:jc w:val="center"/>
                    <w:rPr>
                      <w:rFonts w:ascii="宋体" w:hAnsi="宋体"/>
                      <w:szCs w:val="21"/>
                    </w:rPr>
                  </w:pPr>
                  <w:r>
                    <w:rPr>
                      <w:rFonts w:ascii="宋体" w:hAnsi="宋体"/>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center"/>
                </w:tcPr>
                <w:p>
                  <w:pPr>
                    <w:spacing w:line="360" w:lineRule="auto"/>
                    <w:jc w:val="center"/>
                    <w:rPr>
                      <w:rFonts w:ascii="宋体" w:hAnsi="宋体"/>
                      <w:szCs w:val="21"/>
                    </w:rPr>
                  </w:pPr>
                  <w:r>
                    <w:rPr>
                      <w:rFonts w:ascii="宋体" w:hAnsi="宋体"/>
                      <w:kern w:val="0"/>
                      <w:sz w:val="20"/>
                      <w:szCs w:val="20"/>
                    </w:rPr>
                    <w:t>Tl 190.801</w:t>
                  </w:r>
                </w:p>
              </w:tc>
              <w:tc>
                <w:tcPr>
                  <w:tcW w:w="1530" w:type="dxa"/>
                  <w:noWrap w:val="0"/>
                  <w:vAlign w:val="center"/>
                </w:tcPr>
                <w:p>
                  <w:pPr>
                    <w:spacing w:line="360" w:lineRule="auto"/>
                    <w:jc w:val="center"/>
                    <w:rPr>
                      <w:rFonts w:ascii="宋体" w:hAnsi="宋体"/>
                      <w:szCs w:val="21"/>
                    </w:rPr>
                  </w:pPr>
                  <w:r>
                    <w:rPr>
                      <w:rFonts w:ascii="宋体" w:hAnsi="宋体"/>
                      <w:szCs w:val="21"/>
                    </w:rPr>
                    <w:t>1 mg/L</w:t>
                  </w:r>
                </w:p>
              </w:tc>
              <w:tc>
                <w:tcPr>
                  <w:tcW w:w="2555" w:type="dxa"/>
                  <w:noWrap w:val="0"/>
                  <w:vAlign w:val="center"/>
                </w:tcPr>
                <w:p>
                  <w:pPr>
                    <w:spacing w:line="360" w:lineRule="auto"/>
                    <w:jc w:val="center"/>
                    <w:rPr>
                      <w:rFonts w:ascii="宋体" w:hAnsi="宋体"/>
                      <w:kern w:val="0"/>
                      <w:sz w:val="20"/>
                      <w:szCs w:val="20"/>
                    </w:rPr>
                  </w:pPr>
                  <w:r>
                    <w:rPr>
                      <w:rFonts w:ascii="宋体" w:hAnsi="宋体"/>
                      <w:kern w:val="0"/>
                      <w:sz w:val="20"/>
                      <w:szCs w:val="20"/>
                    </w:rPr>
                    <w:t>2% 硝酸溶液</w:t>
                  </w:r>
                </w:p>
              </w:tc>
              <w:tc>
                <w:tcPr>
                  <w:tcW w:w="1486" w:type="dxa"/>
                  <w:noWrap w:val="0"/>
                  <w:vAlign w:val="center"/>
                </w:tcPr>
                <w:p>
                  <w:pPr>
                    <w:widowControl/>
                    <w:autoSpaceDE w:val="0"/>
                    <w:autoSpaceDN w:val="0"/>
                    <w:adjustRightInd w:val="0"/>
                    <w:jc w:val="center"/>
                    <w:rPr>
                      <w:rFonts w:ascii="宋体" w:hAnsi="宋体"/>
                      <w:kern w:val="0"/>
                      <w:sz w:val="20"/>
                      <w:szCs w:val="20"/>
                    </w:rPr>
                  </w:pPr>
                  <w:r>
                    <w:rPr>
                      <w:rFonts w:ascii="宋体" w:hAnsi="宋体"/>
                      <w:kern w:val="0"/>
                      <w:sz w:val="20"/>
                      <w:szCs w:val="20"/>
                    </w:rPr>
                    <w:t>≤</w:t>
                  </w:r>
                  <w:r>
                    <w:rPr>
                      <w:rFonts w:hint="eastAsia" w:ascii="宋体" w:hAnsi="宋体"/>
                      <w:kern w:val="0"/>
                      <w:sz w:val="20"/>
                      <w:szCs w:val="20"/>
                    </w:rPr>
                    <w:t xml:space="preserve">10 </w:t>
                  </w:r>
                  <w:r>
                    <w:rPr>
                      <w:rFonts w:ascii="宋体" w:hAnsi="宋体"/>
                      <w:kern w:val="0"/>
                      <w:sz w:val="20"/>
                      <w:szCs w:val="20"/>
                    </w:rPr>
                    <w:t>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center"/>
                </w:tcPr>
                <w:p>
                  <w:pPr>
                    <w:spacing w:line="360" w:lineRule="auto"/>
                    <w:jc w:val="center"/>
                    <w:rPr>
                      <w:rFonts w:ascii="宋体" w:hAnsi="宋体"/>
                      <w:szCs w:val="21"/>
                    </w:rPr>
                  </w:pPr>
                  <w:r>
                    <w:rPr>
                      <w:rFonts w:ascii="宋体" w:hAnsi="宋体"/>
                      <w:kern w:val="0"/>
                      <w:sz w:val="20"/>
                      <w:szCs w:val="20"/>
                    </w:rPr>
                    <w:t>As 193.696</w:t>
                  </w:r>
                </w:p>
              </w:tc>
              <w:tc>
                <w:tcPr>
                  <w:tcW w:w="1530" w:type="dxa"/>
                  <w:noWrap w:val="0"/>
                  <w:vAlign w:val="center"/>
                </w:tcPr>
                <w:p>
                  <w:pPr>
                    <w:jc w:val="center"/>
                    <w:rPr>
                      <w:rFonts w:ascii="宋体" w:hAnsi="宋体"/>
                    </w:rPr>
                  </w:pPr>
                  <w:r>
                    <w:rPr>
                      <w:rFonts w:ascii="宋体" w:hAnsi="宋体"/>
                      <w:szCs w:val="21"/>
                    </w:rPr>
                    <w:t>1 mg/L</w:t>
                  </w:r>
                </w:p>
              </w:tc>
              <w:tc>
                <w:tcPr>
                  <w:tcW w:w="2555" w:type="dxa"/>
                  <w:noWrap w:val="0"/>
                  <w:vAlign w:val="center"/>
                </w:tcPr>
                <w:p>
                  <w:pPr>
                    <w:jc w:val="center"/>
                    <w:rPr>
                      <w:rFonts w:ascii="宋体" w:hAnsi="宋体"/>
                    </w:rPr>
                  </w:pPr>
                  <w:r>
                    <w:rPr>
                      <w:rFonts w:ascii="宋体" w:hAnsi="宋体"/>
                      <w:kern w:val="0"/>
                      <w:sz w:val="20"/>
                      <w:szCs w:val="20"/>
                    </w:rPr>
                    <w:t>2% 硝酸溶液</w:t>
                  </w:r>
                </w:p>
              </w:tc>
              <w:tc>
                <w:tcPr>
                  <w:tcW w:w="1486"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3</w:t>
                  </w:r>
                  <w:r>
                    <w:rPr>
                      <w:rFonts w:ascii="宋体" w:hAnsi="宋体"/>
                      <w:kern w:val="0"/>
                      <w:sz w:val="20"/>
                      <w:szCs w:val="20"/>
                    </w:rPr>
                    <w:t xml:space="preserve"> 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center"/>
                </w:tcPr>
                <w:p>
                  <w:pPr>
                    <w:spacing w:line="360" w:lineRule="auto"/>
                    <w:jc w:val="center"/>
                    <w:rPr>
                      <w:rFonts w:ascii="宋体" w:hAnsi="宋体"/>
                      <w:szCs w:val="21"/>
                    </w:rPr>
                  </w:pPr>
                  <w:r>
                    <w:rPr>
                      <w:rFonts w:ascii="宋体" w:hAnsi="宋体"/>
                      <w:kern w:val="0"/>
                      <w:sz w:val="20"/>
                      <w:szCs w:val="20"/>
                    </w:rPr>
                    <w:t>Se 196.026</w:t>
                  </w:r>
                </w:p>
              </w:tc>
              <w:tc>
                <w:tcPr>
                  <w:tcW w:w="1530" w:type="dxa"/>
                  <w:noWrap w:val="0"/>
                  <w:vAlign w:val="center"/>
                </w:tcPr>
                <w:p>
                  <w:pPr>
                    <w:jc w:val="center"/>
                    <w:rPr>
                      <w:rFonts w:ascii="宋体" w:hAnsi="宋体"/>
                    </w:rPr>
                  </w:pPr>
                  <w:r>
                    <w:rPr>
                      <w:rFonts w:ascii="宋体" w:hAnsi="宋体"/>
                      <w:szCs w:val="21"/>
                    </w:rPr>
                    <w:t>0.5 mg/L</w:t>
                  </w:r>
                </w:p>
              </w:tc>
              <w:tc>
                <w:tcPr>
                  <w:tcW w:w="2555" w:type="dxa"/>
                  <w:noWrap w:val="0"/>
                  <w:vAlign w:val="center"/>
                </w:tcPr>
                <w:p>
                  <w:pPr>
                    <w:jc w:val="center"/>
                    <w:rPr>
                      <w:rFonts w:ascii="宋体" w:hAnsi="宋体"/>
                    </w:rPr>
                  </w:pPr>
                  <w:r>
                    <w:rPr>
                      <w:rFonts w:ascii="宋体" w:hAnsi="宋体"/>
                      <w:kern w:val="0"/>
                      <w:sz w:val="20"/>
                      <w:szCs w:val="20"/>
                    </w:rPr>
                    <w:t>2% 硝酸溶液</w:t>
                  </w:r>
                </w:p>
              </w:tc>
              <w:tc>
                <w:tcPr>
                  <w:tcW w:w="1486"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10</w:t>
                  </w:r>
                  <w:r>
                    <w:rPr>
                      <w:rFonts w:ascii="宋体" w:hAnsi="宋体"/>
                      <w:kern w:val="0"/>
                      <w:sz w:val="20"/>
                      <w:szCs w:val="20"/>
                    </w:rPr>
                    <w:t xml:space="preserve"> 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noWrap w:val="0"/>
                  <w:vAlign w:val="center"/>
                </w:tcPr>
                <w:p>
                  <w:pPr>
                    <w:spacing w:line="360" w:lineRule="auto"/>
                    <w:jc w:val="center"/>
                    <w:rPr>
                      <w:rFonts w:ascii="宋体" w:hAnsi="宋体"/>
                      <w:szCs w:val="21"/>
                    </w:rPr>
                  </w:pPr>
                  <w:r>
                    <w:rPr>
                      <w:rFonts w:ascii="宋体" w:hAnsi="宋体"/>
                      <w:kern w:val="0"/>
                      <w:sz w:val="20"/>
                      <w:szCs w:val="20"/>
                    </w:rPr>
                    <w:t>Pb 220.353</w:t>
                  </w:r>
                </w:p>
              </w:tc>
              <w:tc>
                <w:tcPr>
                  <w:tcW w:w="1530" w:type="dxa"/>
                  <w:noWrap w:val="0"/>
                  <w:vAlign w:val="center"/>
                </w:tcPr>
                <w:p>
                  <w:pPr>
                    <w:jc w:val="center"/>
                    <w:rPr>
                      <w:rFonts w:ascii="宋体" w:hAnsi="宋体"/>
                    </w:rPr>
                  </w:pPr>
                  <w:r>
                    <w:rPr>
                      <w:rFonts w:ascii="宋体" w:hAnsi="宋体"/>
                      <w:szCs w:val="21"/>
                    </w:rPr>
                    <w:t>0.5 mg/L</w:t>
                  </w:r>
                </w:p>
              </w:tc>
              <w:tc>
                <w:tcPr>
                  <w:tcW w:w="2555" w:type="dxa"/>
                  <w:noWrap w:val="0"/>
                  <w:vAlign w:val="center"/>
                </w:tcPr>
                <w:p>
                  <w:pPr>
                    <w:jc w:val="center"/>
                    <w:rPr>
                      <w:rFonts w:ascii="宋体" w:hAnsi="宋体"/>
                    </w:rPr>
                  </w:pPr>
                  <w:r>
                    <w:rPr>
                      <w:rFonts w:ascii="宋体" w:hAnsi="宋体"/>
                      <w:kern w:val="0"/>
                      <w:sz w:val="20"/>
                      <w:szCs w:val="20"/>
                    </w:rPr>
                    <w:t>2% 硝酸溶液</w:t>
                  </w:r>
                </w:p>
              </w:tc>
              <w:tc>
                <w:tcPr>
                  <w:tcW w:w="1486" w:type="dxa"/>
                  <w:noWrap w:val="0"/>
                  <w:vAlign w:val="center"/>
                </w:tcPr>
                <w:p>
                  <w:pPr>
                    <w:jc w:val="center"/>
                    <w:rPr>
                      <w:rFonts w:ascii="宋体" w:hAnsi="宋体"/>
                    </w:rPr>
                  </w:pPr>
                  <w:r>
                    <w:rPr>
                      <w:rFonts w:ascii="宋体" w:hAnsi="宋体"/>
                      <w:kern w:val="0"/>
                      <w:sz w:val="20"/>
                      <w:szCs w:val="20"/>
                    </w:rPr>
                    <w:t>≤</w:t>
                  </w:r>
                  <w:r>
                    <w:rPr>
                      <w:rFonts w:hint="eastAsia" w:ascii="宋体" w:hAnsi="宋体"/>
                      <w:kern w:val="0"/>
                      <w:sz w:val="20"/>
                      <w:szCs w:val="20"/>
                    </w:rPr>
                    <w:t>3</w:t>
                  </w:r>
                  <w:r>
                    <w:rPr>
                      <w:rFonts w:ascii="宋体" w:hAnsi="宋体"/>
                      <w:kern w:val="0"/>
                      <w:sz w:val="20"/>
                      <w:szCs w:val="20"/>
                    </w:rPr>
                    <w:t xml:space="preserve"> µg/L</w:t>
                  </w:r>
                </w:p>
              </w:tc>
            </w:tr>
          </w:tbl>
          <w:p>
            <w:pPr>
              <w:rPr>
                <w:rFonts w:hint="eastAsia" w:ascii="宋体" w:hAnsi="宋体"/>
              </w:rPr>
            </w:pPr>
          </w:p>
          <w:p>
            <w:pPr>
              <w:spacing w:line="360" w:lineRule="auto"/>
              <w:rPr>
                <w:rFonts w:ascii="宋体" w:hAnsi="宋体"/>
                <w:bCs/>
                <w:szCs w:val="21"/>
              </w:rPr>
            </w:pPr>
            <w:r>
              <w:rPr>
                <w:rFonts w:ascii="宋体" w:hAnsi="宋体"/>
                <w:bCs/>
                <w:szCs w:val="21"/>
              </w:rPr>
              <w:t>4．配置要求</w:t>
            </w:r>
          </w:p>
          <w:p>
            <w:pPr>
              <w:tabs>
                <w:tab w:val="left" w:pos="426"/>
              </w:tabs>
              <w:spacing w:line="360" w:lineRule="auto"/>
              <w:rPr>
                <w:rFonts w:ascii="宋体" w:hAnsi="宋体"/>
                <w:szCs w:val="21"/>
              </w:rPr>
            </w:pPr>
            <w:r>
              <w:rPr>
                <w:rFonts w:ascii="宋体" w:hAnsi="宋体"/>
                <w:szCs w:val="21"/>
              </w:rPr>
              <w:t>4.1等离子体发射光谱仪主机</w:t>
            </w:r>
            <w:r>
              <w:rPr>
                <w:rFonts w:hint="eastAsia" w:ascii="宋体" w:hAnsi="宋体"/>
                <w:szCs w:val="21"/>
              </w:rPr>
              <w:t>1套，包含以下部件：</w:t>
            </w:r>
          </w:p>
          <w:p>
            <w:pPr>
              <w:tabs>
                <w:tab w:val="left" w:pos="426"/>
              </w:tabs>
              <w:spacing w:line="360" w:lineRule="auto"/>
              <w:rPr>
                <w:rFonts w:ascii="宋体" w:hAnsi="宋体"/>
                <w:szCs w:val="21"/>
              </w:rPr>
            </w:pPr>
            <w:r>
              <w:rPr>
                <w:rFonts w:ascii="宋体" w:hAnsi="宋体"/>
                <w:szCs w:val="21"/>
              </w:rPr>
              <w:t>4.2等离子体</w:t>
            </w:r>
            <w:r>
              <w:rPr>
                <w:rFonts w:ascii="宋体" w:hAnsi="宋体"/>
              </w:rPr>
              <w:t>全彩色监测摄像装置1套</w:t>
            </w:r>
            <w:r>
              <w:rPr>
                <w:rFonts w:ascii="宋体" w:hAnsi="宋体"/>
                <w:szCs w:val="21"/>
              </w:rPr>
              <w:t>。</w:t>
            </w:r>
          </w:p>
          <w:p>
            <w:pPr>
              <w:tabs>
                <w:tab w:val="left" w:pos="426"/>
              </w:tabs>
              <w:spacing w:line="360" w:lineRule="auto"/>
              <w:rPr>
                <w:rFonts w:ascii="宋体" w:hAnsi="宋体"/>
                <w:szCs w:val="21"/>
              </w:rPr>
            </w:pPr>
            <w:r>
              <w:rPr>
                <w:rFonts w:ascii="宋体" w:hAnsi="宋体"/>
                <w:szCs w:val="21"/>
              </w:rPr>
              <w:t>4.3 双向观测外光路一套，在一次分析中可以同时进行轴向观测和径向观测，并同时给出测量结果。</w:t>
            </w:r>
          </w:p>
          <w:p>
            <w:pPr>
              <w:tabs>
                <w:tab w:val="left" w:pos="426"/>
              </w:tabs>
              <w:spacing w:line="360" w:lineRule="auto"/>
              <w:rPr>
                <w:rFonts w:ascii="宋体" w:hAnsi="宋体"/>
                <w:szCs w:val="21"/>
              </w:rPr>
            </w:pPr>
            <w:r>
              <w:rPr>
                <w:rFonts w:ascii="宋体" w:hAnsi="宋体"/>
                <w:szCs w:val="21"/>
              </w:rPr>
              <w:t>4.4 双向观测等离子体尾焰切割装置一套。</w:t>
            </w:r>
          </w:p>
          <w:p>
            <w:pPr>
              <w:tabs>
                <w:tab w:val="left" w:pos="426"/>
              </w:tabs>
              <w:spacing w:line="360" w:lineRule="auto"/>
              <w:rPr>
                <w:rFonts w:ascii="宋体" w:hAnsi="宋体"/>
                <w:szCs w:val="21"/>
              </w:rPr>
            </w:pPr>
            <w:r>
              <w:rPr>
                <w:rFonts w:ascii="宋体" w:hAnsi="宋体"/>
                <w:szCs w:val="21"/>
              </w:rPr>
              <w:t>4.5 40.68 MHz自激式固态射频发生器一套。</w:t>
            </w:r>
          </w:p>
          <w:p>
            <w:pPr>
              <w:tabs>
                <w:tab w:val="left" w:pos="426"/>
              </w:tabs>
              <w:spacing w:line="360" w:lineRule="auto"/>
              <w:rPr>
                <w:rFonts w:ascii="宋体" w:hAnsi="宋体"/>
                <w:szCs w:val="21"/>
              </w:rPr>
            </w:pPr>
            <w:r>
              <w:rPr>
                <w:rFonts w:ascii="宋体" w:hAnsi="宋体"/>
                <w:szCs w:val="21"/>
              </w:rPr>
              <w:t>4.6 节约氩气消耗，只需</w:t>
            </w:r>
            <w:r>
              <w:rPr>
                <w:rFonts w:hint="eastAsia" w:ascii="宋体" w:hAnsi="宋体"/>
                <w:szCs w:val="21"/>
              </w:rPr>
              <w:t>9</w:t>
            </w:r>
            <w:r>
              <w:rPr>
                <w:rFonts w:ascii="宋体" w:hAnsi="宋体"/>
                <w:szCs w:val="21"/>
              </w:rPr>
              <w:t>L/min氩气流量即可运行等离子体的平板一套。</w:t>
            </w:r>
          </w:p>
          <w:p>
            <w:pPr>
              <w:tabs>
                <w:tab w:val="left" w:pos="426"/>
              </w:tabs>
              <w:spacing w:line="360" w:lineRule="auto"/>
              <w:rPr>
                <w:rFonts w:ascii="宋体" w:hAnsi="宋体"/>
                <w:szCs w:val="21"/>
              </w:rPr>
            </w:pPr>
            <w:r>
              <w:rPr>
                <w:rFonts w:ascii="宋体" w:hAnsi="宋体"/>
                <w:szCs w:val="21"/>
              </w:rPr>
              <w:t>4.7 中阶梯分光系统一套。</w:t>
            </w:r>
          </w:p>
          <w:p>
            <w:pPr>
              <w:tabs>
                <w:tab w:val="left" w:pos="426"/>
              </w:tabs>
              <w:spacing w:line="360" w:lineRule="auto"/>
              <w:rPr>
                <w:rFonts w:ascii="宋体" w:hAnsi="宋体"/>
                <w:szCs w:val="21"/>
              </w:rPr>
            </w:pPr>
            <w:r>
              <w:rPr>
                <w:rFonts w:ascii="宋体" w:hAnsi="宋体"/>
                <w:szCs w:val="21"/>
              </w:rPr>
              <w:t xml:space="preserve">4.8 </w:t>
            </w:r>
            <w:r>
              <w:rPr>
                <w:rFonts w:hint="eastAsia" w:ascii="宋体" w:hAnsi="宋体"/>
                <w:szCs w:val="21"/>
              </w:rPr>
              <w:t>双</w:t>
            </w:r>
            <w:r>
              <w:rPr>
                <w:rFonts w:ascii="宋体" w:hAnsi="宋体"/>
                <w:szCs w:val="21"/>
              </w:rPr>
              <w:t>固态检测器一套。</w:t>
            </w:r>
          </w:p>
          <w:p>
            <w:pPr>
              <w:tabs>
                <w:tab w:val="left" w:pos="426"/>
              </w:tabs>
              <w:spacing w:line="360" w:lineRule="auto"/>
              <w:rPr>
                <w:rFonts w:ascii="宋体" w:hAnsi="宋体"/>
                <w:szCs w:val="21"/>
              </w:rPr>
            </w:pPr>
            <w:r>
              <w:rPr>
                <w:rFonts w:ascii="宋体" w:hAnsi="宋体"/>
                <w:szCs w:val="21"/>
              </w:rPr>
              <w:t xml:space="preserve">4.9 </w:t>
            </w:r>
            <w:r>
              <w:rPr>
                <w:rFonts w:hint="eastAsia" w:ascii="宋体" w:hAnsi="宋体"/>
                <w:szCs w:val="21"/>
              </w:rPr>
              <w:t>氰化物发生装置</w:t>
            </w:r>
            <w:r>
              <w:rPr>
                <w:rFonts w:ascii="宋体" w:hAnsi="宋体"/>
                <w:szCs w:val="21"/>
              </w:rPr>
              <w:t>一套。</w:t>
            </w:r>
          </w:p>
          <w:p>
            <w:pPr>
              <w:tabs>
                <w:tab w:val="left" w:pos="426"/>
              </w:tabs>
              <w:spacing w:line="360" w:lineRule="auto"/>
              <w:rPr>
                <w:rFonts w:ascii="宋体" w:hAnsi="宋体"/>
                <w:szCs w:val="21"/>
              </w:rPr>
            </w:pPr>
            <w:r>
              <w:rPr>
                <w:rFonts w:ascii="宋体" w:hAnsi="宋体"/>
                <w:szCs w:val="21"/>
              </w:rPr>
              <w:t>4.10 参比氖灯谱线分析一套。</w:t>
            </w:r>
          </w:p>
          <w:p>
            <w:pPr>
              <w:tabs>
                <w:tab w:val="left" w:pos="426"/>
              </w:tabs>
              <w:spacing w:line="360" w:lineRule="auto"/>
              <w:rPr>
                <w:rFonts w:ascii="宋体" w:hAnsi="宋体"/>
                <w:szCs w:val="21"/>
              </w:rPr>
            </w:pPr>
            <w:r>
              <w:rPr>
                <w:rFonts w:ascii="宋体" w:hAnsi="宋体"/>
                <w:szCs w:val="21"/>
              </w:rPr>
              <w:t>4.11 高精密度雾化器氩气流量控制质量流量计一套，流量控制调节步长0.01L/min。</w:t>
            </w:r>
          </w:p>
          <w:p>
            <w:pPr>
              <w:tabs>
                <w:tab w:val="left" w:pos="426"/>
              </w:tabs>
              <w:spacing w:line="360" w:lineRule="auto"/>
              <w:rPr>
                <w:rFonts w:ascii="宋体" w:hAnsi="宋体"/>
                <w:szCs w:val="21"/>
              </w:rPr>
            </w:pPr>
            <w:r>
              <w:rPr>
                <w:rFonts w:ascii="宋体" w:hAnsi="宋体"/>
                <w:szCs w:val="21"/>
              </w:rPr>
              <w:t>4.12</w:t>
            </w:r>
            <w:r>
              <w:rPr>
                <w:rFonts w:hint="eastAsia" w:ascii="宋体" w:hAnsi="宋体"/>
                <w:szCs w:val="21"/>
              </w:rPr>
              <w:t xml:space="preserve">  4</w:t>
            </w:r>
            <w:r>
              <w:rPr>
                <w:rFonts w:ascii="宋体" w:hAnsi="宋体"/>
                <w:szCs w:val="21"/>
              </w:rPr>
              <w:t>通道蠕动泵一套。</w:t>
            </w:r>
          </w:p>
          <w:p>
            <w:pPr>
              <w:tabs>
                <w:tab w:val="left" w:pos="426"/>
              </w:tabs>
              <w:spacing w:line="360" w:lineRule="auto"/>
              <w:rPr>
                <w:rFonts w:ascii="宋体" w:hAnsi="宋体"/>
                <w:szCs w:val="21"/>
              </w:rPr>
            </w:pPr>
            <w:r>
              <w:rPr>
                <w:rFonts w:ascii="宋体" w:hAnsi="宋体"/>
                <w:szCs w:val="21"/>
              </w:rPr>
              <w:t>4.13 可拆卸式炬管</w:t>
            </w:r>
            <w:r>
              <w:rPr>
                <w:rFonts w:hint="eastAsia" w:ascii="宋体" w:hAnsi="宋体"/>
                <w:szCs w:val="21"/>
              </w:rPr>
              <w:t>2</w:t>
            </w:r>
            <w:r>
              <w:rPr>
                <w:rFonts w:ascii="宋体" w:hAnsi="宋体"/>
                <w:szCs w:val="21"/>
              </w:rPr>
              <w:t>套。</w:t>
            </w:r>
          </w:p>
          <w:p>
            <w:pPr>
              <w:tabs>
                <w:tab w:val="left" w:pos="426"/>
              </w:tabs>
              <w:spacing w:line="360" w:lineRule="auto"/>
              <w:rPr>
                <w:rFonts w:ascii="宋体" w:hAnsi="宋体"/>
                <w:szCs w:val="21"/>
              </w:rPr>
            </w:pPr>
            <w:r>
              <w:rPr>
                <w:rFonts w:ascii="宋体" w:hAnsi="宋体"/>
                <w:szCs w:val="21"/>
              </w:rPr>
              <w:t>4.14 刚玉炬管中心管</w:t>
            </w:r>
            <w:r>
              <w:rPr>
                <w:rFonts w:hint="eastAsia" w:ascii="宋体" w:hAnsi="宋体"/>
                <w:szCs w:val="21"/>
              </w:rPr>
              <w:t>2</w:t>
            </w:r>
            <w:r>
              <w:rPr>
                <w:rFonts w:ascii="宋体" w:hAnsi="宋体"/>
                <w:szCs w:val="21"/>
              </w:rPr>
              <w:t>根。</w:t>
            </w:r>
          </w:p>
          <w:p>
            <w:pPr>
              <w:tabs>
                <w:tab w:val="left" w:pos="426"/>
              </w:tabs>
              <w:spacing w:line="360" w:lineRule="auto"/>
              <w:rPr>
                <w:rFonts w:ascii="宋体" w:hAnsi="宋体"/>
                <w:szCs w:val="21"/>
              </w:rPr>
            </w:pPr>
            <w:r>
              <w:rPr>
                <w:rFonts w:ascii="宋体" w:hAnsi="宋体"/>
                <w:szCs w:val="21"/>
              </w:rPr>
              <w:t>4.15进样泵管</w:t>
            </w:r>
            <w:r>
              <w:rPr>
                <w:rFonts w:hint="eastAsia" w:ascii="宋体" w:hAnsi="宋体"/>
                <w:szCs w:val="21"/>
              </w:rPr>
              <w:t>36</w:t>
            </w:r>
            <w:r>
              <w:rPr>
                <w:rFonts w:ascii="宋体" w:hAnsi="宋体"/>
                <w:szCs w:val="21"/>
              </w:rPr>
              <w:t>根，排废液泵管</w:t>
            </w:r>
            <w:r>
              <w:rPr>
                <w:rFonts w:hint="eastAsia" w:ascii="宋体" w:hAnsi="宋体"/>
                <w:szCs w:val="21"/>
              </w:rPr>
              <w:t>36</w:t>
            </w:r>
            <w:r>
              <w:rPr>
                <w:rFonts w:ascii="宋体" w:hAnsi="宋体"/>
                <w:szCs w:val="21"/>
              </w:rPr>
              <w:t>根，</w:t>
            </w:r>
            <w:r>
              <w:rPr>
                <w:rFonts w:hint="eastAsia" w:ascii="宋体" w:hAnsi="宋体"/>
                <w:szCs w:val="21"/>
              </w:rPr>
              <w:t>进样毛细管3米等。</w:t>
            </w:r>
          </w:p>
          <w:p>
            <w:pPr>
              <w:tabs>
                <w:tab w:val="left" w:pos="426"/>
              </w:tabs>
              <w:spacing w:line="360" w:lineRule="auto"/>
              <w:rPr>
                <w:rFonts w:ascii="宋体" w:hAnsi="宋体"/>
                <w:szCs w:val="21"/>
              </w:rPr>
            </w:pPr>
            <w:r>
              <w:rPr>
                <w:rFonts w:ascii="宋体" w:hAnsi="宋体"/>
                <w:szCs w:val="21"/>
              </w:rPr>
              <w:t xml:space="preserve">4.16 </w:t>
            </w:r>
            <w:r>
              <w:rPr>
                <w:rFonts w:hint="eastAsia" w:ascii="宋体" w:hAnsi="宋体"/>
                <w:szCs w:val="21"/>
              </w:rPr>
              <w:t>原装调试溶液1瓶</w:t>
            </w:r>
          </w:p>
          <w:p>
            <w:pPr>
              <w:tabs>
                <w:tab w:val="left" w:pos="426"/>
              </w:tabs>
              <w:spacing w:line="360" w:lineRule="auto"/>
              <w:rPr>
                <w:rFonts w:ascii="宋体" w:hAnsi="宋体"/>
                <w:szCs w:val="21"/>
              </w:rPr>
            </w:pPr>
            <w:r>
              <w:rPr>
                <w:rFonts w:ascii="宋体" w:hAnsi="宋体"/>
                <w:szCs w:val="21"/>
              </w:rPr>
              <w:t>4.17 空气、吹扫气、氩气专用连接管路各1套。</w:t>
            </w:r>
          </w:p>
          <w:p>
            <w:pPr>
              <w:tabs>
                <w:tab w:val="left" w:pos="426"/>
              </w:tabs>
              <w:spacing w:line="360" w:lineRule="auto"/>
              <w:rPr>
                <w:rFonts w:ascii="宋体" w:hAnsi="宋体"/>
                <w:szCs w:val="21"/>
              </w:rPr>
            </w:pPr>
            <w:r>
              <w:rPr>
                <w:rFonts w:ascii="宋体" w:hAnsi="宋体"/>
                <w:szCs w:val="21"/>
              </w:rPr>
              <w:t>4.18标准附件箱1套（包括炬管中心管定位工具、管路连接接头等）</w:t>
            </w:r>
            <w:r>
              <w:rPr>
                <w:rFonts w:hint="eastAsia" w:ascii="宋体" w:hAnsi="宋体"/>
                <w:szCs w:val="21"/>
              </w:rPr>
              <w:t>。</w:t>
            </w:r>
          </w:p>
          <w:p>
            <w:pPr>
              <w:tabs>
                <w:tab w:val="left" w:pos="426"/>
              </w:tabs>
              <w:spacing w:line="360" w:lineRule="auto"/>
              <w:rPr>
                <w:rFonts w:ascii="宋体" w:hAnsi="宋体"/>
                <w:szCs w:val="21"/>
              </w:rPr>
            </w:pPr>
            <w:r>
              <w:rPr>
                <w:rFonts w:hint="eastAsia" w:ascii="宋体" w:hAnsi="宋体"/>
                <w:szCs w:val="21"/>
              </w:rPr>
              <w:t>4.19品牌台式电脑及激光打印机一套</w:t>
            </w:r>
            <w:r>
              <w:rPr>
                <w:rFonts w:ascii="宋体" w:hAnsi="宋体"/>
                <w:szCs w:val="21"/>
              </w:rPr>
              <w:t>。</w:t>
            </w:r>
          </w:p>
          <w:p>
            <w:pPr>
              <w:tabs>
                <w:tab w:val="left" w:pos="426"/>
              </w:tabs>
              <w:spacing w:line="360" w:lineRule="auto"/>
              <w:rPr>
                <w:rFonts w:ascii="宋体" w:hAnsi="宋体"/>
                <w:szCs w:val="21"/>
              </w:rPr>
            </w:pPr>
            <w:r>
              <w:rPr>
                <w:rFonts w:ascii="宋体" w:hAnsi="宋体"/>
                <w:szCs w:val="21"/>
              </w:rPr>
              <w:t>4.20</w:t>
            </w:r>
            <w:r>
              <w:rPr>
                <w:rFonts w:hint="eastAsia" w:ascii="宋体" w:hAnsi="宋体"/>
                <w:szCs w:val="21"/>
              </w:rPr>
              <w:t xml:space="preserve"> 复宏无油静音</w:t>
            </w:r>
            <w:r>
              <w:rPr>
                <w:rFonts w:ascii="宋体" w:hAnsi="宋体"/>
                <w:szCs w:val="21"/>
              </w:rPr>
              <w:t>空气压缩和</w:t>
            </w:r>
            <w:r>
              <w:rPr>
                <w:rFonts w:hint="eastAsia" w:ascii="宋体" w:hAnsi="宋体"/>
                <w:szCs w:val="21"/>
              </w:rPr>
              <w:t>干燥机</w:t>
            </w:r>
            <w:r>
              <w:rPr>
                <w:rFonts w:ascii="宋体" w:hAnsi="宋体"/>
                <w:szCs w:val="21"/>
              </w:rPr>
              <w:t>各1套。</w:t>
            </w:r>
          </w:p>
          <w:p>
            <w:pPr>
              <w:tabs>
                <w:tab w:val="left" w:pos="426"/>
              </w:tabs>
              <w:spacing w:line="360" w:lineRule="auto"/>
              <w:rPr>
                <w:rFonts w:ascii="宋体" w:hAnsi="宋体"/>
                <w:szCs w:val="21"/>
              </w:rPr>
            </w:pPr>
            <w:r>
              <w:rPr>
                <w:rFonts w:ascii="宋体" w:hAnsi="宋体"/>
                <w:szCs w:val="21"/>
              </w:rPr>
              <w:t>4.2</w:t>
            </w:r>
            <w:r>
              <w:rPr>
                <w:rFonts w:hint="eastAsia" w:ascii="宋体" w:hAnsi="宋体"/>
                <w:szCs w:val="21"/>
              </w:rPr>
              <w:t>1莱伯泰科冷却循环水机1套</w:t>
            </w:r>
            <w:r>
              <w:rPr>
                <w:rFonts w:ascii="宋体" w:hAnsi="宋体"/>
                <w:szCs w:val="21"/>
              </w:rPr>
              <w:t>。</w:t>
            </w:r>
          </w:p>
          <w:p>
            <w:pPr>
              <w:tabs>
                <w:tab w:val="left" w:pos="426"/>
              </w:tabs>
              <w:spacing w:line="360" w:lineRule="auto"/>
              <w:rPr>
                <w:rFonts w:hint="eastAsia" w:ascii="宋体" w:hAnsi="宋体"/>
                <w:szCs w:val="21"/>
              </w:rPr>
            </w:pPr>
            <w:r>
              <w:rPr>
                <w:rFonts w:hint="eastAsia" w:ascii="宋体" w:hAnsi="宋体"/>
                <w:szCs w:val="21"/>
              </w:rPr>
              <w:t>4.22高纯氩气及减压阀2套</w:t>
            </w:r>
            <w:r>
              <w:rPr>
                <w:rFonts w:ascii="宋体" w:hAnsi="宋体"/>
                <w:szCs w:val="21"/>
              </w:rPr>
              <w:t>。</w:t>
            </w:r>
          </w:p>
          <w:p>
            <w:pPr>
              <w:rPr>
                <w:rFonts w:ascii="宋体" w:hAnsi="宋体"/>
              </w:rPr>
            </w:pPr>
          </w:p>
          <w:p>
            <w:pPr>
              <w:spacing w:line="360" w:lineRule="auto"/>
              <w:rPr>
                <w:rFonts w:ascii="宋体" w:hAnsi="宋体"/>
                <w:bCs/>
                <w:szCs w:val="21"/>
              </w:rPr>
            </w:pPr>
            <w:r>
              <w:rPr>
                <w:rFonts w:ascii="宋体" w:hAnsi="宋体"/>
                <w:bCs/>
                <w:szCs w:val="21"/>
              </w:rPr>
              <w:t>5．服务要求</w:t>
            </w:r>
          </w:p>
          <w:p>
            <w:pPr>
              <w:spacing w:line="360" w:lineRule="auto"/>
              <w:ind w:left="315" w:hanging="315" w:hangingChars="150"/>
              <w:rPr>
                <w:rFonts w:ascii="宋体" w:hAnsi="宋体"/>
                <w:szCs w:val="21"/>
              </w:rPr>
            </w:pPr>
            <w:r>
              <w:rPr>
                <w:rFonts w:ascii="宋体" w:hAnsi="宋体"/>
                <w:szCs w:val="21"/>
              </w:rPr>
              <w:t>5.1 安装、调试、维修</w:t>
            </w:r>
          </w:p>
          <w:p>
            <w:pPr>
              <w:spacing w:line="360" w:lineRule="auto"/>
              <w:rPr>
                <w:rFonts w:ascii="宋体" w:hAnsi="宋体"/>
                <w:szCs w:val="21"/>
              </w:rPr>
            </w:pPr>
            <w:r>
              <w:rPr>
                <w:rFonts w:ascii="宋体" w:hAnsi="宋体"/>
                <w:szCs w:val="21"/>
              </w:rPr>
              <w:t>5.1.1供货商在接到用户安装通知后，须在</w:t>
            </w:r>
            <w:r>
              <w:rPr>
                <w:rFonts w:hint="eastAsia" w:ascii="宋体" w:hAnsi="宋体"/>
                <w:szCs w:val="21"/>
              </w:rPr>
              <w:t>3</w:t>
            </w:r>
            <w:r>
              <w:rPr>
                <w:rFonts w:ascii="宋体" w:hAnsi="宋体"/>
                <w:szCs w:val="21"/>
              </w:rPr>
              <w:t>0工作日内安排有经验的工程师到现场安装仪器，并在</w:t>
            </w:r>
            <w:r>
              <w:rPr>
                <w:rFonts w:hint="eastAsia" w:ascii="宋体" w:hAnsi="宋体"/>
                <w:szCs w:val="21"/>
              </w:rPr>
              <w:t>3</w:t>
            </w:r>
            <w:r>
              <w:rPr>
                <w:rFonts w:ascii="宋体" w:hAnsi="宋体"/>
                <w:szCs w:val="21"/>
              </w:rPr>
              <w:t>0工作日内安装、调试完毕；</w:t>
            </w:r>
          </w:p>
          <w:p>
            <w:pPr>
              <w:spacing w:line="360" w:lineRule="auto"/>
              <w:rPr>
                <w:rFonts w:ascii="宋体" w:hAnsi="宋体"/>
                <w:szCs w:val="21"/>
              </w:rPr>
            </w:pPr>
            <w:r>
              <w:rPr>
                <w:rFonts w:ascii="宋体" w:hAnsi="宋体"/>
                <w:szCs w:val="21"/>
              </w:rPr>
              <w:t>5.1.2安装工程师对</w:t>
            </w:r>
            <w:r>
              <w:rPr>
                <w:rFonts w:hint="eastAsia" w:ascii="宋体" w:hAnsi="宋体"/>
                <w:szCs w:val="21"/>
              </w:rPr>
              <w:t>仪器原厂IPV</w:t>
            </w:r>
            <w:r>
              <w:rPr>
                <w:rFonts w:ascii="宋体" w:hAnsi="宋体"/>
                <w:szCs w:val="21"/>
              </w:rPr>
              <w:t>中提出的性能指标须逐项演示给用户；</w:t>
            </w:r>
          </w:p>
          <w:p>
            <w:pPr>
              <w:spacing w:line="360" w:lineRule="auto"/>
              <w:rPr>
                <w:rFonts w:ascii="宋体" w:hAnsi="宋体"/>
                <w:szCs w:val="21"/>
              </w:rPr>
            </w:pPr>
            <w:r>
              <w:rPr>
                <w:rFonts w:ascii="宋体" w:hAnsi="宋体"/>
                <w:szCs w:val="21"/>
              </w:rPr>
              <w:t>5.1.3安装、调试过程中，安装工程师有义务对用户讲解仪器的操作及注意事项；</w:t>
            </w:r>
          </w:p>
          <w:p>
            <w:pPr>
              <w:spacing w:line="360" w:lineRule="auto"/>
              <w:rPr>
                <w:rFonts w:ascii="宋体" w:hAnsi="宋体"/>
                <w:szCs w:val="21"/>
              </w:rPr>
            </w:pPr>
            <w:r>
              <w:rPr>
                <w:rFonts w:ascii="宋体" w:hAnsi="宋体"/>
                <w:szCs w:val="21"/>
              </w:rPr>
              <w:t>5.1.4 人员培训：厂商提供4</w:t>
            </w:r>
            <w:r>
              <w:rPr>
                <w:rFonts w:hint="eastAsia" w:ascii="宋体" w:hAnsi="宋体"/>
                <w:szCs w:val="21"/>
              </w:rPr>
              <w:t>个</w:t>
            </w:r>
            <w:r>
              <w:rPr>
                <w:rFonts w:ascii="宋体" w:hAnsi="宋体"/>
                <w:szCs w:val="21"/>
              </w:rPr>
              <w:t>工作日的培训</w:t>
            </w:r>
            <w:r>
              <w:rPr>
                <w:rFonts w:hint="eastAsia" w:ascii="宋体" w:hAnsi="宋体"/>
                <w:szCs w:val="21"/>
              </w:rPr>
              <w:t>一人次</w:t>
            </w:r>
            <w:r>
              <w:rPr>
                <w:rFonts w:ascii="宋体" w:hAnsi="宋体"/>
                <w:szCs w:val="21"/>
              </w:rPr>
              <w:t>，培训地点有厂商指定。</w:t>
            </w:r>
          </w:p>
          <w:p>
            <w:pPr>
              <w:spacing w:line="360" w:lineRule="auto"/>
              <w:rPr>
                <w:rFonts w:ascii="宋体" w:hAnsi="宋体"/>
                <w:szCs w:val="21"/>
              </w:rPr>
            </w:pPr>
            <w:r>
              <w:rPr>
                <w:rFonts w:ascii="宋体" w:hAnsi="宋体"/>
                <w:szCs w:val="21"/>
              </w:rPr>
              <w:t>5.1.5仪器维修：仪器自验收签字之日起，保修期1年。</w:t>
            </w:r>
          </w:p>
          <w:p>
            <w:pPr>
              <w:spacing w:line="360" w:lineRule="auto"/>
              <w:rPr>
                <w:rFonts w:ascii="宋体" w:hAnsi="宋体"/>
                <w:szCs w:val="21"/>
              </w:rPr>
            </w:pPr>
            <w:r>
              <w:rPr>
                <w:rFonts w:ascii="宋体" w:hAnsi="宋体"/>
                <w:szCs w:val="21"/>
              </w:rPr>
              <w:t>5.1.6 投标人提供给买方的货物必须是最新</w:t>
            </w:r>
            <w:r>
              <w:rPr>
                <w:rFonts w:hint="eastAsia" w:ascii="宋体" w:hAnsi="宋体"/>
                <w:szCs w:val="21"/>
              </w:rPr>
              <w:t>的</w:t>
            </w:r>
            <w:r>
              <w:rPr>
                <w:rFonts w:ascii="宋体" w:hAnsi="宋体"/>
                <w:szCs w:val="21"/>
              </w:rPr>
              <w:t>产品。</w:t>
            </w:r>
          </w:p>
          <w:p>
            <w:pPr>
              <w:spacing w:line="360" w:lineRule="auto"/>
              <w:rPr>
                <w:rFonts w:ascii="宋体" w:hAnsi="宋体"/>
                <w:szCs w:val="21"/>
              </w:rPr>
            </w:pPr>
            <w:r>
              <w:rPr>
                <w:rFonts w:ascii="宋体" w:hAnsi="宋体"/>
                <w:szCs w:val="21"/>
              </w:rPr>
              <w:t>5.1.7厂商须随机提供一套产品</w:t>
            </w:r>
            <w:r>
              <w:rPr>
                <w:rFonts w:hint="eastAsia" w:ascii="宋体" w:hAnsi="宋体"/>
                <w:szCs w:val="21"/>
              </w:rPr>
              <w:t>手册</w:t>
            </w:r>
            <w:r>
              <w:rPr>
                <w:rFonts w:ascii="宋体" w:hAnsi="宋体"/>
                <w:szCs w:val="21"/>
              </w:rPr>
              <w:t>资料。</w:t>
            </w:r>
          </w:p>
          <w:p>
            <w:pPr>
              <w:spacing w:line="360" w:lineRule="auto"/>
              <w:rPr>
                <w:rFonts w:ascii="宋体" w:hAnsi="宋体"/>
                <w:szCs w:val="21"/>
              </w:rPr>
            </w:pPr>
            <w:r>
              <w:rPr>
                <w:rFonts w:ascii="宋体" w:hAnsi="宋体"/>
                <w:szCs w:val="21"/>
              </w:rPr>
              <w:t>5.1.8厂商提供的所有计算机软件都须是正版软件，其软件必须有原始安装盘，且购买方合法拥有。</w:t>
            </w:r>
          </w:p>
          <w:p>
            <w:pPr>
              <w:widowControl/>
              <w:jc w:val="left"/>
              <w:textAlignment w:val="top"/>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753" w:type="pct"/>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离子色谱仪</w:t>
            </w:r>
          </w:p>
        </w:tc>
        <w:tc>
          <w:tcPr>
            <w:tcW w:w="3942" w:type="pc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1、仪器基本功能：适用于食品、水等样品中的阴、阳离子机酸及有机胺类物质的分析；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 系统要求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1.1.1 仪器组成：自动进样器、电子六通道进样阀、电导检测器、高压泵、抑制器、阴离子分析柱及保护柱、阴离子分析柱及保护柱、原装进口蠕动泵、工作站（含原版中文和英文系统操控软件）、在线超滤系统等。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1.1.2 整机原装进口；离子色谱流路均采用原厂PEEK/PTFE材质，须包括分析泵本身及分析泵后至六通阀、色谱柱、抑制器、检测器之间的所有管路，不得国内改装。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1.1.3 高压泵、色谱柱、检测器具有智能芯片技术，须有实物，不可采用软件虚拟功能替代。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★1.1.4 整套系统无需使用任何辅助高纯气体。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 工作环境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 工作电压：AC 220V±10％， 50Hz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 环境温度： +5 ~ +45℃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 环境湿度：20%~80%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 高压泵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1.3.1 采用化学惰性的peek 无阻尼泵头，PEEK 管路，最大操作压力：35MPa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★1.3.2 流速范围优于0.001-10mL/min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1.3.3流速最小分度值：0.001mL/min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1.3.4 重现性：﹤0.1%与设定值偏差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1.3.5 需配备智能芯片，能进行流量智能优化，须有实物，不可采用软件虚拟功能替代。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 电导检测器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1.4.1 类型：数字信号控制处理器，全量程检测；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1.4.2 检测范围：0~15000μS/cm；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1.4.3 线性偏差：﹤0.1%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1.4.4 温度补偿： 0-5%/K，可任意调节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1.4.5 电子噪音：﹤0.1ns/cm（0—15000μS/cm）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1.4.6 电导池体积：≤1μL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★1.4.7 温度稳定性：≤0.001℃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1.4.8 需配备智能芯片，可以储存样本色谱图，用于软件验证或培训，须有实物，不可采用软件虚拟功能替代。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 抑制器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1.5.1 自动连续化学抑制器：自动连续再生，能够降低淋洗液背景电导，具有高容量，自动清洗，低背景电导，低噪声和稳定的基线；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★1.5.2 长寿命，9年以上无条件保用保换（提供厂商用户承诺书加盖公章）；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1.5.3 耐有机溶剂，可以在洗脱液中添加25%甲醇、丙酮等有机溶剂增加离子的分离效果；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1.5.4 耐重金属毒害，分析土壤浸取液等样品，无须去除重金属；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1.5.5 非膜材料结构，抑制过程不使用电解方式, 避免电解噪音的产生，无样品分析任务时无须开机润洗维护。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 原装进口蠕动泵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1.6.1 数量：1 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1.6.2 类型：阴离子以及阳离子；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1.6.3 旋转速度：0-40 转/分钟，共7 种调速级，每级6转/分钟；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色谱分析柱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1.7.1 阴离子分离柱及保护柱1 套，一次进样完成F¯、Cl¯、Br¯、NO3-、NO2- 、PO43- 、SO42-、氯酸盐等阴离子分析；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1.7.2阳离子分离柱，可完成Na+、K+、Ca2+、Mg2+、NH4+、等阳离子的分析。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1.7.3 色谱柱必须含有智能芯片，即插即显示，显示序列号、建议流速、使用的次数等信息；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1.7.4 需和非膜抑制器联用，具有低噪声和稳定的基线，无样品分析任务时无须开机润洗维护；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1.7.5 需配置柱温箱，温度可调。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1.8 配自动进样器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1.8.1 样品位：35位以上；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1.8.2 每次最大进样量：≥10ml，可满足在线样品预处理要求；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1.8.3 进样方式：原装进口蠕动泵进样；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1.8.4 自动进样器针头材质必须为PEEK 材料，避免引入其他离子污染;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★1.8.5 在线样品前处理系统—在线样品超滤装置，可直接进样，无需手动过滤;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 智能化色谱工作站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1.9.1 功能：可自动识别所有智能组件，并读取其最佳参数信息；仪器控制和数据处理完全由软件进行；可编制分析方式和顺序、色谱图积分和分析报告；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1.9.2 必须具有原版中文和英文软件；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1.9.3 软件提供免费升级服务；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2.配置要求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2.1智能型串联双柱塞泵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2.2脉冲阻尼器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2.3电磁六通阀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2.4智能型电导检测器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2.5化学抑制器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2.6原装中、英文工作站软件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2.7原厂双通道蠕动泵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2.8阴离子分离柱以及保护柱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2.9阳离子分离柱以及保护柱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 20ul微升定量环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2.11备品备件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2.11.1洗脱液滤芯（5个/包）                      2包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2.11.2在线过滤器滤芯（10个/包）                 2包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2.11.3品牌商用电脑及打印机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2.11.4真空泵、溶剂过滤器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2.11.5 外置柱温箱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 自动进样器主机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2.12.1 自动进样盘                                  1个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2.12.2 样品前处理装置（在线过滤）                  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2.12.3样品管                                      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753" w:type="pct"/>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顶空-气相色谱仪</w:t>
            </w:r>
          </w:p>
        </w:tc>
        <w:tc>
          <w:tcPr>
            <w:tcW w:w="3942" w:type="pc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1、工作条件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 电源：220V，50Hz电源；</w:t>
            </w:r>
            <w:r>
              <w:rPr>
                <w:rFonts w:hint="eastAsia" w:ascii="宋体" w:hAnsi="宋体" w:eastAsia="宋体" w:cs="宋体"/>
                <w:color w:val="000000"/>
                <w:szCs w:val="21"/>
              </w:rPr>
              <w:tab/>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1.2 环境温度：4-55˚C；</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1.3 环境湿度：&lt;95%。</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 性能参数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★2.1采用图形化设计的触摸式彩屏控制界面，整个仪器的工作流程和运行所需的全部参数，包括分析方法的编辑，储存，调用等操作都可同一彩屏控制界面设定，而且可实时显示设定值和真实值。</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2.1.1 保留时间重现性：&lt;0.008%或&lt;0.0008min </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2.1.2 峰面积重现性：&lt;1% RSD </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2.2、分流/不分流进样口</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2.2.1、具有电子流量控制功能，气路的压力、流量分流比可由软件控制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2.2.2、样口最高温度  450℃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2.3、柱温箱</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2.3.1温度：室温+3℃～450℃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2.3.2 温度控制精度：0.1°C</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2.3.3最大升温速率：140℃/min</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★2.3.4柱温箱冷却时间：从450°C降温至50°C，小于150s(室温)</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2.4 FID检测器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2.4.1 最低检测限：≤3×10-12 gC/sec壬烷，信噪比：2:1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2.4.2工作温度：100℃~450℃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2.4.3 线性范围：＞107</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2.4.4  毛细管柱不需加尾吹气</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 2.5 ECD电子捕获检测器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 2.5.1 离子源：15mCi63 Ni</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2.5.2   最高温度450°C</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★2.5.3   最低检测限：＜5 ×10-14全氯乙烯</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2.5.4   线性动态范围：＞104</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2.5.5   工作温度：100~450度</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2.6自动进样器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2.6.1具有样品制备功能（包括稀释、添加内标、混合、溶剂添加），可消除不同操作员之间工作的差异性，减少重复工作</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2.6.2 样品位:100位以上</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★2.6.3不需移动机位即可对两个进样口分别进样，待机状态不占进样口，方便手动进样</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2.7、中文版工作站</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2.7.1、可控制气相色谱主机及顶空进样器等。</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2.7.2、可以安装在Windows操作系统下，且是中文版。</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2.7.3、文数据库：强大的数据管理功能，保证数据的完整性和安全性。原始数据、仪器条件和处理参数等信息的关联由软件自动建立，用户无需记忆就能找到相应的信息。在数据库中，用户可以采用各种检索方式从大量的数据中取出想要的数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2.8全自动顶空进样器 一套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★2.8.1、样品托盘：44 位</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2.8.2、顶空品体积：20ml（10ml 配可移动式转换器）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 xml:space="preserve"> 2.8.3、定量方法：阀件和定量管（valve and loop），电驱动六通阀，温度范围 50-200℃，增量为 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2.8.4、采样管：镍，0.5ml、1ml、3ml 可更换。</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★2.8.5、样品加热平衡炉：6 位，空气加热，温度范围 40-200℃，增量 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2.8.6、传输线：镍管，温度范围 50-220℃，增量 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2.8.7、样品搅拌：若需要有两级</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2.8.8、样品途径：所有都是镍管，阀件头 AISI 316 SS</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2.8.9、方法：可储存 9 种</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2.8.10、自动优化恒定时间和炉温</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2.8.11、控制界面：RS232 通讯，样品数 BCD 输出</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2.8.12、控制信号：直读数字压力表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rPr>
              <w:tab/>
            </w:r>
            <w:r>
              <w:rPr>
                <w:rFonts w:hint="eastAsia" w:ascii="宋体" w:hAnsi="宋体" w:eastAsia="宋体" w:cs="宋体"/>
                <w:color w:val="000000"/>
                <w:szCs w:val="21"/>
              </w:rPr>
              <w:t>2.8.13、操作模式：最大输出自优化，恒定加热时间</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3、配置要求：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 、原装进口气相色谱仪和不小于6个加热位的44位全自动顶空进样器一套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3.1.1、FID检测器1套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3.1.2、ECD检测器1套，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3.1.3、中文系统软件1套；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3.1.4、起始工具包1套；</w:t>
            </w:r>
            <w:r>
              <w:rPr>
                <w:rFonts w:hint="eastAsia" w:ascii="宋体" w:hAnsi="宋体" w:eastAsia="宋体" w:cs="宋体"/>
                <w:color w:val="000000"/>
                <w:szCs w:val="21"/>
              </w:rPr>
              <w:tab/>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3.1.5、分析预柱2根</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3.1.6、分析柱2根</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3.1.7、氧过滤装置、烃过滤装置、水过滤装置各一套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3.2 、 国内配套部分：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3.2.1、品牌电脑（配置不低于I3 双核、4G 内存、500G 硬盘、21 寸显示器以及win7 专业版系统）1套；品牌激光打印A4 幅面打印机 1 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3.2.2、氢气发生器1套；空气发生器1套，氮气及氮气瓶含减压阀一套。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4．服务要求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 安装、调试、维修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4.1.1供货商在接到用户安装通知后，须在30工作日内安排有经验的工程师到现场安装仪器，并在30工作日内安装、调试完毕；</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4.1.2安装工程师对仪器原厂IPV中提出的性能指标须逐项演示给用户；</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4.1.3安装、调试过程中，安装工程师有义务对用户讲解仪器的操作及注意事项；</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4.1.4 人员培训：厂商提供4个工作日的培训一人次，培训地点由厂商指定。</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4.1.5仪器维修：仪器自验收签字之日起，保修期1年。</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4.1.6 投标人提供给买方的货物必须是最新的产品。</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4.1.7厂商须随机提供一套产品手册资料。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单通道移液器（支）</w:t>
            </w:r>
          </w:p>
        </w:tc>
        <w:tc>
          <w:tcPr>
            <w:tcW w:w="0" w:type="auto"/>
            <w:shd w:val="clear" w:color="auto" w:fill="auto"/>
            <w:vAlign w:val="center"/>
          </w:tcPr>
          <w:p>
            <w:pPr>
              <w:widowControl/>
              <w:jc w:val="left"/>
              <w:textAlignment w:val="center"/>
              <w:rPr>
                <w:rFonts w:ascii="宋体" w:hAnsi="宋体" w:eastAsia="宋体" w:cs="宋体"/>
                <w:color w:val="000000"/>
                <w:szCs w:val="21"/>
              </w:rPr>
            </w:pPr>
            <w:r>
              <w:rPr>
                <w:rStyle w:val="78"/>
                <w:rFonts w:hint="default"/>
                <w:sz w:val="21"/>
                <w:szCs w:val="21"/>
                <w:lang w:bidi="ar"/>
              </w:rPr>
              <w:t>1.卓越人体工程学设计，重量轻</w:t>
            </w:r>
            <w:r>
              <w:rPr>
                <w:rStyle w:val="78"/>
                <w:rFonts w:hint="default"/>
                <w:sz w:val="21"/>
                <w:szCs w:val="21"/>
                <w:lang w:bidi="ar"/>
              </w:rPr>
              <w:br w:type="textWrapping"/>
            </w:r>
            <w:r>
              <w:rPr>
                <w:rStyle w:val="78"/>
                <w:rFonts w:hint="default"/>
                <w:sz w:val="21"/>
                <w:szCs w:val="21"/>
                <w:lang w:bidi="ar"/>
              </w:rPr>
              <w:t xml:space="preserve">2.显著减少手、手臂和肩膀用力，避免手部重复性劳损（RSI） </w:t>
            </w:r>
            <w:r>
              <w:rPr>
                <w:rStyle w:val="78"/>
                <w:rFonts w:hint="default"/>
                <w:sz w:val="21"/>
                <w:szCs w:val="21"/>
                <w:lang w:bidi="ar"/>
              </w:rPr>
              <w:br w:type="textWrapping"/>
            </w:r>
            <w:r>
              <w:rPr>
                <w:rStyle w:val="78"/>
                <w:rFonts w:hint="default"/>
                <w:sz w:val="21"/>
                <w:szCs w:val="21"/>
                <w:lang w:bidi="ar"/>
              </w:rPr>
              <w:t xml:space="preserve">3.可整支高温高压灭菌和紫外线灭菌，操作更安全 </w:t>
            </w:r>
            <w:r>
              <w:rPr>
                <w:rStyle w:val="78"/>
                <w:rFonts w:hint="default"/>
                <w:sz w:val="21"/>
                <w:szCs w:val="21"/>
                <w:lang w:bidi="ar"/>
              </w:rPr>
              <w:br w:type="textWrapping"/>
            </w:r>
            <w:r>
              <w:rPr>
                <w:rStyle w:val="78"/>
                <w:rFonts w:hint="default"/>
                <w:sz w:val="21"/>
                <w:szCs w:val="21"/>
                <w:lang w:bidi="ar"/>
              </w:rPr>
              <w:t>★4.新增伸缩式弹性吸嘴设计，确保吸头装配的气密性和移液均一性</w:t>
            </w:r>
            <w:r>
              <w:rPr>
                <w:rStyle w:val="78"/>
                <w:rFonts w:hint="default"/>
                <w:sz w:val="21"/>
                <w:szCs w:val="21"/>
                <w:lang w:bidi="ar"/>
              </w:rPr>
              <w:br w:type="textWrapping"/>
            </w:r>
            <w:r>
              <w:rPr>
                <w:rStyle w:val="78"/>
                <w:rFonts w:hint="default"/>
                <w:sz w:val="21"/>
                <w:szCs w:val="21"/>
                <w:lang w:bidi="ar"/>
              </w:rPr>
              <w:t>★5.独有密度调节窗口，适用于甘油、氯化铯等不同密度的液体，通用性更广泛</w:t>
            </w:r>
            <w:r>
              <w:rPr>
                <w:rStyle w:val="78"/>
                <w:rFonts w:hint="default"/>
                <w:sz w:val="21"/>
                <w:szCs w:val="21"/>
                <w:lang w:bidi="ar"/>
              </w:rPr>
              <w:br w:type="textWrapping"/>
            </w:r>
            <w:r>
              <w:rPr>
                <w:rStyle w:val="78"/>
                <w:rFonts w:hint="default"/>
                <w:sz w:val="21"/>
                <w:szCs w:val="21"/>
                <w:lang w:bidi="ar"/>
              </w:rPr>
              <w:t xml:space="preserve">6.四位数字放大体积显示，位置合理，便于移液时观察 </w:t>
            </w:r>
            <w:r>
              <w:rPr>
                <w:rStyle w:val="78"/>
                <w:rFonts w:hint="default"/>
                <w:sz w:val="21"/>
                <w:szCs w:val="21"/>
                <w:lang w:bidi="ar"/>
              </w:rPr>
              <w:br w:type="textWrapping"/>
            </w:r>
            <w:r>
              <w:rPr>
                <w:rStyle w:val="78"/>
                <w:rFonts w:hint="default"/>
                <w:sz w:val="21"/>
                <w:szCs w:val="21"/>
                <w:lang w:bidi="ar"/>
              </w:rPr>
              <w:t>7.采用Perfect Piston</w:t>
            </w:r>
            <w:r>
              <w:rPr>
                <w:rStyle w:val="81"/>
                <w:rFonts w:hint="default"/>
                <w:sz w:val="21"/>
                <w:szCs w:val="21"/>
                <w:lang w:bidi="ar"/>
              </w:rPr>
              <w:t>™</w:t>
            </w:r>
            <w:r>
              <w:rPr>
                <w:rStyle w:val="78"/>
                <w:rFonts w:hint="default"/>
                <w:sz w:val="21"/>
                <w:szCs w:val="21"/>
                <w:lang w:bidi="ar"/>
              </w:rPr>
              <w:t xml:space="preserve">系统的高科技材质，坚固耐用，耐高温抗腐蚀 </w:t>
            </w:r>
            <w:r>
              <w:rPr>
                <w:rStyle w:val="78"/>
                <w:rFonts w:hint="default"/>
                <w:sz w:val="21"/>
                <w:szCs w:val="21"/>
                <w:lang w:bidi="ar"/>
              </w:rPr>
              <w:br w:type="textWrapping"/>
            </w:r>
            <w:r>
              <w:rPr>
                <w:rStyle w:val="78"/>
                <w:rFonts w:hint="default"/>
                <w:sz w:val="21"/>
                <w:szCs w:val="21"/>
                <w:lang w:bidi="ar"/>
              </w:rPr>
              <w:t>★8.多道移液器具备独立活塞设计，每个通道可单独拆卸，灵活性更高，节省维修成本</w:t>
            </w:r>
            <w:r>
              <w:rPr>
                <w:rStyle w:val="78"/>
                <w:rFonts w:hint="default"/>
                <w:sz w:val="21"/>
                <w:szCs w:val="21"/>
                <w:lang w:bidi="ar"/>
              </w:rPr>
              <w:br w:type="textWrapping"/>
            </w:r>
            <w:r>
              <w:rPr>
                <w:rStyle w:val="78"/>
                <w:rFonts w:hint="default"/>
                <w:sz w:val="21"/>
                <w:szCs w:val="21"/>
                <w:lang w:bidi="ar"/>
              </w:rPr>
              <w:t>9.0.1-2.5μl、0.5-10μl、2-20μl、10-100μl、20-200μl、30-300μl、100-1000μl可选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干烤灭菌箱</w:t>
            </w:r>
          </w:p>
        </w:tc>
        <w:tc>
          <w:tcPr>
            <w:tcW w:w="0" w:type="auto"/>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1.用途：常规实验样品干燥；烘箱干燥法干燥失重；微生物实验室用于烘箱干热灭菌；制药行业用于器具高温法除热源。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 工作环境温度10-30℃；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 电源220-240V。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 LCD液晶显示屏，实时显示设定温度和实际温度值、运行状态、风机段数、工作状态，BRIGHT I控制系统，可根据环境改变，对控制参数值进行自动补偿；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★3.2具备倒计时预约功能，预约时间范围为99小时59分钟；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3.3可编程设计：10段100周期程序设定，标配有1个485接口；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★3.4 双重超温报警功能（a.通过温度传感器系统控制，b.独立温控开关），确保无人值守时设备能够安全运行；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★3.5风机5段调速，可保证不同风速的要求，避免粉尘样品扬尘造成样品损耗；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★3.6 预热腔设计，空气加热混合后直接进入工作室，确保快速升温及良好的热分布效果；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3.7控温范围：≥RT+5～300℃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3.8升温时间（150℃）：≤20min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★3.9温度均匀性（150℃）：≤±1.9℃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3.10温度波动度（150℃）：≤±0.3℃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★3.11 30S恢复时间（150℃）：≤8min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3.12额定功率（kW）：≤1.8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3.13容积：≥130L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★3.14生产商资质要求： ISO9001质量体系认证、ISO3485质量体系认证、CE认证、高新新技术企业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配置清单：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4.1主机一台；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4.2载物托架两块；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4.3说明书一份；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4.4保修卡、合格证各一份；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高压灭菌器</w:t>
            </w:r>
          </w:p>
        </w:tc>
        <w:tc>
          <w:tcPr>
            <w:tcW w:w="0" w:type="auto"/>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★1、容量：≥90L，底部带脚轮，易移动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★2、灭菌腔尺寸(直径×高度)mm：Ф400×730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3、灭菌工作温度：105℃～138℃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4、灭菌时间预置范围：1分钟～6000分钟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5、定时器预置范围：0分钟至需使用时间（年月日时分）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★6、压力（因特种设备，此条必须满足）：腔体设计压力≥0.35Mpa。每台产品对应编号都有生产厂家产品质量证明书原件和特种设备制造监督检验部门出具对应编号的证书原件，有过程设备设计计算书和竣工图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★7、压力安全保护：两路独立管路测量控制，双重压力保护，电子式及机械式，安全阀起跳压力0.31Mpa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8、灭菌模式：固体模式：加热→灭菌→排汽、风冷  固体带干燥模式（选配）：加热→灭菌→排水、排汽→干燥 液体模式：加热→灭菌→预冷→排汽  液体带保温模式：加热→灭菌→预冷→排汽→保温   废弃物模式：加热→灭菌→排汽    琼脂模式：加热→融化→保温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★9、排汽模式：全自动内排，内置蒸汽冷凝液收集瓶，前置集水桶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★10、开盖方式：独特的八柱式联锁装置（具有国家专利证书），翻盖式开关盖（上掀下压式开关盖），触拨式把手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★11、控制器及记忆存储功能：6个固有操作模式，82个可修改模式，共计88个存储记忆；可对仪器按照用户，管理员，工程师三级进行管理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12、安全装置：门锁联锁装置；闭盖检查；干烧保护；水位传感器监测；电子过压保护；机械式安全阀；过温与升温保护；过流、短路保护；漏电保护；冷却锁；防烫伤安全保护；自动故障检测系统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13、配置：2个不锈钢提篮，1个冷凝液收集瓶，1块水位板，1根排水软管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14、可选购配件：物品温度计，打印机，USB数据导出曲线成图，压力传感器，冷却风扇，3Q验证转接头，厂家供3Q验证服务和第三方3Q验证服务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技术支持及服务：产品保修期为12个月，在保修期内供方将免费维修和更换属质量原因造成的零部件损坏，保修期外零部件的损坏，供方维修或提供的配件均按成本价计。在保修期外公司技术人员每年回访调查用户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1/万电子天平</w:t>
            </w:r>
          </w:p>
        </w:tc>
        <w:tc>
          <w:tcPr>
            <w:tcW w:w="0" w:type="auto"/>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1.称重能力： 220g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2.可读性:   0.1 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3.重复性:   0.1 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4.线性误差：  ±0.2mg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5.校准方式：自动外部校准。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6.典型最小称量值(USP K=2, U=0.10%)：200mg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7.防风罩: 5面玻璃风罩，方便拆卸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★8.显示屏：可调亮度的超宽背光LCD双行显示屏，第二行显示天平菜单信息及操作步骤提示，方便操作。支持中文显示操作界面，及其他4种语言显示。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9.标配：RS232和USB接口，GLP/GMP实时时钟输出，方便与电脑、PLC、打印机通讯。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★10.系统带量程指示条，可编辑项目ID和用户ID，超载/负载提示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11.称量模式:  基础称量、计件称量、百分比称量、检重称重、动物称量、密度测定，下挂式称量，称量指示条。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★12.称量室上方标配红色ESR静电消除条，称量前触摸静电消除条，可去除人体静电，避免人体静电对称量的影响。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13.称盘尺寸:   直径 90mm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14.铝压铸金属基座，不锈钢立柱，不锈钢秤盘和防风圈，防盗锁，坚固耐用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★15.通讯兼容命令：天平称量信息输出格式兼容其他品牌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★16.可选环境滤波参数，动态温度补偿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 安全认证证书: IEC/EN 61010-1; CAN/CSA C22.2 61010-1; UL 61010-1 电磁兼容: IEC/EN 61326-1 Class B, Basic Environments; FCC Part 15 Class A; Canada ICES-003 Class A  认证标识: CE; CSA; RCM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（为保证后续的售后服务，需制造厂家提供授权书原件，iso9001质量认证，计量许可证，售后服务承诺书）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PH/离子选择电极测定仪</w:t>
            </w:r>
          </w:p>
        </w:tc>
        <w:tc>
          <w:tcPr>
            <w:tcW w:w="0" w:type="auto"/>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1.测量范围:0.000~14.000PH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2.测量范围:-1999.9mv~1999.9mv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3.温度范围:-5.0~105.0℃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4.ph精度:0.1ph-0.01ph-0.001ph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5.mv精度:0.1mv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6.温度精度:0.1℃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7.PH误差:±0.005PH±1个字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8.MV误差:±0.2mV (±399.9mV范围内) ±0.03% FS (其它范围内)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9.温度误差:±0.3℃±1个字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10.输入阻抗:≥3*10(12)Ω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11.稳定性:±0.005PH±1个字/3h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12.温度测量范围:-5.0-105.0℃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13.温度补偿范围:(-5.0～105.0)℃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14.温度补偿方式:手动-自动温度补偿功能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15.配套电极:E-301-D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16.温度精度:0.1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17.校准点:1-2点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18.电源电压:直流通用电源9VDC-300mA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19.外形尺寸:290*200*70mm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10.重量:1kg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超声波清洗器</w:t>
            </w:r>
          </w:p>
        </w:tc>
        <w:tc>
          <w:tcPr>
            <w:tcW w:w="0" w:type="auto"/>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1.清洗槽内尺寸：500×300×150mm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2.容量：22.5L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3.超声频率：40KHz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4.超声功率:600W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5.加热功率：800W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6.温度设定范围：室温-80°C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7.时间可调范围：1-99 min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8.排水：有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9.降音盖：有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10.网篮：有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可见分光光度计</w:t>
            </w:r>
          </w:p>
        </w:tc>
        <w:tc>
          <w:tcPr>
            <w:tcW w:w="0" w:type="auto"/>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一、仪器配置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主机（含自动8联池或5联池比色架）     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1CM石英比色皿                         2只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功能扩展卡                             1张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二、仪器技术参数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1.波长范围： 325～1100nm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2.波长重复性：≤0.4nm；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3.光谱带宽： 2nm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4.杂散光： ≤0.1%T；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5.光度准确度：±0.002A(0-0.5A)；±0.004A(0.5-1A)；±0.3%T(0-100%T)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6.光度重复性：≤0.001A(0-0.5A)；≤0.002A(0.5-1A)；≤0.15%T(0-100%T)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8.光度噪声: ±0.001Abs/h(500nm,P-P)，开机预热半小时后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9.基线平直度：±0.002A(325-1000nm)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10.基线漂移：≤0.002Abs/h(500nm,0Abs ，预热2小时后)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0" w:type="auto"/>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0" w:type="auto"/>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流动注射分析仪</w:t>
            </w:r>
          </w:p>
        </w:tc>
        <w:tc>
          <w:tcPr>
            <w:tcW w:w="0" w:type="auto"/>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 xml:space="preserve">1.仪器用途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主要用于地表水、地下水、饮用水、生活污水和工业废水中总氰化物、氰化物、挥发酚、阴离子洗涤剂、总磷、总氮、氨氮、六价铬、硫化物、硝酸盐、亚硝酸盐和COD（Mn）等项目的全自动分析。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2.仪器原理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试样与试剂在蠕动泵的推动下进入化学反应模块，在密闭的管路中连续流动，被气泡按一定间隔规律地隔开，并按特定的顺序和比例混合、反应，显色完全后进入流动检测池进行光度检测。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3.技术指标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（1）总氰化物分析仪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方法原理：异烟酸-巴比妥酸分光光度法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线性范围：0.001～0.2mg/L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检出限：≦0.0005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精密度：≦1%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样品分析频率：20样/小时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线性相关系数：优于0.999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（2）挥发酚分析仪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方法原理：4-氨基安替比林分光光度法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线性范围：0.001～0.2mg/L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检出限：≦0.0005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精密度：≦1%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样品分析频率：20样/小时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线性相关系数：优于0.999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（3）阴离子洗涤剂分析仪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方法原理：亚甲基蓝分光光度法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线性范围：0.02～1.5mg/L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检出限：≦0.005 mg/L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样品分析频率：12样/小时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精密度：≦2%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线性相关系数：≥0.999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氨氮膜法与环保部标准方法一致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4.技术要求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（1）检测项目模块独立化设计，反应过程全程密闭，支持两个项目同时检测；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（2）专业的外观设计，结构紧凑，布局合理，便于操作和维修；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（3）安全防护罩设计，可有效避免可能的试剂泄露导致的人员伤害，保障使用安全；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★（4）采用国际先进的空气间隔流动技术，使样品反应完全，减少样品残留，避免样品相互干扰（提供图片证明）；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仪器全稳态检测，可以使待测品反应完全，得到较高灵敏度，稳定性好，与国标方法原理完全一致；完全在线的样品前处理工作，功能全面，涵盖在线加样、混合、加热、紫外消解、蒸馏、透析、萃取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★（6）吹脱蒸馏装置，可迅速完成样品的蒸馏收集工作，效率高、寿命长，尤其适用于基体复杂的污水分析检测；（提供证明文件）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（7）内径为2mm的玻璃混合圈，具有非常好的通过性和化学惰性，记忆效应小，不易堵塞；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（8）高效的在线紫外消解装置，可快速完成复杂样品的分解与转化，满足在线检测要求；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★（9）配备国产180位自动进样器（提供图片证明）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（10）特殊设计的气泡排除装置，避免气泡进入检测器影响光度检测；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★（11）样品和试剂无需过滤和脱气可直接进样，极大地减少了工作量；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★（12）对试剂要求不严格，普遍采用国产分析纯试剂，厂家提供试剂配置方案，协助用户对试剂进行选择；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★（13）采用低功耗LED光源，光源能量强，稳定性好；（提供证明文件）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★（14）全谱直读CCD 检测器，支持多种触发模式，灵敏度高，稳定性好，无光谱干扰，波长范围350～1100nm；无须使用滤光片，滤光片需防尘防潮，定期检定，减少维护工作量（提供证明文件）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（15）双光束双波长检测方式，并可任意选择参比波长；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（16）最快每秒1000幅全光谱扫描，USB接口，便捷快速的数据传输；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（17）光信号传输采用低损耗、速度快、灵敏度高且寿命长的光纤；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（18）整体压块式高精度蠕动泵，取压一体，简单便捷，传输一致性好，传输精度高；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（19）采用3卡口双桥式泵管，较常规泵管寿命加长，成本降低，节省维护时间；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（20）进样器采样针采用碳纤维材质，耐腐蚀，寿命长，针身轻便、不易折断，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（21）进样器有进口和国产两种可选，进样快速准确，自动清洗且清洗液自动更换，超静音运行，均支持单针/双针模式；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（22）功能全面的电路控制系统，包括采样、加热、消解、检测等功能控制；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（23）基于ARM的高性能电器技术控制平台，接口丰富，功能强大；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（24）优化设计的PCB板，抗干扰能力强，可靠性强；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（25）全自动中文多通道数据处理系统，工作界面友好，功能强大；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（26）软件可对进样器，蠕动泵、温控、消解等功能模块进行控制，方便设置参数，针对待测项目可自动设置仪器条件；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（27）可自动测量样品，自动保存数据，方便调出测量结果，多种报告打印模式可选；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（28）专家系统：推荐各测量模块的优选方法；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（29）便于观察图谱和处理数据，易于操作；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（30）满足GLP、GMP、GCP、21CFR Part11数据完整性和审计追踪的规范要求；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（31）配备USB/RS232接口。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5.标准配置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（1）连续流动分析仪主机3台；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（2）软件光盘1套；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（3）说明书、操作手册、注意事项和维护手册 各1本；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（4）标准备件1套；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（5）标准物质及证书1套；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（6）试剂包3套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（7）计算机1台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（8）打印机1台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（9）180位自动进样器3台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 冷却水循环机1台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 售后服务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 用户支持：供方向用户提供1年的免费保修服务，在保修期内，所有服务及配件全部免费（易损件等耗材除外）。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（2）仪器安装验收：在仪器完全正常运转和买方确认后，仪器的安装工作才能认为已全部完成。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（3）培训：在用户单位现场进行操作培训。内容包括，仪器的基本原理、操作、日常维护及基础分析仪器理论课程，安装现场对使用人员2人以上进行培训直至掌握为止。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（4）保修期外：终身负责提供技术支持，如有更新的软件免费提供给买方。</w:t>
            </w:r>
          </w:p>
        </w:tc>
      </w:tr>
    </w:tbl>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rPr>
          <w:rFonts w:ascii="宋体" w:hAnsi="宋体" w:eastAsia="宋体" w:cs="宋体"/>
          <w:b/>
          <w:bCs/>
          <w:color w:val="FF0000"/>
          <w:sz w:val="36"/>
          <w:szCs w:val="36"/>
        </w:rPr>
      </w:pPr>
    </w:p>
    <w:p>
      <w:pPr>
        <w:pStyle w:val="2"/>
        <w:spacing w:line="440" w:lineRule="exact"/>
        <w:ind w:firstLine="0" w:firstLineChars="0"/>
        <w:jc w:val="center"/>
        <w:rPr>
          <w:rFonts w:ascii="宋体" w:hAnsi="宋体" w:eastAsia="宋体" w:cs="宋体"/>
          <w:b/>
          <w:bCs/>
          <w:color w:val="FF0000"/>
          <w:sz w:val="36"/>
          <w:szCs w:val="36"/>
        </w:rPr>
      </w:pPr>
      <w:r>
        <w:rPr>
          <w:rFonts w:hint="eastAsia" w:ascii="宋体" w:hAnsi="宋体" w:eastAsia="宋体" w:cs="宋体"/>
          <w:b/>
          <w:bCs/>
          <w:color w:val="FF0000"/>
          <w:sz w:val="36"/>
          <w:szCs w:val="36"/>
        </w:rPr>
        <w:t>（三）核酸实验室装修</w:t>
      </w:r>
    </w:p>
    <w:tbl>
      <w:tblPr>
        <w:tblStyle w:val="25"/>
        <w:tblW w:w="9376" w:type="dxa"/>
        <w:jc w:val="center"/>
        <w:tblLayout w:type="autofit"/>
        <w:tblCellMar>
          <w:top w:w="0" w:type="dxa"/>
          <w:left w:w="0" w:type="dxa"/>
          <w:bottom w:w="0" w:type="dxa"/>
          <w:right w:w="0" w:type="dxa"/>
        </w:tblCellMar>
      </w:tblPr>
      <w:tblGrid>
        <w:gridCol w:w="520"/>
        <w:gridCol w:w="2092"/>
        <w:gridCol w:w="2701"/>
        <w:gridCol w:w="1024"/>
        <w:gridCol w:w="612"/>
        <w:gridCol w:w="619"/>
        <w:gridCol w:w="2174"/>
      </w:tblGrid>
      <w:tr>
        <w:tblPrEx>
          <w:tblCellMar>
            <w:top w:w="0" w:type="dxa"/>
            <w:left w:w="0" w:type="dxa"/>
            <w:bottom w:w="0" w:type="dxa"/>
            <w:right w:w="0" w:type="dxa"/>
          </w:tblCellMar>
        </w:tblPrEx>
        <w:trPr>
          <w:trHeight w:val="613" w:hRule="atLeast"/>
          <w:jc w:val="center"/>
        </w:trPr>
        <w:tc>
          <w:tcPr>
            <w:tcW w:w="520"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序号</w:t>
            </w:r>
          </w:p>
        </w:tc>
        <w:tc>
          <w:tcPr>
            <w:tcW w:w="2092"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品  名</w:t>
            </w:r>
          </w:p>
        </w:tc>
        <w:tc>
          <w:tcPr>
            <w:tcW w:w="2701"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规格/型号</w:t>
            </w:r>
          </w:p>
        </w:tc>
        <w:tc>
          <w:tcPr>
            <w:tcW w:w="925"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品 牌</w:t>
            </w:r>
          </w:p>
        </w:tc>
        <w:tc>
          <w:tcPr>
            <w:tcW w:w="612"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单位</w:t>
            </w:r>
          </w:p>
        </w:tc>
        <w:tc>
          <w:tcPr>
            <w:tcW w:w="619"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数量</w:t>
            </w:r>
          </w:p>
        </w:tc>
        <w:tc>
          <w:tcPr>
            <w:tcW w:w="1907" w:type="dxa"/>
            <w:tcBorders>
              <w:top w:val="single" w:color="000000" w:sz="4" w:space="0"/>
              <w:left w:val="single" w:color="000000" w:sz="4" w:space="0"/>
              <w:bottom w:val="nil"/>
              <w:right w:val="single" w:color="000000" w:sz="4" w:space="0"/>
            </w:tcBorders>
            <w:shd w:val="clear" w:color="auto" w:fill="C0C0C0"/>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备  注</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bidi="ar"/>
              </w:rPr>
              <w:t>净化结构部分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黑体" w:hAnsi="宋体" w:eastAsia="黑体" w:cs="黑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黑体" w:hAnsi="宋体" w:eastAsia="黑体" w:cs="黑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黑体" w:hAnsi="宋体" w:eastAsia="黑体" w:cs="黑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黑体" w:hAnsi="宋体" w:eastAsia="黑体" w:cs="黑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黑体" w:hAnsi="宋体" w:eastAsia="黑体" w:cs="黑体"/>
                <w:b/>
                <w:color w:val="000000"/>
                <w:sz w:val="20"/>
                <w:szCs w:val="20"/>
              </w:rPr>
            </w:pPr>
          </w:p>
        </w:tc>
      </w:tr>
      <w:tr>
        <w:tblPrEx>
          <w:tblCellMar>
            <w:top w:w="0" w:type="dxa"/>
            <w:left w:w="0" w:type="dxa"/>
            <w:bottom w:w="0" w:type="dxa"/>
            <w:right w:w="0" w:type="dxa"/>
          </w:tblCellMar>
        </w:tblPrEx>
        <w:trPr>
          <w:trHeight w:val="8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彩钢复合板（墙体）</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板厚50mm，容重：180kg/m³，基板：0.426mm钢板，芯材：中空玻镁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新江南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320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灰白色,机制板 含9%损耗</w:t>
            </w:r>
          </w:p>
        </w:tc>
      </w:tr>
      <w:tr>
        <w:tblPrEx>
          <w:tblCellMar>
            <w:top w:w="0" w:type="dxa"/>
            <w:left w:w="0" w:type="dxa"/>
            <w:bottom w:w="0" w:type="dxa"/>
            <w:right w:w="0" w:type="dxa"/>
          </w:tblCellMar>
        </w:tblPrEx>
        <w:trPr>
          <w:trHeight w:val="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彩钢复合板（顶板）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板厚50mm，容重：180kg/m³，基板：0.426mm钢板，芯材：中空玻镁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新江南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123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灰白色,机制板 含9%损耗</w:t>
            </w:r>
          </w:p>
        </w:tc>
      </w:tr>
      <w:tr>
        <w:tblPrEx>
          <w:tblCellMar>
            <w:top w:w="0" w:type="dxa"/>
            <w:left w:w="0" w:type="dxa"/>
            <w:bottom w:w="0" w:type="dxa"/>
            <w:right w:w="0" w:type="dxa"/>
          </w:tblCellMar>
        </w:tblPrEx>
        <w:trPr>
          <w:trHeight w:val="7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PVC卷材地板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1.8mm厚度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LG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123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防静电、防火、耐腐蚀、耐磨、易清洗（上墙100mm）含自流坪</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吊顶吊件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标准件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彩板接缝密封处理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长鹿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净化配套铝型材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吉丰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443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喷塑，含槽铝、阴阳角、T字铝、角铝等</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手推平开气密门（单开）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现场制作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7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手推平开气密门（单开）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现场制作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双门互锁</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带显示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固定观察窗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1200*1000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不锈钢传递窗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外径：600*600*600mm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广东</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五金辅料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空调设备部分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9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全新风净化式空调机组</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数码变容量全新风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风量3500m³/h，制冷/热量47/27.8KW,加湿量22Kg/h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合作方采购，我方负责就位安装，并配合给排水，电源线安装</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高效排风机组</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风量4500m³/h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空调自动控制系统</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空调及通风等控制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高效送风口</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484型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高效送风口</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中效排风口</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开孔：700*350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中效排风口</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开孔：250*350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风量调节阀</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风量调节阀</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风量调节阀</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092" w:type="dxa"/>
            <w:tcBorders>
              <w:top w:val="single" w:color="000000" w:sz="4" w:space="0"/>
              <w:left w:val="single" w:color="000000" w:sz="4" w:space="0"/>
              <w:bottom w:val="single" w:color="000000" w:sz="4" w:space="0"/>
              <w:right w:val="single" w:color="000000" w:sz="4" w:space="0"/>
            </w:tcBorders>
            <w:shd w:val="clear" w:color="auto" w:fill="FFF2CC"/>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电动风量调节阀</w:t>
            </w:r>
          </w:p>
        </w:tc>
        <w:tc>
          <w:tcPr>
            <w:tcW w:w="2701" w:type="dxa"/>
            <w:tcBorders>
              <w:top w:val="single" w:color="000000" w:sz="4" w:space="0"/>
              <w:left w:val="single" w:color="000000" w:sz="4" w:space="0"/>
              <w:bottom w:val="single" w:color="000000" w:sz="4" w:space="0"/>
              <w:right w:val="single" w:color="000000" w:sz="4" w:space="0"/>
            </w:tcBorders>
            <w:shd w:val="clear" w:color="auto" w:fill="FFF2CC"/>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320*200</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FFF2CC"/>
            <w:noWrap/>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卫生型片式消声器</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630*320*1100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防火阀</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防雨百叶</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防雨百叶</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630*320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拓镨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软接头</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三防布制作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空调铜管</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∮12.7/28.58mm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内外机均装1楼</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镀锌风管</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0.5mm-0.75mm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130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含法兰及吊装角铁</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橡塑保温板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厚20mm，B1级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130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压差表</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0-60Pa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五金辅料</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电气部分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配电总柜</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正泰元器件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带消防联动</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照明插座配电箱</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正泰元器件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紫外灯控制箱</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正泰元器件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LED吸顶灯</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1200*300，1000光通量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LED吸顶灯</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600*300，1000光通量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应急电源</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洲净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紫外灯</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4回路控制</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五孔普通插座</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含1个三相插座</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单联单控开关</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铜芯电线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ZRBV2.5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或当地知名品牌</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铜芯电线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ZRBV4.0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或当地知名品牌</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控制电缆</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RVVP-2*1.0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或当地知名品牌</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控制电缆</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RVV-4*0.75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或当地知名品牌</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电源电缆</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ZRYJV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含电源主电缆</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穿线管</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JDG20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监控摄像头</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半球形摄像机，200万像素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硬盘录像机</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8路，带4T硬盘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显示器</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22寸+挂架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监控用</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8口，POE供电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监控用</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交换机</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8口，非可编程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网络用</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弱电</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六类非屏蔽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电话机</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洁净型，挂式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电话线</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双网口信息插座</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电话插座</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压差监控报警系统</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三回路，PLC+触屏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五金辅料</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给排水部分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PVC－U排水管</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De75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PVC－U排水管</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De50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PPR给水管</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De25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洗手池</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PVC柜体+瓷盆+感应龙头</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拖把池</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特大号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给排水管件及辅材料</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污水处理设备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日处理废水量≥300L/D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成套设备</w:t>
            </w:r>
          </w:p>
        </w:tc>
      </w:tr>
      <w:tr>
        <w:tblPrEx>
          <w:tblCellMar>
            <w:top w:w="0" w:type="dxa"/>
            <w:left w:w="0" w:type="dxa"/>
            <w:bottom w:w="0" w:type="dxa"/>
            <w:right w:w="0"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实验台柜及设备部分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L*750*800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钢木结构，理化板台面</w:t>
            </w:r>
          </w:p>
        </w:tc>
      </w:tr>
      <w:tr>
        <w:tblPrEx>
          <w:tblCellMar>
            <w:top w:w="0" w:type="dxa"/>
            <w:left w:w="0" w:type="dxa"/>
            <w:bottom w:w="0" w:type="dxa"/>
            <w:right w:w="0" w:type="dxa"/>
          </w:tblCellMar>
        </w:tblPrEx>
        <w:trPr>
          <w:trHeight w:val="5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六</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移动式核酸采集隔离站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1565*1160*2400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color w:val="000000"/>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400" w:firstLineChars="200"/>
              <w:jc w:val="left"/>
              <w:textAlignment w:val="center"/>
              <w:rPr>
                <w:rFonts w:hint="eastAsia" w:ascii="宋体" w:hAnsi="宋体" w:eastAsia="宋体" w:cs="宋体"/>
                <w:color w:val="000000"/>
                <w:sz w:val="20"/>
                <w:szCs w:val="20"/>
                <w:lang w:eastAsia="zh-CN"/>
              </w:rPr>
            </w:pPr>
          </w:p>
        </w:tc>
      </w:tr>
    </w:tbl>
    <w:p>
      <w:pPr>
        <w:widowControl/>
        <w:rPr>
          <w:rFonts w:asciiTheme="minorEastAsia" w:hAnsiTheme="minorEastAsia" w:cstheme="minorEastAsia"/>
          <w:b/>
          <w:bCs/>
        </w:rPr>
      </w:pPr>
      <w:bookmarkStart w:id="15" w:name="_Toc8047"/>
      <w:r>
        <w:rPr>
          <w:rFonts w:hint="eastAsia" w:asciiTheme="minorEastAsia" w:hAnsiTheme="minorEastAsia" w:cstheme="minorEastAsia"/>
          <w:b/>
          <w:bCs/>
        </w:rPr>
        <w:t>一、相关技术设计要求</w:t>
      </w:r>
      <w:bookmarkEnd w:id="15"/>
    </w:p>
    <w:p>
      <w:pPr>
        <w:widowControl/>
        <w:rPr>
          <w:rFonts w:asciiTheme="minorEastAsia" w:hAnsiTheme="minorEastAsia" w:cstheme="minorEastAsia"/>
          <w:b/>
          <w:bCs/>
        </w:rPr>
      </w:pPr>
      <w:bookmarkStart w:id="16" w:name="_Toc16213"/>
      <w:bookmarkStart w:id="17" w:name="_Toc344"/>
      <w:r>
        <w:rPr>
          <w:rFonts w:hint="eastAsia" w:asciiTheme="minorEastAsia" w:hAnsiTheme="minorEastAsia" w:cstheme="minorEastAsia"/>
          <w:b/>
          <w:bCs/>
        </w:rPr>
        <w:t>1、实验室家具技术要求</w:t>
      </w:r>
      <w:bookmarkEnd w:id="16"/>
      <w:bookmarkEnd w:id="17"/>
    </w:p>
    <w:p>
      <w:pPr>
        <w:widowControl/>
        <w:rPr>
          <w:rFonts w:asciiTheme="minorEastAsia" w:hAnsiTheme="minorEastAsia" w:cstheme="minorEastAsia"/>
          <w:b/>
          <w:bCs/>
          <w:szCs w:val="21"/>
        </w:rPr>
      </w:pPr>
      <w:bookmarkStart w:id="18" w:name="_Toc13053"/>
      <w:r>
        <w:rPr>
          <w:rFonts w:hint="eastAsia" w:asciiTheme="minorEastAsia" w:hAnsiTheme="minorEastAsia" w:cstheme="minorEastAsia"/>
          <w:b/>
          <w:bCs/>
          <w:szCs w:val="21"/>
        </w:rPr>
        <w:t>1）总体工艺说明</w:t>
      </w:r>
      <w:bookmarkEnd w:id="18"/>
    </w:p>
    <w:p>
      <w:pPr>
        <w:widowControl/>
        <w:rPr>
          <w:rFonts w:asciiTheme="minorEastAsia" w:hAnsiTheme="minorEastAsia" w:cstheme="minorEastAsia"/>
          <w:szCs w:val="21"/>
        </w:rPr>
      </w:pPr>
      <w:r>
        <w:rPr>
          <w:rFonts w:hint="eastAsia" w:asciiTheme="minorEastAsia" w:hAnsiTheme="minorEastAsia" w:cstheme="minorEastAsia"/>
          <w:szCs w:val="21"/>
        </w:rPr>
        <w:t>1、外形尺寸：长、宽、高误差≤2mm。邻边垂直度：台面对角线、框架对角线1000 mm，误差≤1mm；2000 mm 误差≤1mm；3000 mm 误差≤2mm。</w:t>
      </w:r>
    </w:p>
    <w:p>
      <w:pPr>
        <w:widowControl/>
        <w:rPr>
          <w:rFonts w:asciiTheme="minorEastAsia" w:hAnsiTheme="minorEastAsia" w:cstheme="minorEastAsia"/>
          <w:szCs w:val="21"/>
        </w:rPr>
      </w:pPr>
      <w:r>
        <w:rPr>
          <w:rFonts w:hint="eastAsia" w:asciiTheme="minorEastAsia" w:hAnsiTheme="minorEastAsia" w:cstheme="minorEastAsia"/>
          <w:szCs w:val="21"/>
        </w:rPr>
        <w:t>地脚平稳性：误差≤1mm。面板表面，不允许有划痕、麻点及压痕，实验台的台面均匀平整，边缘切割整齐，四边平直，无明显凹凸现象，水池台面挡水板一次成型，水池总阀的安装应便于开关。</w:t>
      </w:r>
    </w:p>
    <w:p>
      <w:pPr>
        <w:widowControl/>
        <w:rPr>
          <w:rFonts w:asciiTheme="minorEastAsia" w:hAnsiTheme="minorEastAsia" w:cstheme="minorEastAsia"/>
          <w:szCs w:val="21"/>
        </w:rPr>
      </w:pPr>
      <w:r>
        <w:rPr>
          <w:rFonts w:hint="eastAsia" w:asciiTheme="minorEastAsia" w:hAnsiTheme="minorEastAsia" w:cstheme="minorEastAsia"/>
          <w:szCs w:val="21"/>
        </w:rPr>
        <w:t>2、各涂层均匀，钢材表面平整，无色差、无拼接、无明显凹凸、无毛刺、无斑点、无划痕、无碰伤等缺陷。钢制部件表面必须经酸洗、磷化、环氧树脂喷涂处理，平整光滑。不允许有脱胶、鼓泡、凹陷、压痕以及表面刮伤、麻点、裂痕、蹦角，刃口、钻孔、倒角应去毛刺。</w:t>
      </w:r>
    </w:p>
    <w:p>
      <w:pPr>
        <w:widowControl/>
        <w:rPr>
          <w:rFonts w:asciiTheme="minorEastAsia" w:hAnsiTheme="minorEastAsia" w:cstheme="minorEastAsia"/>
          <w:szCs w:val="21"/>
        </w:rPr>
      </w:pPr>
      <w:r>
        <w:rPr>
          <w:rFonts w:hint="eastAsia" w:asciiTheme="minorEastAsia" w:hAnsiTheme="minorEastAsia" w:cstheme="minorEastAsia"/>
          <w:szCs w:val="21"/>
        </w:rPr>
        <w:t>3、所有柜体连接牢固，无松动现象；表面平整无明显变形；外露部分无毛刺及尖锐棱角。</w:t>
      </w:r>
    </w:p>
    <w:p>
      <w:pPr>
        <w:widowControl/>
        <w:rPr>
          <w:rFonts w:asciiTheme="minorEastAsia" w:hAnsiTheme="minorEastAsia" w:cstheme="minorEastAsia"/>
          <w:szCs w:val="21"/>
        </w:rPr>
      </w:pPr>
      <w:r>
        <w:rPr>
          <w:rFonts w:hint="eastAsia" w:asciiTheme="minorEastAsia" w:hAnsiTheme="minorEastAsia" w:cstheme="minorEastAsia"/>
          <w:szCs w:val="21"/>
        </w:rPr>
        <w:t>4、零部件无断裂或劈裂现象，不会出现影响使用功能的磨损变形现象，可动部件（例如可调式地脚、活动隔板等）活动灵便，用力掀压不会出现永久性变形或松动，抗压能力符合实验台的要求。各种配件安装严密、平整、端正、牢固、结合处均无崩茬和松动。金属配件应做除锈和防腐蚀处理。结构处螺丝或连接件不允许外露。</w:t>
      </w:r>
    </w:p>
    <w:p>
      <w:pPr>
        <w:widowControl/>
        <w:rPr>
          <w:rFonts w:asciiTheme="minorEastAsia" w:hAnsiTheme="minorEastAsia" w:cstheme="minorEastAsia"/>
          <w:szCs w:val="21"/>
        </w:rPr>
      </w:pPr>
      <w:r>
        <w:rPr>
          <w:rFonts w:hint="eastAsia" w:asciiTheme="minorEastAsia" w:hAnsiTheme="minorEastAsia" w:cstheme="minorEastAsia"/>
          <w:szCs w:val="21"/>
        </w:rPr>
        <w:t>5、五孔电源插座与两相插座相兼容，10A/220V，符合国标要求。</w:t>
      </w:r>
    </w:p>
    <w:p>
      <w:pPr>
        <w:widowControl/>
        <w:rPr>
          <w:rFonts w:asciiTheme="minorEastAsia" w:hAnsiTheme="minorEastAsia" w:cstheme="minorEastAsia"/>
          <w:szCs w:val="21"/>
        </w:rPr>
      </w:pPr>
      <w:r>
        <w:rPr>
          <w:rFonts w:hint="eastAsia" w:asciiTheme="minorEastAsia" w:hAnsiTheme="minorEastAsia" w:cstheme="minorEastAsia"/>
          <w:szCs w:val="21"/>
        </w:rPr>
        <w:t>6、组合的台、柜、架的每一块板材安装，要保证严密、平整、端正、牢固、结合处均无崩茬和松动。铰链选用优质合金钢材质、抽屉滑轨等五金件均准确安装在系统孔上，使其开启、抽拉顺畅。</w:t>
      </w:r>
    </w:p>
    <w:p>
      <w:pPr>
        <w:widowControl/>
        <w:rPr>
          <w:rFonts w:asciiTheme="minorEastAsia" w:hAnsiTheme="minorEastAsia" w:cstheme="minorEastAsia"/>
          <w:szCs w:val="21"/>
        </w:rPr>
      </w:pPr>
      <w:r>
        <w:rPr>
          <w:rFonts w:hint="eastAsia" w:asciiTheme="minorEastAsia" w:hAnsiTheme="minorEastAsia" w:cstheme="minorEastAsia"/>
          <w:szCs w:val="21"/>
        </w:rPr>
        <w:t>7、整套产品或成套产品色泽相似，不能有色差，所有家具颜色由成交供应商提供色板经甲方确认。</w:t>
      </w:r>
    </w:p>
    <w:p>
      <w:pPr>
        <w:widowControl/>
        <w:rPr>
          <w:rFonts w:asciiTheme="minorEastAsia" w:hAnsiTheme="minorEastAsia" w:cstheme="minorEastAsia"/>
          <w:szCs w:val="21"/>
        </w:rPr>
      </w:pPr>
      <w:r>
        <w:rPr>
          <w:rFonts w:hint="eastAsia" w:asciiTheme="minorEastAsia" w:hAnsiTheme="minorEastAsia" w:cstheme="minorEastAsia"/>
          <w:szCs w:val="21"/>
        </w:rPr>
        <w:t>8、各种配件不得有少件、漏钉、弯钉，启闭零件和配件应使用灵活，质量达到相应标准。</w:t>
      </w:r>
    </w:p>
    <w:p>
      <w:pPr>
        <w:widowControl/>
        <w:rPr>
          <w:rFonts w:asciiTheme="minorEastAsia" w:hAnsiTheme="minorEastAsia" w:cstheme="minorEastAsia"/>
          <w:szCs w:val="21"/>
        </w:rPr>
      </w:pPr>
      <w:r>
        <w:rPr>
          <w:rFonts w:hint="eastAsia" w:asciiTheme="minorEastAsia" w:hAnsiTheme="minorEastAsia" w:cstheme="minorEastAsia"/>
          <w:szCs w:val="21"/>
        </w:rPr>
        <w:t>9、装配后产品外观尺寸符合设计要求。正视面无明显迸裂边、色差、碰伤、移位、划痕及裂缝等缺陷。各种配件安装严密、平整、牢固，结构处无迸裂、松动，不得有少件、漏钉、透钉等失误操作。</w:t>
      </w:r>
    </w:p>
    <w:p>
      <w:pPr>
        <w:widowControl/>
        <w:rPr>
          <w:rFonts w:asciiTheme="minorEastAsia" w:hAnsiTheme="minorEastAsia" w:cstheme="minorEastAsia"/>
          <w:b/>
          <w:bCs/>
          <w:szCs w:val="21"/>
        </w:rPr>
      </w:pPr>
      <w:bookmarkStart w:id="19" w:name="_Toc26204"/>
      <w:r>
        <w:rPr>
          <w:rFonts w:hint="eastAsia" w:asciiTheme="minorEastAsia" w:hAnsiTheme="minorEastAsia" w:cstheme="minorEastAsia"/>
          <w:b/>
          <w:bCs/>
          <w:szCs w:val="21"/>
        </w:rPr>
        <w:t>2）总体技术要求</w:t>
      </w:r>
      <w:bookmarkEnd w:id="19"/>
    </w:p>
    <w:p>
      <w:pPr>
        <w:widowControl/>
        <w:rPr>
          <w:rFonts w:asciiTheme="minorEastAsia" w:hAnsiTheme="minorEastAsia" w:cstheme="minorEastAsia"/>
          <w:b/>
          <w:bCs/>
          <w:szCs w:val="21"/>
        </w:rPr>
      </w:pPr>
      <w:r>
        <w:rPr>
          <w:rFonts w:hint="eastAsia" w:asciiTheme="minorEastAsia" w:hAnsiTheme="minorEastAsia" w:cstheme="minorEastAsia"/>
          <w:b/>
          <w:bCs/>
          <w:szCs w:val="21"/>
        </w:rPr>
        <w:t>1、实验台台面总体技术要求</w:t>
      </w: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2027"/>
        <w:gridCol w:w="6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091"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名称</w:t>
            </w:r>
          </w:p>
        </w:tc>
        <w:tc>
          <w:tcPr>
            <w:tcW w:w="3476"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1" w:type="pct"/>
            <w:vAlign w:val="center"/>
          </w:tcPr>
          <w:p>
            <w:pPr>
              <w:rPr>
                <w:rFonts w:asciiTheme="minorEastAsia" w:hAnsiTheme="minorEastAsia" w:cstheme="minorEastAsia"/>
                <w:szCs w:val="21"/>
              </w:rPr>
            </w:pPr>
            <w:r>
              <w:rPr>
                <w:rFonts w:hint="eastAsia" w:asciiTheme="minorEastAsia" w:hAnsiTheme="minorEastAsia" w:cstheme="minorEastAsia"/>
                <w:szCs w:val="21"/>
              </w:rPr>
              <w:t>1.1</w:t>
            </w:r>
          </w:p>
        </w:tc>
        <w:tc>
          <w:tcPr>
            <w:tcW w:w="1091" w:type="pct"/>
            <w:vAlign w:val="center"/>
          </w:tcPr>
          <w:p>
            <w:pPr>
              <w:rPr>
                <w:rFonts w:asciiTheme="minorEastAsia" w:hAnsiTheme="minorEastAsia" w:cstheme="minorEastAsia"/>
                <w:szCs w:val="21"/>
              </w:rPr>
            </w:pPr>
            <w:r>
              <w:rPr>
                <w:rFonts w:hint="eastAsia" w:asciiTheme="minorEastAsia" w:hAnsiTheme="minorEastAsia" w:cstheme="minorEastAsia"/>
                <w:szCs w:val="21"/>
              </w:rPr>
              <w:t>★台面材质组成</w:t>
            </w:r>
          </w:p>
        </w:tc>
        <w:tc>
          <w:tcPr>
            <w:tcW w:w="3476" w:type="pct"/>
          </w:tcPr>
          <w:p>
            <w:pPr>
              <w:rPr>
                <w:rFonts w:asciiTheme="minorEastAsia" w:hAnsiTheme="minorEastAsia" w:cstheme="minorEastAsia"/>
                <w:szCs w:val="21"/>
              </w:rPr>
            </w:pPr>
            <w:r>
              <w:rPr>
                <w:rFonts w:hint="eastAsia" w:asciiTheme="minorEastAsia" w:hAnsiTheme="minorEastAsia" w:cstheme="minorEastAsia"/>
                <w:szCs w:val="21"/>
              </w:rPr>
              <w:t>A、台面板必须以三维木质纤维和热固性树脂为基材，不采用牛皮纸为基材结构，不弯曲不变性，台面表面采用EBC电子束固化技术，表面光滑细腻，抗菌耐磨。台面需提供由SGS出具的EBC技术的使用证明（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B、台面板需依据GB/T17657-2013测试标准，提供至少41种化学试剂报告，其中至少包含硫酸98%，硝酸65%，磷酸85%，盐酸37%，氢氧化钠40%，二氯甲烷，甲醇，丙酮等化学物，测试结果为5级（检测报告复印件加盖公章）。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C、台面板需提供SEFA3.0测试报告(检测报告复印件加盖公章）。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D、台面按国家标准GB/T17657-2013人造板及饰面人造板理化性能试验办法进行检测 (检测报告复印件加盖公章):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表面耐高温性能为:</w:t>
            </w:r>
          </w:p>
          <w:p>
            <w:pPr>
              <w:rPr>
                <w:rFonts w:asciiTheme="minorEastAsia" w:hAnsiTheme="minorEastAsia" w:cstheme="minorEastAsia"/>
                <w:szCs w:val="21"/>
              </w:rPr>
            </w:pPr>
            <w:r>
              <w:rPr>
                <w:rFonts w:hint="eastAsia" w:asciiTheme="minorEastAsia" w:hAnsiTheme="minorEastAsia" w:cstheme="minorEastAsia"/>
                <w:szCs w:val="21"/>
              </w:rPr>
              <w:t>1）试件表面无裂纹；</w:t>
            </w:r>
          </w:p>
          <w:p>
            <w:pPr>
              <w:rPr>
                <w:rFonts w:asciiTheme="minorEastAsia" w:hAnsiTheme="minorEastAsia" w:cstheme="minorEastAsia"/>
                <w:szCs w:val="21"/>
              </w:rPr>
            </w:pPr>
            <w:r>
              <w:rPr>
                <w:rFonts w:hint="eastAsia" w:asciiTheme="minorEastAsia" w:hAnsiTheme="minorEastAsia" w:cstheme="minorEastAsia"/>
                <w:szCs w:val="21"/>
              </w:rPr>
              <w:t>2）表面耐水蒸气性能 5级, 表面耐香烟灼烧性能 5 级, 表面耐干热性能5级, 表面耐湿热性能5级，无明显变化</w:t>
            </w:r>
          </w:p>
          <w:p>
            <w:pPr>
              <w:rPr>
                <w:rFonts w:asciiTheme="minorEastAsia" w:hAnsiTheme="minorEastAsia" w:cstheme="minorEastAsia"/>
                <w:szCs w:val="21"/>
              </w:rPr>
            </w:pPr>
            <w:r>
              <w:rPr>
                <w:rFonts w:hint="eastAsia" w:asciiTheme="minorEastAsia" w:hAnsiTheme="minorEastAsia" w:cstheme="minorEastAsia"/>
                <w:szCs w:val="21"/>
              </w:rPr>
              <w:t>3）静曲强度&gt;120Mpa (提供厂家申明文件及检测报告)</w:t>
            </w:r>
          </w:p>
          <w:p>
            <w:pPr>
              <w:rPr>
                <w:rFonts w:asciiTheme="minorEastAsia" w:hAnsiTheme="minorEastAsia" w:cstheme="minorEastAsia"/>
                <w:szCs w:val="21"/>
              </w:rPr>
            </w:pPr>
            <w:r>
              <w:rPr>
                <w:rFonts w:hint="eastAsia" w:asciiTheme="minorEastAsia" w:hAnsiTheme="minorEastAsia" w:cstheme="minorEastAsia"/>
                <w:szCs w:val="21"/>
              </w:rPr>
              <w:t>4）抗拉强度&gt;80Mpa( 提供厂家申明文件及检测报告)</w:t>
            </w:r>
          </w:p>
          <w:p>
            <w:pPr>
              <w:rPr>
                <w:rFonts w:asciiTheme="minorEastAsia" w:hAnsiTheme="minorEastAsia" w:cstheme="minorEastAsia"/>
                <w:szCs w:val="21"/>
              </w:rPr>
            </w:pPr>
            <w:r>
              <w:rPr>
                <w:rFonts w:hint="eastAsia" w:asciiTheme="minorEastAsia" w:hAnsiTheme="minorEastAsia" w:cstheme="minorEastAsia"/>
                <w:szCs w:val="21"/>
              </w:rPr>
              <w:t>5）24h吸水率: 0.1%</w:t>
            </w:r>
          </w:p>
          <w:p>
            <w:pPr>
              <w:rPr>
                <w:rFonts w:asciiTheme="minorEastAsia" w:hAnsiTheme="minorEastAsia" w:cstheme="minorEastAsia"/>
                <w:szCs w:val="21"/>
              </w:rPr>
            </w:pPr>
            <w:r>
              <w:rPr>
                <w:rFonts w:hint="eastAsia" w:asciiTheme="minorEastAsia" w:hAnsiTheme="minorEastAsia" w:cstheme="minorEastAsia"/>
                <w:szCs w:val="21"/>
              </w:rPr>
              <w:t>6）耐沸水性能：质量增加百分率0.4%, 厚度增加百分率0.4%, 表面质量5级(无变化)</w:t>
            </w:r>
          </w:p>
          <w:p>
            <w:pPr>
              <w:rPr>
                <w:rFonts w:asciiTheme="minorEastAsia" w:hAnsiTheme="minorEastAsia" w:cstheme="minorEastAsia"/>
                <w:szCs w:val="21"/>
              </w:rPr>
            </w:pPr>
            <w:r>
              <w:rPr>
                <w:rFonts w:hint="eastAsia" w:asciiTheme="minorEastAsia" w:hAnsiTheme="minorEastAsia" w:cstheme="minorEastAsia"/>
                <w:szCs w:val="21"/>
              </w:rPr>
              <w:t>7）尺寸稳定性: 横向和纵向均需一致, 0.1%</w:t>
            </w:r>
          </w:p>
          <w:p>
            <w:pPr>
              <w:rPr>
                <w:rFonts w:asciiTheme="minorEastAsia" w:hAnsiTheme="minorEastAsia" w:cstheme="minorEastAsia"/>
                <w:szCs w:val="21"/>
              </w:rPr>
            </w:pPr>
            <w:r>
              <w:rPr>
                <w:rFonts w:hint="eastAsia" w:asciiTheme="minorEastAsia" w:hAnsiTheme="minorEastAsia" w:cstheme="minorEastAsia"/>
                <w:szCs w:val="21"/>
              </w:rPr>
              <w:t>8）漆膜硬度&gt;9H</w:t>
            </w:r>
          </w:p>
          <w:p>
            <w:pPr>
              <w:rPr>
                <w:rFonts w:asciiTheme="minorEastAsia" w:hAnsiTheme="minorEastAsia" w:cstheme="minorEastAsia"/>
                <w:szCs w:val="21"/>
              </w:rPr>
            </w:pPr>
            <w:r>
              <w:rPr>
                <w:rFonts w:hint="eastAsia" w:asciiTheme="minorEastAsia" w:hAnsiTheme="minorEastAsia" w:cstheme="minorEastAsia"/>
                <w:szCs w:val="21"/>
              </w:rPr>
              <w:t>E、为保证实验室空气质量及工作人员安全，台面板需提供绿色卫士金牌认证（GREENGUARD GOLD）证书，要求其中TVOC挥发性有机物测试标准最大允许预测浓度为0.22mg/m³，总醛最大允许预测浓度为0.043ppm，4-苯基环己烯最大预测浓度为6.5ug/m³（检测报告复印件加盖公章）。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F、提供中国化学建筑材料中心提供的甲醛报告，要求采用GB18580-2017 标准，结果为：未检出，即小于0.01mg/m3</w:t>
            </w:r>
            <w:bookmarkStart w:id="20" w:name="_Hlk13828203"/>
            <w:r>
              <w:rPr>
                <w:rFonts w:hint="eastAsia" w:asciiTheme="minorEastAsia" w:hAnsiTheme="minorEastAsia" w:cstheme="minorEastAsia"/>
                <w:szCs w:val="21"/>
              </w:rPr>
              <w:t>，( 检测报告复印件加盖公章)。</w:t>
            </w:r>
          </w:p>
          <w:bookmarkEnd w:id="20"/>
          <w:p>
            <w:pPr>
              <w:rPr>
                <w:rFonts w:asciiTheme="minorEastAsia" w:hAnsiTheme="minorEastAsia" w:cstheme="minorEastAsia"/>
                <w:szCs w:val="21"/>
              </w:rPr>
            </w:pPr>
            <w:r>
              <w:rPr>
                <w:rFonts w:hint="eastAsia" w:asciiTheme="minorEastAsia" w:hAnsiTheme="minorEastAsia" w:cstheme="minorEastAsia"/>
                <w:szCs w:val="21"/>
              </w:rPr>
              <w:t>G、台面板安全,绿色环保需提供ISEGA报告(检测报告复印件加盖公章)。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H、提供森林认证认可计划PEFC证书（检测报告复印件加盖公章）。</w:t>
            </w:r>
          </w:p>
          <w:p>
            <w:pPr>
              <w:rPr>
                <w:rFonts w:asciiTheme="minorEastAsia" w:hAnsiTheme="minorEastAsia" w:cstheme="minorEastAsia"/>
                <w:szCs w:val="21"/>
              </w:rPr>
            </w:pPr>
            <w:r>
              <w:rPr>
                <w:rFonts w:hint="eastAsia" w:asciiTheme="minorEastAsia" w:hAnsiTheme="minorEastAsia" w:cstheme="minorEastAsia"/>
                <w:szCs w:val="21"/>
              </w:rPr>
              <w:t>I、提供原产地证明及进口报关单，加盖公章。</w:t>
            </w:r>
          </w:p>
          <w:p>
            <w:pPr>
              <w:rPr>
                <w:rFonts w:asciiTheme="minorEastAsia" w:hAnsiTheme="minorEastAsia" w:cstheme="minorEastAsia"/>
                <w:szCs w:val="21"/>
              </w:rPr>
            </w:pPr>
            <w:r>
              <w:rPr>
                <w:rFonts w:hint="eastAsia" w:asciiTheme="minorEastAsia" w:hAnsiTheme="minorEastAsia" w:cstheme="minorEastAsia"/>
                <w:szCs w:val="21"/>
              </w:rPr>
              <w:t>J、厂家出具满足以上技术参数的具有法律效力的十年质保函，并要求质保函中注明免责声明。</w:t>
            </w:r>
          </w:p>
        </w:tc>
      </w:tr>
    </w:tbl>
    <w:p>
      <w:pPr>
        <w:widowControl/>
        <w:rPr>
          <w:rFonts w:asciiTheme="minorEastAsia" w:hAnsiTheme="minorEastAsia" w:cstheme="minorEastAsia"/>
          <w:b/>
          <w:bCs/>
          <w:szCs w:val="21"/>
        </w:rPr>
      </w:pPr>
      <w:r>
        <w:rPr>
          <w:rFonts w:hint="eastAsia" w:asciiTheme="minorEastAsia" w:hAnsiTheme="minorEastAsia" w:cstheme="minorEastAsia"/>
          <w:b/>
          <w:bCs/>
          <w:szCs w:val="21"/>
        </w:rPr>
        <w:t>2、单面实验台、单面洗涤台技术要求</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名称</w:t>
            </w:r>
          </w:p>
        </w:tc>
        <w:tc>
          <w:tcPr>
            <w:tcW w:w="4251"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性能检测</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公司实验台已通过国家第三方权威检测机构认证报告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实验台台面</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采用13m实芯理化板台面。提供相应的检测报告。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实验台钢架</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采用60*40*2mm无缝方管，经过焊接、打磨、酸洗、磷化处理，表面经过高温静电喷涂处理，喷涂粉末采用阿克苏环氧树脂粉末，喷涂厚度不低于100um，粉末附着力强，不掉色，不脱落。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板材封边条</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采用国产最优质品牌封边条，厚度2mm；封边条颜色可选可配。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实验台柜体</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环保型18mm厚高密度中纤板材，周边以2mm厚PVC封边条封边,黏结牢固耐用。实验室专用防火板应提供防火涂料的成分其有害物质含量不得超过相关国家标准，达到E1级。基本柜体为独立的、可拆装结构，柜体高度不小于450mm，柜体间转角将根据产品的内部结构，采用三合一锁件结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实验台抽屉、门板</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采用环保型18mm厚高密度中纤板材，周边以2mm厚PVC封边条封边,黏结牢固耐用。实验室专用防火板应提供防火涂料的成分其有害物质含量不得超过相关国家标准，达到E1级。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柜体层板</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采用环保型18mm厚三聚氰胺优质中纤板材，周边采用2mm厚PVC封边条封边，活动结构，可调节相对高度。实验室专用防火板应提供防火涂料的成分其有害物质含量不得超过相关国家标准，达到E1级。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门及抽屉把手</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采用优质铝合金一字型扣手，颜色为铝合金本色，两端设有扣手塞。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抽屉导轨、门板铰链</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 xml:space="preserve">采用导轨(三节式静音滑轨，可在任意位置停留)、采用液压阻尼铰链，在开启和关闭测试试验中，检测结果达到10万次。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塑玻试剂架</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立柱采用PVC包覆的塑钢立柱，层板挂壁采用专业开模的PVC黑色多功能挂壁，护栏采用圆角矩形PP长条形硬质护栏，层板采用10mm磨边钢化玻璃层板。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PP水槽</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采用实验室专用水槽，优质PP材料制作，边缘厚度7mm, 模具成型，抑菌、易清洁，耐腐蚀，台下托底式或嵌入式安装，且利于台面残水自然回流，美观实用；规格选用500mm*400mm*310mm大水盆, 水池周边用19mm厚环氧树脂板制做高80 mm的挡水板,配阻水盖、滤片、PP提笼、存水弯。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水龙头</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实验室专用三联水龙头，出水嘴为铜质尖嘴型，高头、单口360°旋转，便于多用途使用，可拆卸清洗阻塞，具有缓压作用。管体部份采用具有降低水压及隔栅型一体成型实验室专用水龙头，阀芯采用国际通用的瓷阀芯，表面经环氧树脂粉沫喷涂处理。要求①通过调节装置调节水流量，起到减缓水的压力；②可防止污物进入阀门芯；③耐酸、耐碱及耐锈蚀。出水嘴可拆卸，内有成型螺纹，可方便连接循环等特殊用水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线盒插座</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线盒采用PVC材质，经过数控冲床接焊接技术，阿克苏环氧树脂粉末高温静电喷涂处理，耐酸碱腐蚀，绝缘性能优异。</w:t>
            </w:r>
          </w:p>
          <w:p>
            <w:pPr>
              <w:widowControl/>
              <w:rPr>
                <w:rFonts w:asciiTheme="minorEastAsia" w:hAnsiTheme="minorEastAsia" w:cstheme="minorEastAsia"/>
                <w:szCs w:val="21"/>
              </w:rPr>
            </w:pPr>
            <w:r>
              <w:rPr>
                <w:rFonts w:hint="eastAsia" w:asciiTheme="minorEastAsia" w:hAnsiTheme="minorEastAsia" w:cstheme="minorEastAsia"/>
                <w:szCs w:val="21"/>
              </w:rPr>
              <w:t>插座采用国际制式插座，220V 10A或16A。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调节地脚</w:t>
            </w:r>
          </w:p>
        </w:tc>
        <w:tc>
          <w:tcPr>
            <w:tcW w:w="4251"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材料采用聚氯乙烯防腐材料，高强度可调地脚（可调节≥20mm～40mm），需具备耐腐蚀性高、抗老化性能好、寿命长等优点，特别是防震效果佳。</w:t>
            </w:r>
          </w:p>
        </w:tc>
      </w:tr>
    </w:tbl>
    <w:p>
      <w:pPr>
        <w:widowControl/>
        <w:rPr>
          <w:rFonts w:asciiTheme="minorEastAsia" w:hAnsiTheme="minorEastAsia" w:cstheme="minorEastAsia"/>
          <w:b/>
          <w:bCs/>
          <w:szCs w:val="21"/>
        </w:rPr>
      </w:pPr>
      <w:r>
        <w:rPr>
          <w:rFonts w:hint="eastAsia" w:asciiTheme="minorEastAsia" w:hAnsiTheme="minorEastAsia" w:cstheme="minorEastAsia"/>
          <w:b/>
          <w:bCs/>
          <w:szCs w:val="21"/>
        </w:rPr>
        <w:t>3、铝木更衣柜技术要求</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名称</w:t>
            </w:r>
          </w:p>
        </w:tc>
        <w:tc>
          <w:tcPr>
            <w:tcW w:w="4089"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框架</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采用31㎜×31㎜铝合金双方框架制作经EPOXY喷涂处理，连接杆采用20㎜×20㎜方形铝合金型材制作，柜体间转角处由模具开发专用PVC连接。外形美观，结构牢固。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板材封边条</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采用国产最优质PVC封边条，厚度2mm；封边条颜色可选可配。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柜体</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环保型18mm厚高密度中纤板材，周边以2mm厚PVC封边条封边,黏结牢固耐用。实验室专用防火板应提供防火涂料的成分其有害物质含量不得超过相关国家标准，达到E1级。基本柜体为独立的、可拆装结构，柜体高度不小于450mm，柜体间转角将根据产品的内部结构，采用三合一锁件结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柜体层板</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采用环保型18mm厚三聚氰胺优质中纤板材，周边采用2mm厚PVC封边条封边，活动结构，可调节相对高度。实验室专用防火板应提供防火涂料的成分其有害物质含量不得超过相关国家标准，达到E1级。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门把手</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采用优质PVC内嵌式短扣手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门板铰链</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采用DTC液压阻尼铰链，在开启和关闭测试试验中，检测结果达到10万次。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调节地脚</w:t>
            </w:r>
          </w:p>
        </w:tc>
        <w:tc>
          <w:tcPr>
            <w:tcW w:w="4089" w:type="pct"/>
            <w:vAlign w:val="center"/>
          </w:tcPr>
          <w:p>
            <w:pPr>
              <w:widowControl/>
              <w:rPr>
                <w:rFonts w:asciiTheme="minorEastAsia" w:hAnsiTheme="minorEastAsia" w:cstheme="minorEastAsia"/>
                <w:szCs w:val="21"/>
              </w:rPr>
            </w:pPr>
            <w:r>
              <w:rPr>
                <w:rFonts w:hint="eastAsia" w:asciiTheme="minorEastAsia" w:hAnsiTheme="minorEastAsia" w:cstheme="minorEastAsia"/>
                <w:szCs w:val="21"/>
              </w:rPr>
              <w:t>材料采用聚氯乙烯防腐材料，高强度可调地脚（可调节≥20mm～40mm），需具备耐腐蚀性高、抗老化性能好、寿命长等优点，特别是防震效果佳。</w:t>
            </w:r>
          </w:p>
        </w:tc>
      </w:tr>
    </w:tbl>
    <w:p>
      <w:pPr>
        <w:widowControl/>
        <w:rPr>
          <w:rFonts w:asciiTheme="minorEastAsia" w:hAnsiTheme="minorEastAsia" w:cstheme="minorEastAsia"/>
          <w:b/>
          <w:bCs/>
          <w:szCs w:val="21"/>
        </w:rPr>
      </w:pPr>
      <w:r>
        <w:rPr>
          <w:rFonts w:hint="eastAsia" w:asciiTheme="minorEastAsia" w:hAnsiTheme="minorEastAsia" w:cstheme="minorEastAsia"/>
          <w:b/>
          <w:bCs/>
          <w:szCs w:val="21"/>
        </w:rPr>
        <w:t>4、水龙头技术要求</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名称</w:t>
            </w:r>
          </w:p>
        </w:tc>
        <w:tc>
          <w:tcPr>
            <w:tcW w:w="4266"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rPr>
                <w:rFonts w:asciiTheme="minorEastAsia" w:hAnsiTheme="minorEastAsia" w:cstheme="minorEastAsia"/>
                <w:szCs w:val="21"/>
              </w:rPr>
            </w:pPr>
            <w:r>
              <w:rPr>
                <w:rFonts w:hint="eastAsia" w:asciiTheme="minorEastAsia" w:hAnsiTheme="minorEastAsia" w:cstheme="minorEastAsia"/>
                <w:szCs w:val="21"/>
              </w:rPr>
              <w:t>--水嘴：采用实验室专用三联水龙头。</w:t>
            </w:r>
          </w:p>
          <w:p>
            <w:pPr>
              <w:widowControl/>
              <w:rPr>
                <w:rFonts w:asciiTheme="minorEastAsia" w:hAnsiTheme="minorEastAsia" w:cstheme="minorEastAsia"/>
                <w:szCs w:val="21"/>
              </w:rPr>
            </w:pPr>
            <w:r>
              <w:rPr>
                <w:rFonts w:hint="eastAsia" w:asciiTheme="minorEastAsia" w:hAnsiTheme="minorEastAsia" w:cstheme="minorEastAsia"/>
                <w:szCs w:val="21"/>
              </w:rPr>
              <w:t>--出水嘴为铜质尖嘴型，高头、单口360°旋转，便于多用途使用。</w:t>
            </w:r>
          </w:p>
          <w:p>
            <w:pPr>
              <w:widowControl/>
              <w:rPr>
                <w:rFonts w:asciiTheme="minorEastAsia" w:hAnsiTheme="minorEastAsia" w:cstheme="minorEastAsia"/>
                <w:szCs w:val="21"/>
              </w:rPr>
            </w:pPr>
            <w:r>
              <w:rPr>
                <w:rFonts w:hint="eastAsia" w:asciiTheme="minorEastAsia" w:hAnsiTheme="minorEastAsia" w:cstheme="minorEastAsia"/>
                <w:szCs w:val="21"/>
              </w:rPr>
              <w:t>--可拆卸清洗阻塞具有缓压作用。</w:t>
            </w:r>
          </w:p>
          <w:p>
            <w:pPr>
              <w:widowControl/>
              <w:rPr>
                <w:rFonts w:asciiTheme="minorEastAsia" w:hAnsiTheme="minorEastAsia" w:cstheme="minorEastAsia"/>
                <w:szCs w:val="21"/>
              </w:rPr>
            </w:pPr>
            <w:r>
              <w:rPr>
                <w:rFonts w:hint="eastAsia" w:asciiTheme="minorEastAsia" w:hAnsiTheme="minorEastAsia" w:cstheme="minorEastAsia"/>
                <w:szCs w:val="21"/>
              </w:rPr>
              <w:t>--管体部份采用具有降低水压及隔栅型一体成型实验室专用水龙头</w:t>
            </w:r>
          </w:p>
          <w:p>
            <w:pPr>
              <w:widowControl/>
              <w:rPr>
                <w:rFonts w:asciiTheme="minorEastAsia" w:hAnsiTheme="minorEastAsia" w:cstheme="minorEastAsia"/>
                <w:szCs w:val="21"/>
              </w:rPr>
            </w:pPr>
            <w:r>
              <w:rPr>
                <w:rFonts w:hint="eastAsia" w:asciiTheme="minorEastAsia" w:hAnsiTheme="minorEastAsia" w:cstheme="minorEastAsia"/>
                <w:szCs w:val="21"/>
              </w:rPr>
              <w:t>--阀芯采用国际通用的瓷阀芯，表面经环氧树脂粉沫喷涂处理，要求：</w:t>
            </w:r>
          </w:p>
          <w:p>
            <w:pPr>
              <w:widowControl/>
              <w:rPr>
                <w:rFonts w:asciiTheme="minorEastAsia" w:hAnsiTheme="minorEastAsia" w:cstheme="minorEastAsia"/>
                <w:szCs w:val="21"/>
              </w:rPr>
            </w:pPr>
            <w:r>
              <w:rPr>
                <w:rFonts w:hint="eastAsia" w:asciiTheme="minorEastAsia" w:hAnsiTheme="minorEastAsia" w:cstheme="minorEastAsia"/>
                <w:szCs w:val="21"/>
              </w:rPr>
              <w:t>①通过调节装置调节水流量，起到减缓水的压力；</w:t>
            </w:r>
          </w:p>
          <w:p>
            <w:pPr>
              <w:widowControl/>
              <w:rPr>
                <w:rFonts w:asciiTheme="minorEastAsia" w:hAnsiTheme="minorEastAsia" w:cstheme="minorEastAsia"/>
                <w:szCs w:val="21"/>
              </w:rPr>
            </w:pPr>
            <w:r>
              <w:rPr>
                <w:rFonts w:hint="eastAsia" w:asciiTheme="minorEastAsia" w:hAnsiTheme="minorEastAsia" w:cstheme="minorEastAsia"/>
                <w:szCs w:val="21"/>
              </w:rPr>
              <w:t>②可防止污物进入阀门芯；</w:t>
            </w:r>
          </w:p>
          <w:p>
            <w:pPr>
              <w:widowControl/>
              <w:rPr>
                <w:rFonts w:asciiTheme="minorEastAsia" w:hAnsiTheme="minorEastAsia" w:cstheme="minorEastAsia"/>
                <w:szCs w:val="21"/>
              </w:rPr>
            </w:pPr>
            <w:r>
              <w:rPr>
                <w:rFonts w:hint="eastAsia" w:asciiTheme="minorEastAsia" w:hAnsiTheme="minorEastAsia" w:cstheme="minorEastAsia"/>
                <w:szCs w:val="21"/>
              </w:rPr>
              <w:t>③耐酸、耐碱及耐锈蚀。出水嘴可拆卸，内有成型螺纹，可方便连接循环等特殊用水水管。</w:t>
            </w:r>
          </w:p>
        </w:tc>
      </w:tr>
    </w:tbl>
    <w:p>
      <w:pPr>
        <w:widowControl/>
        <w:rPr>
          <w:rFonts w:asciiTheme="minorEastAsia" w:hAnsiTheme="minorEastAsia" w:cstheme="minorEastAsia"/>
          <w:b/>
          <w:bCs/>
          <w:szCs w:val="21"/>
        </w:rPr>
      </w:pPr>
      <w:r>
        <w:rPr>
          <w:rFonts w:hint="eastAsia" w:asciiTheme="minorEastAsia" w:hAnsiTheme="minorEastAsia" w:cstheme="minorEastAsia"/>
          <w:b/>
          <w:bCs/>
          <w:szCs w:val="21"/>
        </w:rPr>
        <w:t>5、水槽技术要求</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名称</w:t>
            </w:r>
          </w:p>
        </w:tc>
        <w:tc>
          <w:tcPr>
            <w:tcW w:w="4089" w:type="pct"/>
            <w:vAlign w:val="center"/>
          </w:tcPr>
          <w:p>
            <w:pPr>
              <w:jc w:val="center"/>
              <w:rPr>
                <w:rFonts w:asciiTheme="minorEastAsia" w:hAnsiTheme="minorEastAsia" w:cstheme="minorEastAsia"/>
                <w:b/>
                <w:bCs/>
                <w:szCs w:val="21"/>
              </w:rPr>
            </w:pPr>
            <w:r>
              <w:rPr>
                <w:rFonts w:hint="eastAsia" w:asciiTheme="minorEastAsia" w:hAnsiTheme="minorEastAsia" w:cstheme="minorEastAsia"/>
                <w:b/>
                <w:bCs/>
                <w:szCs w:val="21"/>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rPr>
                <w:rFonts w:asciiTheme="minorEastAsia" w:hAnsiTheme="minorEastAsia" w:cstheme="minorEastAsia"/>
                <w:szCs w:val="21"/>
              </w:rPr>
            </w:pPr>
            <w:r>
              <w:rPr>
                <w:rFonts w:hint="eastAsia" w:asciiTheme="minorEastAsia" w:hAnsiTheme="minorEastAsia" w:cstheme="minorEastAsia"/>
                <w:szCs w:val="21"/>
              </w:rPr>
              <w:t>--高密度PP材质，厚度7mm具有弹性。</w:t>
            </w:r>
          </w:p>
          <w:p>
            <w:pPr>
              <w:widowControl/>
              <w:rPr>
                <w:rFonts w:asciiTheme="minorEastAsia" w:hAnsiTheme="minorEastAsia" w:cstheme="minorEastAsia"/>
                <w:szCs w:val="21"/>
              </w:rPr>
            </w:pPr>
            <w:r>
              <w:rPr>
                <w:rFonts w:hint="eastAsia" w:asciiTheme="minorEastAsia" w:hAnsiTheme="minorEastAsia" w:cstheme="minorEastAsia"/>
                <w:szCs w:val="21"/>
              </w:rPr>
              <w:t>--耐酸碱及有机溶剂，如王水等；稳定性强，并具弹性、韧性，不易老化。--表面纹理：槽沿表面处理为皮纹，耐刻刮，与大部分台面板表现纹理一致。</w:t>
            </w:r>
          </w:p>
          <w:p>
            <w:pPr>
              <w:widowControl/>
              <w:rPr>
                <w:rFonts w:asciiTheme="minorEastAsia" w:hAnsiTheme="minorEastAsia" w:cstheme="minorEastAsia"/>
                <w:szCs w:val="21"/>
              </w:rPr>
            </w:pPr>
            <w:r>
              <w:rPr>
                <w:rFonts w:hint="eastAsia" w:asciiTheme="minorEastAsia" w:hAnsiTheme="minorEastAsia" w:cstheme="minorEastAsia"/>
                <w:szCs w:val="21"/>
              </w:rPr>
              <w:t>--附件有高密度PP去水、阻水盖、PP提笼。</w:t>
            </w:r>
          </w:p>
          <w:p>
            <w:pPr>
              <w:widowControl/>
              <w:rPr>
                <w:rFonts w:asciiTheme="minorEastAsia" w:hAnsiTheme="minorEastAsia" w:cstheme="minorEastAsia"/>
                <w:szCs w:val="21"/>
              </w:rPr>
            </w:pPr>
            <w:r>
              <w:rPr>
                <w:rFonts w:hint="eastAsia" w:asciiTheme="minorEastAsia" w:hAnsiTheme="minorEastAsia" w:cstheme="minorEastAsia"/>
                <w:szCs w:val="21"/>
              </w:rPr>
              <w:t>--水槽规格550*450*300mm，颜色黑色。</w:t>
            </w:r>
          </w:p>
        </w:tc>
      </w:tr>
    </w:tbl>
    <w:p>
      <w:pPr>
        <w:widowControl/>
        <w:rPr>
          <w:rFonts w:asciiTheme="minorEastAsia" w:hAnsiTheme="minorEastAsia" w:cstheme="minorEastAsia"/>
          <w:b/>
          <w:bCs/>
          <w:szCs w:val="21"/>
        </w:rPr>
      </w:pPr>
      <w:bookmarkStart w:id="21" w:name="_Toc11913"/>
      <w:bookmarkStart w:id="22" w:name="_Toc18440"/>
      <w:bookmarkStart w:id="23" w:name="_Toc534285911"/>
      <w:r>
        <w:rPr>
          <w:rFonts w:hint="eastAsia" w:asciiTheme="minorEastAsia" w:hAnsiTheme="minorEastAsia" w:cstheme="minorEastAsia"/>
          <w:b/>
          <w:bCs/>
          <w:szCs w:val="21"/>
        </w:rPr>
        <w:t>3）实验室洁净系统技术要求</w:t>
      </w:r>
      <w:bookmarkEnd w:id="21"/>
      <w:bookmarkEnd w:id="22"/>
      <w:bookmarkEnd w:id="23"/>
    </w:p>
    <w:p>
      <w:pPr>
        <w:widowControl/>
        <w:rPr>
          <w:rFonts w:asciiTheme="minorEastAsia" w:hAnsiTheme="minorEastAsia" w:cstheme="minorEastAsia"/>
          <w:b/>
          <w:bCs/>
          <w:szCs w:val="21"/>
        </w:rPr>
      </w:pPr>
      <w:bookmarkStart w:id="24" w:name="_Toc29084"/>
      <w:r>
        <w:rPr>
          <w:rFonts w:hint="eastAsia" w:asciiTheme="minorEastAsia" w:hAnsiTheme="minorEastAsia" w:cstheme="minorEastAsia"/>
          <w:b/>
          <w:bCs/>
          <w:szCs w:val="21"/>
        </w:rPr>
        <w:t>1、设计规划及依据：</w:t>
      </w:r>
      <w:bookmarkEnd w:id="24"/>
    </w:p>
    <w:p>
      <w:pPr>
        <w:widowControl/>
        <w:rPr>
          <w:rFonts w:asciiTheme="minorEastAsia" w:hAnsiTheme="minorEastAsia" w:cstheme="minorEastAsia"/>
          <w:szCs w:val="21"/>
        </w:rPr>
      </w:pPr>
      <w:r>
        <w:rPr>
          <w:rFonts w:hint="eastAsia" w:asciiTheme="minorEastAsia" w:hAnsiTheme="minorEastAsia" w:cstheme="minorEastAsia"/>
          <w:szCs w:val="21"/>
        </w:rPr>
        <w:t>⑴《建筑设计防火规范》                         （GB50016-2006）</w:t>
      </w:r>
    </w:p>
    <w:p>
      <w:pPr>
        <w:widowControl/>
        <w:rPr>
          <w:rFonts w:asciiTheme="minorEastAsia" w:hAnsiTheme="minorEastAsia" w:cstheme="minorEastAsia"/>
          <w:szCs w:val="21"/>
        </w:rPr>
      </w:pPr>
      <w:r>
        <w:rPr>
          <w:rFonts w:hint="eastAsia" w:asciiTheme="minorEastAsia" w:hAnsiTheme="minorEastAsia" w:cstheme="minorEastAsia"/>
          <w:szCs w:val="21"/>
        </w:rPr>
        <w:t>⑵《采暖通风与空气调节设计规范》               （2012版）</w:t>
      </w:r>
    </w:p>
    <w:p>
      <w:pPr>
        <w:widowControl/>
        <w:rPr>
          <w:rFonts w:asciiTheme="minorEastAsia" w:hAnsiTheme="minorEastAsia" w:cstheme="minorEastAsia"/>
          <w:szCs w:val="21"/>
        </w:rPr>
      </w:pPr>
      <w:r>
        <w:rPr>
          <w:rFonts w:hint="eastAsia" w:asciiTheme="minorEastAsia" w:hAnsiTheme="minorEastAsia" w:cstheme="minorEastAsia"/>
          <w:szCs w:val="21"/>
        </w:rPr>
        <w:t>⑶《洁净厂房设计规范》                         （GB50073-2013）</w:t>
      </w:r>
    </w:p>
    <w:p>
      <w:pPr>
        <w:widowControl/>
        <w:rPr>
          <w:rFonts w:asciiTheme="minorEastAsia" w:hAnsiTheme="minorEastAsia" w:cstheme="minorEastAsia"/>
          <w:szCs w:val="21"/>
        </w:rPr>
      </w:pPr>
      <w:r>
        <w:rPr>
          <w:rFonts w:hint="eastAsia" w:asciiTheme="minorEastAsia" w:hAnsiTheme="minorEastAsia" w:cstheme="minorEastAsia"/>
          <w:szCs w:val="21"/>
        </w:rPr>
        <w:t>⑷《洁净室施工及验收规范》                       (2010版)</w:t>
      </w:r>
    </w:p>
    <w:p>
      <w:pPr>
        <w:widowControl/>
        <w:rPr>
          <w:rFonts w:asciiTheme="minorEastAsia" w:hAnsiTheme="minorEastAsia" w:cstheme="minorEastAsia"/>
          <w:szCs w:val="21"/>
        </w:rPr>
      </w:pPr>
      <w:r>
        <w:rPr>
          <w:rFonts w:hint="eastAsia" w:asciiTheme="minorEastAsia" w:hAnsiTheme="minorEastAsia" w:cstheme="minorEastAsia"/>
          <w:szCs w:val="21"/>
        </w:rPr>
        <w:t>⑸《药品生产质量管理规范》《实验室生物安全通用要求》GB19489-2004；《生物安全实验室建筑技术规范》GB50346-2011。</w:t>
      </w:r>
    </w:p>
    <w:p>
      <w:pPr>
        <w:widowControl/>
        <w:rPr>
          <w:rFonts w:asciiTheme="minorEastAsia" w:hAnsiTheme="minorEastAsia" w:cstheme="minorEastAsia"/>
          <w:szCs w:val="21"/>
        </w:rPr>
      </w:pPr>
      <w:r>
        <w:rPr>
          <w:rFonts w:hint="eastAsia" w:asciiTheme="minorEastAsia" w:hAnsiTheme="minorEastAsia" w:cstheme="minorEastAsia"/>
          <w:szCs w:val="21"/>
        </w:rPr>
        <w:t>⑹国家其他有关建筑、技术改造及实验室相关要求、规范。</w:t>
      </w:r>
    </w:p>
    <w:p>
      <w:pPr>
        <w:widowControl/>
        <w:rPr>
          <w:rFonts w:asciiTheme="minorEastAsia" w:hAnsiTheme="minorEastAsia" w:cstheme="minorEastAsia"/>
          <w:b/>
          <w:bCs/>
          <w:szCs w:val="21"/>
        </w:rPr>
      </w:pPr>
      <w:bookmarkStart w:id="25" w:name="_Toc838"/>
      <w:r>
        <w:rPr>
          <w:rFonts w:hint="eastAsia" w:asciiTheme="minorEastAsia" w:hAnsiTheme="minorEastAsia" w:cstheme="minorEastAsia"/>
          <w:b/>
          <w:bCs/>
          <w:szCs w:val="21"/>
        </w:rPr>
        <w:t>2、设计范围</w:t>
      </w:r>
      <w:bookmarkEnd w:id="25"/>
    </w:p>
    <w:p>
      <w:pPr>
        <w:widowControl/>
        <w:rPr>
          <w:rFonts w:asciiTheme="minorEastAsia" w:hAnsiTheme="minorEastAsia" w:cstheme="minorEastAsia"/>
          <w:szCs w:val="21"/>
        </w:rPr>
      </w:pPr>
      <w:r>
        <w:rPr>
          <w:rFonts w:hint="eastAsia" w:asciiTheme="minorEastAsia" w:hAnsiTheme="minorEastAsia" w:cstheme="minorEastAsia"/>
          <w:szCs w:val="21"/>
        </w:rPr>
        <w:t>P2+实验室</w:t>
      </w:r>
    </w:p>
    <w:p>
      <w:pPr>
        <w:widowControl/>
        <w:rPr>
          <w:rFonts w:asciiTheme="minorEastAsia" w:hAnsiTheme="minorEastAsia" w:cstheme="minorEastAsia"/>
          <w:b/>
          <w:bCs/>
          <w:szCs w:val="21"/>
        </w:rPr>
      </w:pPr>
      <w:bookmarkStart w:id="26" w:name="_Toc29830"/>
      <w:r>
        <w:rPr>
          <w:rFonts w:hint="eastAsia" w:asciiTheme="minorEastAsia" w:hAnsiTheme="minorEastAsia" w:cstheme="minorEastAsia"/>
          <w:b/>
          <w:bCs/>
          <w:szCs w:val="21"/>
        </w:rPr>
        <w:t>3、室内设计参数：</w:t>
      </w:r>
      <w:bookmarkEnd w:id="26"/>
    </w:p>
    <w:p>
      <w:pPr>
        <w:widowControl/>
        <w:rPr>
          <w:rFonts w:asciiTheme="minorEastAsia" w:hAnsiTheme="minorEastAsia" w:cstheme="minorEastAsia"/>
          <w:szCs w:val="21"/>
        </w:rPr>
      </w:pPr>
      <w:r>
        <w:rPr>
          <w:rFonts w:hint="eastAsia" w:asciiTheme="minorEastAsia" w:hAnsiTheme="minorEastAsia" w:cstheme="minorEastAsia"/>
          <w:szCs w:val="21"/>
        </w:rPr>
        <w:t>洁净室级别：万级（正压） 十万级（正压）</w:t>
      </w:r>
    </w:p>
    <w:p>
      <w:pPr>
        <w:widowControl/>
        <w:rPr>
          <w:rFonts w:asciiTheme="minorEastAsia" w:hAnsiTheme="minorEastAsia" w:cstheme="minorEastAsia"/>
          <w:szCs w:val="21"/>
        </w:rPr>
      </w:pPr>
      <w:r>
        <w:rPr>
          <w:rFonts w:hint="eastAsia" w:asciiTheme="minorEastAsia" w:hAnsiTheme="minorEastAsia" w:cstheme="minorEastAsia"/>
          <w:szCs w:val="21"/>
        </w:rPr>
        <w:t>室内相对湿度：45-75%</w:t>
      </w:r>
    </w:p>
    <w:p>
      <w:pPr>
        <w:widowControl/>
        <w:rPr>
          <w:rFonts w:asciiTheme="minorEastAsia" w:hAnsiTheme="minorEastAsia" w:cstheme="minorEastAsia"/>
          <w:szCs w:val="21"/>
        </w:rPr>
      </w:pPr>
      <w:r>
        <w:rPr>
          <w:rFonts w:hint="eastAsia" w:asciiTheme="minorEastAsia" w:hAnsiTheme="minorEastAsia" w:cstheme="minorEastAsia"/>
          <w:szCs w:val="21"/>
        </w:rPr>
        <w:t>室内温度： 18-26℃</w:t>
      </w:r>
    </w:p>
    <w:p>
      <w:pPr>
        <w:widowControl/>
        <w:rPr>
          <w:rFonts w:asciiTheme="minorEastAsia" w:hAnsiTheme="minorEastAsia" w:cstheme="minorEastAsia"/>
          <w:b/>
          <w:bCs/>
          <w:szCs w:val="21"/>
        </w:rPr>
      </w:pPr>
      <w:bookmarkStart w:id="27" w:name="_Toc31160"/>
      <w:r>
        <w:rPr>
          <w:rFonts w:hint="eastAsia" w:asciiTheme="minorEastAsia" w:hAnsiTheme="minorEastAsia" w:cstheme="minorEastAsia"/>
          <w:b/>
          <w:bCs/>
          <w:szCs w:val="21"/>
        </w:rPr>
        <w:t>4、工程要求：</w:t>
      </w:r>
      <w:bookmarkEnd w:id="27"/>
    </w:p>
    <w:p>
      <w:pPr>
        <w:widowControl/>
        <w:rPr>
          <w:rFonts w:asciiTheme="minorEastAsia" w:hAnsiTheme="minorEastAsia" w:cstheme="minorEastAsia"/>
          <w:szCs w:val="21"/>
        </w:rPr>
      </w:pPr>
      <w:r>
        <w:rPr>
          <w:rFonts w:hint="eastAsia" w:asciiTheme="minorEastAsia" w:hAnsiTheme="minorEastAsia" w:cstheme="minorEastAsia"/>
          <w:szCs w:val="21"/>
        </w:rPr>
        <w:t>（1）万级净化区设计换气次数为30次/小时， 十万级净化区设计换气次数为20次/小时气流形式为乱流型，顶送下侧回；</w:t>
      </w:r>
    </w:p>
    <w:p>
      <w:pPr>
        <w:widowControl/>
        <w:rPr>
          <w:rFonts w:asciiTheme="minorEastAsia" w:hAnsiTheme="minorEastAsia" w:cstheme="minorEastAsia"/>
          <w:b/>
          <w:bCs/>
          <w:szCs w:val="21"/>
        </w:rPr>
      </w:pPr>
      <w:bookmarkStart w:id="28" w:name="_Toc15420"/>
      <w:r>
        <w:rPr>
          <w:rFonts w:hint="eastAsia" w:asciiTheme="minorEastAsia" w:hAnsiTheme="minorEastAsia" w:cstheme="minorEastAsia"/>
          <w:b/>
          <w:bCs/>
          <w:szCs w:val="21"/>
        </w:rPr>
        <w:t>5、隔墙吊顶部分：</w:t>
      </w:r>
      <w:bookmarkEnd w:id="28"/>
    </w:p>
    <w:p>
      <w:pPr>
        <w:widowControl/>
        <w:rPr>
          <w:rFonts w:asciiTheme="minorEastAsia" w:hAnsiTheme="minorEastAsia" w:cstheme="minorEastAsia"/>
          <w:szCs w:val="21"/>
        </w:rPr>
      </w:pPr>
      <w:r>
        <w:rPr>
          <w:rFonts w:hint="eastAsia" w:asciiTheme="minorEastAsia" w:hAnsiTheme="minorEastAsia" w:cstheme="minorEastAsia"/>
          <w:szCs w:val="21"/>
        </w:rPr>
        <w:t>（1）手工隔断、吊顶彩钢板：板厚选用δ＝50mm，钢板为0.476mm厚钢板，双面覆膜，企口白灰色，采用双面玻镁夹芯板；铝型材：铝合金采用铝型材,表面经电泳或喷塑处理，门使用彩钢板净化门；彩钢板墙上开固定玻璃窗，尺寸详见施工图纸，采用钢化玻璃。彩钢板墙上门一律为净化密闭门，具体尺寸详见施工图纸。</w:t>
      </w:r>
    </w:p>
    <w:p>
      <w:pPr>
        <w:widowControl/>
        <w:rPr>
          <w:rFonts w:asciiTheme="minorEastAsia" w:hAnsiTheme="minorEastAsia" w:cstheme="minorEastAsia"/>
          <w:szCs w:val="21"/>
        </w:rPr>
      </w:pPr>
      <w:r>
        <w:rPr>
          <w:rFonts w:hint="eastAsia" w:asciiTheme="minorEastAsia" w:hAnsiTheme="minorEastAsia" w:cstheme="minorEastAsia"/>
          <w:szCs w:val="21"/>
        </w:rPr>
        <w:t>（2）板板之间的缝隙应在板安装完毕后用玻璃纤维密封胶密封，待技术夹层中管道全部施工完毕后，将板面彻底清除干净，板底面的缝隙（即露于洁净室内的一面）应用优质硅胶嵌缝，嵌缝应连接、严密、光滑。</w:t>
      </w:r>
    </w:p>
    <w:p>
      <w:pPr>
        <w:widowControl/>
        <w:rPr>
          <w:rFonts w:asciiTheme="minorEastAsia" w:hAnsiTheme="minorEastAsia" w:cstheme="minorEastAsia"/>
          <w:szCs w:val="21"/>
        </w:rPr>
      </w:pPr>
      <w:r>
        <w:rPr>
          <w:rFonts w:hint="eastAsia" w:asciiTheme="minorEastAsia" w:hAnsiTheme="minorEastAsia" w:cstheme="minorEastAsia"/>
          <w:szCs w:val="21"/>
        </w:rPr>
        <w:t>（3）非彩钢吊顶的彩钢板吊点间距不大于2m，专用吊杆应与屋面板锚固可靠。</w:t>
      </w:r>
    </w:p>
    <w:p>
      <w:pPr>
        <w:widowControl/>
        <w:rPr>
          <w:rFonts w:asciiTheme="minorEastAsia" w:hAnsiTheme="minorEastAsia" w:cstheme="minorEastAsia"/>
          <w:szCs w:val="21"/>
        </w:rPr>
      </w:pPr>
      <w:r>
        <w:rPr>
          <w:rFonts w:hint="eastAsia" w:asciiTheme="minorEastAsia" w:hAnsiTheme="minorEastAsia" w:cstheme="minorEastAsia"/>
          <w:szCs w:val="21"/>
        </w:rPr>
        <w:t>（4）洁净区内彩钢板隔墙与吊顶、隔墙与隔墙及地面交接处安装铝合金圆弧压条、压条间缝应紧密接合，安装完毕后四周缝隙用密封胶密封，嵌缝应严密、美观、光滑，不能有间断。</w:t>
      </w:r>
    </w:p>
    <w:p>
      <w:pPr>
        <w:widowControl/>
        <w:rPr>
          <w:rFonts w:asciiTheme="minorEastAsia" w:hAnsiTheme="minorEastAsia" w:cstheme="minorEastAsia"/>
          <w:b/>
          <w:bCs/>
          <w:szCs w:val="21"/>
        </w:rPr>
      </w:pPr>
      <w:bookmarkStart w:id="29" w:name="_Toc10136"/>
      <w:r>
        <w:rPr>
          <w:rFonts w:hint="eastAsia" w:asciiTheme="minorEastAsia" w:hAnsiTheme="minorEastAsia" w:cstheme="minorEastAsia"/>
          <w:b/>
          <w:bCs/>
          <w:szCs w:val="21"/>
        </w:rPr>
        <w:t>6、空调系统</w:t>
      </w:r>
      <w:bookmarkEnd w:id="29"/>
    </w:p>
    <w:p>
      <w:pPr>
        <w:widowControl/>
        <w:rPr>
          <w:rFonts w:asciiTheme="minorEastAsia" w:hAnsiTheme="minorEastAsia" w:cstheme="minorEastAsia"/>
          <w:b/>
          <w:bCs/>
          <w:szCs w:val="21"/>
        </w:rPr>
      </w:pPr>
      <w:r>
        <w:rPr>
          <w:rFonts w:hint="eastAsia" w:asciiTheme="minorEastAsia" w:hAnsiTheme="minorEastAsia" w:cstheme="minorEastAsia"/>
          <w:b/>
          <w:bCs/>
          <w:szCs w:val="21"/>
        </w:rPr>
        <w:t>6.1 气流组织</w:t>
      </w:r>
    </w:p>
    <w:p>
      <w:pPr>
        <w:widowControl/>
        <w:rPr>
          <w:rFonts w:asciiTheme="minorEastAsia" w:hAnsiTheme="minorEastAsia" w:cstheme="minorEastAsia"/>
          <w:szCs w:val="21"/>
        </w:rPr>
      </w:pPr>
      <w:r>
        <w:rPr>
          <w:rFonts w:hint="eastAsia" w:asciiTheme="minorEastAsia" w:hAnsiTheme="minorEastAsia" w:cstheme="minorEastAsia"/>
          <w:szCs w:val="21"/>
        </w:rPr>
        <w:t>（1）合理的处理洁净空气、新风、回风、排风之间的关系，使整个洁净实验</w:t>
      </w:r>
    </w:p>
    <w:p>
      <w:pPr>
        <w:widowControl/>
        <w:rPr>
          <w:rFonts w:asciiTheme="minorEastAsia" w:hAnsiTheme="minorEastAsia" w:cstheme="minorEastAsia"/>
          <w:szCs w:val="21"/>
        </w:rPr>
      </w:pPr>
      <w:r>
        <w:rPr>
          <w:rFonts w:hint="eastAsia" w:asciiTheme="minorEastAsia" w:hAnsiTheme="minorEastAsia" w:cstheme="minorEastAsia"/>
          <w:szCs w:val="21"/>
        </w:rPr>
        <w:t>室管理灵活、方便。新风与回风经过滤、冷却（加热）、加压等功能段后通过保温送风口送入各房间，系统末端均为高效过滤器，安装于各洁净室洁净空气入口处 ，高过滤器均在室内更换。洁净室安装微压差计，室内保持正压，洁净室与相邻相通不同洁净级别的洁净室之间的静压差&gt;5Pa，与室外静压差&gt;10Pa。</w:t>
      </w:r>
    </w:p>
    <w:p>
      <w:pPr>
        <w:widowControl/>
        <w:rPr>
          <w:rFonts w:asciiTheme="minorEastAsia" w:hAnsiTheme="minorEastAsia" w:cstheme="minorEastAsia"/>
          <w:szCs w:val="21"/>
        </w:rPr>
      </w:pPr>
      <w:r>
        <w:rPr>
          <w:rFonts w:hint="eastAsia" w:asciiTheme="minorEastAsia" w:hAnsiTheme="minorEastAsia" w:cstheme="minorEastAsia"/>
          <w:szCs w:val="21"/>
        </w:rPr>
        <w:t>（2）洁净实验室应采用下侧回风，不宜采用顶回。回风口洞口上边高度不应超过地面之上0.5m，洞口下边离地面不低于0.1m，室内回风口气流速度不应大于1.6m/s，通道回风口气流速度不应大于3m/s。</w:t>
      </w:r>
    </w:p>
    <w:p>
      <w:pPr>
        <w:widowControl/>
        <w:rPr>
          <w:rFonts w:asciiTheme="minorEastAsia" w:hAnsiTheme="minorEastAsia" w:cstheme="minorEastAsia"/>
          <w:szCs w:val="21"/>
        </w:rPr>
      </w:pPr>
      <w:r>
        <w:rPr>
          <w:rFonts w:hint="eastAsia" w:asciiTheme="minorEastAsia" w:hAnsiTheme="minorEastAsia" w:cstheme="minorEastAsia"/>
          <w:szCs w:val="21"/>
        </w:rPr>
        <w:t>（3）三级过滤要求：初效，中效位于净化空调机组内，高效过滤器位于送风末端。高效过滤器过滤（H13）效率0.5μm应达到99.99%。应便于过滤器维修，维修人员无需进入洁净室即可维修。。各级过滤器不得采用木框结构，且高效过滤器必须布置在房间内的送风口内，采用上送下回式的气流组织形式。</w:t>
      </w:r>
    </w:p>
    <w:p>
      <w:pPr>
        <w:widowControl/>
        <w:rPr>
          <w:rFonts w:asciiTheme="minorEastAsia" w:hAnsiTheme="minorEastAsia" w:cstheme="minorEastAsia"/>
          <w:b/>
          <w:bCs/>
          <w:szCs w:val="21"/>
        </w:rPr>
      </w:pPr>
      <w:r>
        <w:rPr>
          <w:rFonts w:hint="eastAsia" w:asciiTheme="minorEastAsia" w:hAnsiTheme="minorEastAsia" w:cstheme="minorEastAsia"/>
          <w:b/>
          <w:bCs/>
          <w:szCs w:val="21"/>
        </w:rPr>
        <w:t>6.2 净化空调机组配置要求：</w:t>
      </w:r>
    </w:p>
    <w:p>
      <w:pPr>
        <w:widowControl/>
        <w:rPr>
          <w:rFonts w:asciiTheme="minorEastAsia" w:hAnsiTheme="minorEastAsia" w:cstheme="minorEastAsia"/>
          <w:szCs w:val="21"/>
        </w:rPr>
      </w:pPr>
      <w:r>
        <w:rPr>
          <w:rFonts w:hint="eastAsia" w:asciiTheme="minorEastAsia" w:hAnsiTheme="minorEastAsia" w:cstheme="minorEastAsia"/>
          <w:szCs w:val="21"/>
        </w:rPr>
        <w:t>净化循环空气处理机组：空调系统万级实验室选用风冷管道式空调机加增压风机箱， 要求空调机组总体工艺性好、效率高，噪声低，故障率低，漏风率低，操作维护方便。</w:t>
      </w:r>
    </w:p>
    <w:p>
      <w:pPr>
        <w:widowControl/>
        <w:rPr>
          <w:rFonts w:asciiTheme="minorEastAsia" w:hAnsiTheme="minorEastAsia" w:cstheme="minorEastAsia"/>
          <w:b/>
          <w:bCs/>
          <w:szCs w:val="21"/>
        </w:rPr>
      </w:pPr>
      <w:r>
        <w:rPr>
          <w:rFonts w:hint="eastAsia" w:asciiTheme="minorEastAsia" w:hAnsiTheme="minorEastAsia" w:cstheme="minorEastAsia"/>
          <w:b/>
          <w:bCs/>
          <w:szCs w:val="21"/>
        </w:rPr>
        <w:t>6.3 净化空调系统部件与材料</w:t>
      </w:r>
    </w:p>
    <w:p>
      <w:pPr>
        <w:widowControl/>
        <w:rPr>
          <w:rFonts w:asciiTheme="minorEastAsia" w:hAnsiTheme="minorEastAsia" w:cstheme="minorEastAsia"/>
          <w:b/>
          <w:bCs/>
          <w:szCs w:val="21"/>
        </w:rPr>
      </w:pPr>
      <w:r>
        <w:rPr>
          <w:rFonts w:hint="eastAsia" w:asciiTheme="minorEastAsia" w:hAnsiTheme="minorEastAsia" w:cstheme="minorEastAsia"/>
          <w:b/>
          <w:bCs/>
          <w:szCs w:val="21"/>
        </w:rPr>
        <w:t>（1）空调设备部件的选用应满足下列要求</w:t>
      </w:r>
    </w:p>
    <w:p>
      <w:pPr>
        <w:widowControl/>
        <w:rPr>
          <w:rFonts w:asciiTheme="minorEastAsia" w:hAnsiTheme="minorEastAsia" w:cstheme="minorEastAsia"/>
          <w:szCs w:val="21"/>
        </w:rPr>
      </w:pPr>
      <w:r>
        <w:rPr>
          <w:rFonts w:hint="eastAsia" w:asciiTheme="minorEastAsia" w:hAnsiTheme="minorEastAsia" w:cstheme="minorEastAsia"/>
          <w:szCs w:val="21"/>
        </w:rPr>
        <w:t>①净化空调机组内表面及内置零件部件应选用易清洁材料，材质表面应光洁。</w:t>
      </w:r>
    </w:p>
    <w:p>
      <w:pPr>
        <w:widowControl/>
        <w:rPr>
          <w:rFonts w:asciiTheme="minorEastAsia" w:hAnsiTheme="minorEastAsia" w:cstheme="minorEastAsia"/>
          <w:szCs w:val="21"/>
        </w:rPr>
      </w:pPr>
      <w:r>
        <w:rPr>
          <w:rFonts w:hint="eastAsia" w:asciiTheme="minorEastAsia" w:hAnsiTheme="minorEastAsia" w:cstheme="minorEastAsia"/>
          <w:szCs w:val="21"/>
        </w:rPr>
        <w:t>②内部结构应便于清洁，并能顺利排放清洗废水，不易洁尘、滋生细菌。</w:t>
      </w:r>
    </w:p>
    <w:p>
      <w:pPr>
        <w:widowControl/>
        <w:rPr>
          <w:rFonts w:asciiTheme="minorEastAsia" w:hAnsiTheme="minorEastAsia" w:cstheme="minorEastAsia"/>
          <w:szCs w:val="21"/>
        </w:rPr>
      </w:pPr>
      <w:r>
        <w:rPr>
          <w:rFonts w:hint="eastAsia" w:asciiTheme="minorEastAsia" w:hAnsiTheme="minorEastAsia" w:cstheme="minorEastAsia"/>
          <w:szCs w:val="21"/>
        </w:rPr>
        <w:t>③机组内各级空气过滤器安装严密。</w:t>
      </w:r>
    </w:p>
    <w:p>
      <w:pPr>
        <w:widowControl/>
        <w:rPr>
          <w:rFonts w:asciiTheme="minorEastAsia" w:hAnsiTheme="minorEastAsia" w:cstheme="minorEastAsia"/>
          <w:szCs w:val="21"/>
        </w:rPr>
      </w:pPr>
      <w:r>
        <w:rPr>
          <w:rFonts w:hint="eastAsia" w:asciiTheme="minorEastAsia" w:hAnsiTheme="minorEastAsia" w:cstheme="minorEastAsia"/>
          <w:szCs w:val="21"/>
        </w:rPr>
        <w:t>④不应采用淋水式空气处理器。</w:t>
      </w:r>
    </w:p>
    <w:p>
      <w:pPr>
        <w:widowControl/>
        <w:rPr>
          <w:rFonts w:asciiTheme="minorEastAsia" w:hAnsiTheme="minorEastAsia" w:cstheme="minorEastAsia"/>
          <w:szCs w:val="21"/>
        </w:rPr>
      </w:pPr>
      <w:r>
        <w:rPr>
          <w:rFonts w:hint="eastAsia" w:asciiTheme="minorEastAsia" w:hAnsiTheme="minorEastAsia" w:cstheme="minorEastAsia"/>
          <w:szCs w:val="21"/>
        </w:rPr>
        <w:t>⑤加湿设备与其后的空调设备段之间要有足够的距离。</w:t>
      </w:r>
    </w:p>
    <w:p>
      <w:pPr>
        <w:widowControl/>
        <w:rPr>
          <w:rFonts w:asciiTheme="minorEastAsia" w:hAnsiTheme="minorEastAsia" w:cstheme="minorEastAsia"/>
          <w:szCs w:val="21"/>
        </w:rPr>
      </w:pPr>
      <w:r>
        <w:rPr>
          <w:rFonts w:hint="eastAsia" w:asciiTheme="minorEastAsia" w:hAnsiTheme="minorEastAsia" w:cstheme="minorEastAsia"/>
          <w:szCs w:val="21"/>
        </w:rPr>
        <w:t>⑥空调机组箱体的密封应可靠。</w:t>
      </w:r>
    </w:p>
    <w:p>
      <w:pPr>
        <w:widowControl/>
        <w:rPr>
          <w:rFonts w:asciiTheme="minorEastAsia" w:hAnsiTheme="minorEastAsia" w:cstheme="minorEastAsia"/>
          <w:szCs w:val="21"/>
        </w:rPr>
      </w:pPr>
      <w:r>
        <w:rPr>
          <w:rFonts w:hint="eastAsia" w:asciiTheme="minorEastAsia" w:hAnsiTheme="minorEastAsia" w:cstheme="minorEastAsia"/>
          <w:szCs w:val="21"/>
        </w:rPr>
        <w:t>⑦箱体的漏风率少于2%。</w:t>
      </w:r>
    </w:p>
    <w:p>
      <w:pPr>
        <w:widowControl/>
        <w:rPr>
          <w:rFonts w:asciiTheme="minorEastAsia" w:hAnsiTheme="minorEastAsia" w:cstheme="minorEastAsia"/>
          <w:b/>
          <w:bCs/>
          <w:szCs w:val="21"/>
        </w:rPr>
      </w:pPr>
      <w:r>
        <w:rPr>
          <w:rFonts w:hint="eastAsia" w:asciiTheme="minorEastAsia" w:hAnsiTheme="minorEastAsia" w:cstheme="minorEastAsia"/>
          <w:b/>
          <w:bCs/>
          <w:szCs w:val="21"/>
        </w:rPr>
        <w:t>（2）空调系统材料的选用应满足下列要求</w:t>
      </w:r>
    </w:p>
    <w:p>
      <w:pPr>
        <w:widowControl/>
        <w:rPr>
          <w:rFonts w:asciiTheme="minorEastAsia" w:hAnsiTheme="minorEastAsia" w:cstheme="minorEastAsia"/>
          <w:szCs w:val="21"/>
        </w:rPr>
      </w:pPr>
      <w:r>
        <w:rPr>
          <w:rFonts w:hint="eastAsia" w:asciiTheme="minorEastAsia" w:hAnsiTheme="minorEastAsia" w:cstheme="minorEastAsia"/>
          <w:szCs w:val="21"/>
        </w:rPr>
        <w:t>①消声器或消声部件的用材应能耐腐蚀、不吸潮、不积尘、不产尘，其填充料不允许使用玻璃纤维及其制品。</w:t>
      </w:r>
    </w:p>
    <w:p>
      <w:pPr>
        <w:widowControl/>
        <w:rPr>
          <w:rFonts w:asciiTheme="minorEastAsia" w:hAnsiTheme="minorEastAsia" w:cstheme="minorEastAsia"/>
          <w:szCs w:val="21"/>
        </w:rPr>
      </w:pPr>
      <w:r>
        <w:rPr>
          <w:rFonts w:hint="eastAsia" w:asciiTheme="minorEastAsia" w:hAnsiTheme="minorEastAsia" w:cstheme="minorEastAsia"/>
          <w:szCs w:val="21"/>
        </w:rPr>
        <w:t>②机组内的初、中效过滤器要求应采用可清洗型，末级过滤器应采用不吸潮、不长菌的材料制作，不允许用木框制品，成品不应有刺激味。</w:t>
      </w:r>
    </w:p>
    <w:p>
      <w:pPr>
        <w:widowControl/>
        <w:rPr>
          <w:rFonts w:asciiTheme="minorEastAsia" w:hAnsiTheme="minorEastAsia" w:cstheme="minorEastAsia"/>
          <w:szCs w:val="21"/>
        </w:rPr>
      </w:pPr>
      <w:r>
        <w:rPr>
          <w:rFonts w:hint="eastAsia" w:asciiTheme="minorEastAsia" w:hAnsiTheme="minorEastAsia" w:cstheme="minorEastAsia"/>
          <w:szCs w:val="21"/>
        </w:rPr>
        <w:t>③洁净区各送风口配置高效过滤器，过滤效率达99.99%@0.5微米。</w:t>
      </w:r>
    </w:p>
    <w:p>
      <w:pPr>
        <w:widowControl/>
        <w:rPr>
          <w:rFonts w:asciiTheme="minorEastAsia" w:hAnsiTheme="minorEastAsia" w:cstheme="minorEastAsia"/>
          <w:b/>
          <w:bCs/>
          <w:szCs w:val="21"/>
        </w:rPr>
      </w:pPr>
      <w:r>
        <w:rPr>
          <w:rFonts w:hint="eastAsia" w:asciiTheme="minorEastAsia" w:hAnsiTheme="minorEastAsia" w:cstheme="minorEastAsia"/>
          <w:b/>
          <w:bCs/>
          <w:szCs w:val="21"/>
        </w:rPr>
        <w:t>（3）净化系统配置要求：</w:t>
      </w:r>
    </w:p>
    <w:p>
      <w:pPr>
        <w:widowControl/>
        <w:rPr>
          <w:rFonts w:asciiTheme="minorEastAsia" w:hAnsiTheme="minorEastAsia" w:cstheme="minorEastAsia"/>
          <w:szCs w:val="21"/>
        </w:rPr>
      </w:pPr>
      <w:r>
        <w:rPr>
          <w:rFonts w:hint="eastAsia" w:asciiTheme="minorEastAsia" w:hAnsiTheme="minorEastAsia" w:cstheme="minorEastAsia"/>
          <w:szCs w:val="21"/>
        </w:rPr>
        <w:t>空调系统新风口要采用防雨、防杂物、防昆虫及其他动物的措施，远离污染源。</w:t>
      </w:r>
    </w:p>
    <w:p>
      <w:pPr>
        <w:widowControl/>
        <w:rPr>
          <w:rFonts w:asciiTheme="minorEastAsia" w:hAnsiTheme="minorEastAsia" w:cstheme="minorEastAsia"/>
          <w:szCs w:val="21"/>
        </w:rPr>
      </w:pPr>
      <w:r>
        <w:rPr>
          <w:rFonts w:hint="eastAsia" w:asciiTheme="minorEastAsia" w:hAnsiTheme="minorEastAsia" w:cstheme="minorEastAsia"/>
          <w:szCs w:val="21"/>
        </w:rPr>
        <w:t>测量接管应通畅，安装严密。</w:t>
      </w:r>
    </w:p>
    <w:p>
      <w:pPr>
        <w:widowControl/>
        <w:rPr>
          <w:rFonts w:asciiTheme="minorEastAsia" w:hAnsiTheme="minorEastAsia" w:cstheme="minorEastAsia"/>
          <w:szCs w:val="21"/>
        </w:rPr>
      </w:pPr>
      <w:r>
        <w:rPr>
          <w:rFonts w:hint="eastAsia" w:asciiTheme="minorEastAsia" w:hAnsiTheme="minorEastAsia" w:cstheme="minorEastAsia"/>
          <w:szCs w:val="21"/>
        </w:rPr>
        <w:t>消声器或消声部件材料应耐腐蚀，不产尘和不易附着灰尘，其填充材料不应使用玻璃纤维及其制品。</w:t>
      </w:r>
    </w:p>
    <w:p>
      <w:pPr>
        <w:widowControl/>
        <w:rPr>
          <w:rFonts w:asciiTheme="minorEastAsia" w:hAnsiTheme="minorEastAsia" w:cstheme="minorEastAsia"/>
          <w:szCs w:val="21"/>
        </w:rPr>
      </w:pPr>
      <w:r>
        <w:rPr>
          <w:rFonts w:hint="eastAsia" w:asciiTheme="minorEastAsia" w:hAnsiTheme="minorEastAsia" w:cstheme="minorEastAsia"/>
          <w:szCs w:val="21"/>
        </w:rPr>
        <w:t>室内气流组织要合理，要合理布置高效送风口、回风口位置，避免死角、断流、短路。</w:t>
      </w:r>
    </w:p>
    <w:p>
      <w:pPr>
        <w:widowControl/>
        <w:rPr>
          <w:rFonts w:asciiTheme="minorEastAsia" w:hAnsiTheme="minorEastAsia" w:cstheme="minorEastAsia"/>
          <w:szCs w:val="21"/>
        </w:rPr>
      </w:pPr>
      <w:r>
        <w:rPr>
          <w:rFonts w:hint="eastAsia" w:asciiTheme="minorEastAsia" w:hAnsiTheme="minorEastAsia" w:cstheme="minorEastAsia"/>
          <w:szCs w:val="21"/>
        </w:rPr>
        <w:t>通风管道采用镀锌风管，加工件制作安装应符合国家相关标准。风管保温应采用橡塑材质，其厚度不小于20mm，不得采用不符合防火要求的材质。</w:t>
      </w:r>
    </w:p>
    <w:p>
      <w:pPr>
        <w:widowControl/>
        <w:rPr>
          <w:rFonts w:asciiTheme="minorEastAsia" w:hAnsiTheme="minorEastAsia" w:cstheme="minorEastAsia"/>
          <w:szCs w:val="21"/>
        </w:rPr>
      </w:pPr>
      <w:r>
        <w:rPr>
          <w:rFonts w:hint="eastAsia" w:asciiTheme="minorEastAsia" w:hAnsiTheme="minorEastAsia" w:cstheme="minorEastAsia"/>
          <w:szCs w:val="21"/>
        </w:rPr>
        <w:t>噪音要求：机组噪声控制应保证实验室的噪声满足或优于国家有关规定及规范要求(机房噪声≤56dB,实验室内噪声≤40dB)。</w:t>
      </w:r>
    </w:p>
    <w:p>
      <w:pPr>
        <w:widowControl/>
        <w:rPr>
          <w:rFonts w:asciiTheme="minorEastAsia" w:hAnsiTheme="minorEastAsia" w:cstheme="minorEastAsia"/>
          <w:b/>
          <w:bCs/>
          <w:szCs w:val="21"/>
        </w:rPr>
      </w:pPr>
      <w:bookmarkStart w:id="30" w:name="_Toc4416"/>
      <w:r>
        <w:rPr>
          <w:rFonts w:hint="eastAsia" w:asciiTheme="minorEastAsia" w:hAnsiTheme="minorEastAsia" w:cstheme="minorEastAsia"/>
          <w:b/>
          <w:bCs/>
          <w:szCs w:val="21"/>
        </w:rPr>
        <w:t>7、风管：</w:t>
      </w:r>
      <w:bookmarkEnd w:id="30"/>
    </w:p>
    <w:p>
      <w:pPr>
        <w:widowControl/>
        <w:rPr>
          <w:rFonts w:asciiTheme="minorEastAsia" w:hAnsiTheme="minorEastAsia" w:cstheme="minorEastAsia"/>
          <w:szCs w:val="21"/>
        </w:rPr>
      </w:pPr>
      <w:r>
        <w:rPr>
          <w:rFonts w:hint="eastAsia" w:asciiTheme="minorEastAsia" w:hAnsiTheme="minorEastAsia" w:cstheme="minorEastAsia"/>
          <w:szCs w:val="21"/>
        </w:rPr>
        <w:t>（1）风管材料采用本钢生产的镀锌钢板制作。</w:t>
      </w:r>
    </w:p>
    <w:p>
      <w:pPr>
        <w:widowControl/>
        <w:rPr>
          <w:rFonts w:asciiTheme="minorEastAsia" w:hAnsiTheme="minorEastAsia" w:cstheme="minorEastAsia"/>
          <w:szCs w:val="21"/>
        </w:rPr>
      </w:pPr>
      <w:r>
        <w:rPr>
          <w:rFonts w:hint="eastAsia" w:asciiTheme="minorEastAsia" w:hAnsiTheme="minorEastAsia" w:cstheme="minorEastAsia"/>
          <w:szCs w:val="21"/>
        </w:rPr>
        <w:t>钢板厚度与加工方法按《通风与空调工程施工质量验收规范》（GB50243-2002）的规定执行，所有配件用材与主材相同。</w:t>
      </w:r>
    </w:p>
    <w:p>
      <w:pPr>
        <w:widowControl/>
        <w:rPr>
          <w:rFonts w:asciiTheme="minorEastAsia" w:hAnsiTheme="minorEastAsia" w:cstheme="minorEastAsia"/>
          <w:szCs w:val="21"/>
        </w:rPr>
      </w:pPr>
      <w:r>
        <w:rPr>
          <w:rFonts w:hint="eastAsia" w:asciiTheme="minorEastAsia" w:hAnsiTheme="minorEastAsia" w:cstheme="minorEastAsia"/>
          <w:szCs w:val="21"/>
        </w:rPr>
        <w:t>（2）制作风管不得有横向拼接，尽量减少拼接，矩形风管底宽在900mm以内，不得有纵向接缝，在900mm以上，应尽量减少接缝。</w:t>
      </w:r>
    </w:p>
    <w:p>
      <w:pPr>
        <w:widowControl/>
        <w:rPr>
          <w:rFonts w:asciiTheme="minorEastAsia" w:hAnsiTheme="minorEastAsia" w:cstheme="minorEastAsia"/>
          <w:szCs w:val="21"/>
        </w:rPr>
      </w:pPr>
      <w:r>
        <w:rPr>
          <w:rFonts w:hint="eastAsia" w:asciiTheme="minorEastAsia" w:hAnsiTheme="minorEastAsia" w:cstheme="minorEastAsia"/>
          <w:szCs w:val="21"/>
        </w:rPr>
        <w:t>（3）铆接法兰加固框及部件应采用镀锌铆钉，法兰铆钉孔、法兰螺栓间距不应大于150mm。</w:t>
      </w:r>
    </w:p>
    <w:p>
      <w:pPr>
        <w:widowControl/>
        <w:rPr>
          <w:rFonts w:asciiTheme="minorEastAsia" w:hAnsiTheme="minorEastAsia" w:cstheme="minorEastAsia"/>
          <w:szCs w:val="21"/>
        </w:rPr>
      </w:pPr>
      <w:r>
        <w:rPr>
          <w:rFonts w:hint="eastAsia" w:asciiTheme="minorEastAsia" w:hAnsiTheme="minorEastAsia" w:cstheme="minorEastAsia"/>
          <w:szCs w:val="21"/>
        </w:rPr>
        <w:t>（4）所有水平或垂直的风管，必须设置必要的支、吊架或托架。其构造形式由安装单位在保证牢固可靠的原则下根据现场选定。（支、吊架和托架的距离：矩形风管长边L≤630mm,S=3.0m,L&gt;630mm,S≤2.0m,不保温风管间距见有关规范）</w:t>
      </w:r>
    </w:p>
    <w:p>
      <w:pPr>
        <w:widowControl/>
        <w:rPr>
          <w:rFonts w:asciiTheme="minorEastAsia" w:hAnsiTheme="minorEastAsia" w:cstheme="minorEastAsia"/>
          <w:szCs w:val="21"/>
        </w:rPr>
      </w:pPr>
      <w:r>
        <w:rPr>
          <w:rFonts w:hint="eastAsia" w:asciiTheme="minorEastAsia" w:hAnsiTheme="minorEastAsia" w:cstheme="minorEastAsia"/>
          <w:szCs w:val="21"/>
        </w:rPr>
        <w:t>（5）风管保温采用20mm厚橡塑板保温。</w:t>
      </w:r>
    </w:p>
    <w:p>
      <w:pPr>
        <w:widowControl/>
        <w:rPr>
          <w:rFonts w:asciiTheme="minorEastAsia" w:hAnsiTheme="minorEastAsia" w:cstheme="minorEastAsia"/>
          <w:szCs w:val="21"/>
        </w:rPr>
      </w:pPr>
      <w:r>
        <w:rPr>
          <w:rFonts w:hint="eastAsia" w:asciiTheme="minorEastAsia" w:hAnsiTheme="minorEastAsia" w:cstheme="minorEastAsia"/>
          <w:szCs w:val="21"/>
        </w:rPr>
        <w:t>（6）风管支吊托架应设置开保温层外部，同时，应避免在法兰、调节阀等零部件处设置支吊托架。</w:t>
      </w:r>
    </w:p>
    <w:p>
      <w:pPr>
        <w:widowControl/>
        <w:rPr>
          <w:rFonts w:asciiTheme="minorEastAsia" w:hAnsiTheme="minorEastAsia" w:cstheme="minorEastAsia"/>
          <w:szCs w:val="21"/>
        </w:rPr>
      </w:pPr>
      <w:r>
        <w:rPr>
          <w:rFonts w:hint="eastAsia" w:asciiTheme="minorEastAsia" w:hAnsiTheme="minorEastAsia" w:cstheme="minorEastAsia"/>
          <w:szCs w:val="21"/>
        </w:rPr>
        <w:t>（7）安装调节阀、碟阀等配件时，必须注意将操作手柄配置在便于操作的部位。</w:t>
      </w:r>
    </w:p>
    <w:p>
      <w:pPr>
        <w:widowControl/>
        <w:rPr>
          <w:rFonts w:asciiTheme="minorEastAsia" w:hAnsiTheme="minorEastAsia" w:cstheme="minorEastAsia"/>
          <w:szCs w:val="21"/>
        </w:rPr>
      </w:pPr>
      <w:r>
        <w:rPr>
          <w:rFonts w:hint="eastAsia" w:asciiTheme="minorEastAsia" w:hAnsiTheme="minorEastAsia" w:cstheme="minorEastAsia"/>
          <w:szCs w:val="21"/>
        </w:rPr>
        <w:t>（8）安装调节阀或排烟阀时应先对其外观质量动作的灵敏度与可靠性，进行检验，合格后再进行安装。</w:t>
      </w:r>
    </w:p>
    <w:p>
      <w:pPr>
        <w:widowControl/>
        <w:rPr>
          <w:rFonts w:asciiTheme="minorEastAsia" w:hAnsiTheme="minorEastAsia" w:cstheme="minorEastAsia"/>
          <w:szCs w:val="21"/>
        </w:rPr>
      </w:pPr>
      <w:r>
        <w:rPr>
          <w:rFonts w:hint="eastAsia" w:asciiTheme="minorEastAsia" w:hAnsiTheme="minorEastAsia" w:cstheme="minorEastAsia"/>
          <w:szCs w:val="21"/>
        </w:rPr>
        <w:t>（9）金属支吊架在表面除锈后刷防锈漆和色漆各两道。</w:t>
      </w:r>
    </w:p>
    <w:p>
      <w:pPr>
        <w:widowControl/>
        <w:rPr>
          <w:rFonts w:asciiTheme="minorEastAsia" w:hAnsiTheme="minorEastAsia" w:cstheme="minorEastAsia"/>
          <w:b/>
          <w:bCs/>
          <w:szCs w:val="21"/>
        </w:rPr>
      </w:pPr>
      <w:bookmarkStart w:id="31" w:name="_Toc17344"/>
      <w:r>
        <w:rPr>
          <w:rFonts w:hint="eastAsia" w:asciiTheme="minorEastAsia" w:hAnsiTheme="minorEastAsia" w:cstheme="minorEastAsia"/>
          <w:b/>
          <w:bCs/>
          <w:szCs w:val="21"/>
        </w:rPr>
        <w:t>8、PCR实验室基本要求</w:t>
      </w:r>
      <w:bookmarkEnd w:id="31"/>
    </w:p>
    <w:p>
      <w:pPr>
        <w:widowControl/>
        <w:rPr>
          <w:rFonts w:asciiTheme="minorEastAsia" w:hAnsiTheme="minorEastAsia" w:cstheme="minorEastAsia"/>
          <w:b/>
          <w:bCs/>
          <w:szCs w:val="21"/>
        </w:rPr>
      </w:pPr>
      <w:r>
        <w:rPr>
          <w:rFonts w:hint="eastAsia" w:asciiTheme="minorEastAsia" w:hAnsiTheme="minorEastAsia" w:cstheme="minorEastAsia"/>
          <w:b/>
          <w:bCs/>
          <w:szCs w:val="21"/>
        </w:rPr>
        <w:t>--主体结构：</w:t>
      </w:r>
    </w:p>
    <w:p>
      <w:pPr>
        <w:widowControl/>
        <w:rPr>
          <w:rFonts w:asciiTheme="minorEastAsia" w:hAnsiTheme="minorEastAsia" w:cstheme="minorEastAsia"/>
          <w:szCs w:val="21"/>
        </w:rPr>
      </w:pPr>
      <w:r>
        <w:rPr>
          <w:rFonts w:hint="eastAsia" w:asciiTheme="minorEastAsia" w:hAnsiTheme="minorEastAsia" w:cstheme="minorEastAsia"/>
          <w:szCs w:val="21"/>
        </w:rPr>
        <w:t>主体为彩钢板、铝合金型材。室内所有阴角、阳角均采用铝合金50内圆角铝，从而解决容易污染、积尘、不易清扫等问题。结构牢固，线条简明，美观大方，密封性好。</w:t>
      </w:r>
    </w:p>
    <w:p>
      <w:pPr>
        <w:widowControl/>
        <w:rPr>
          <w:rFonts w:asciiTheme="minorEastAsia" w:hAnsiTheme="minorEastAsia" w:cstheme="minorEastAsia"/>
          <w:b/>
          <w:bCs/>
          <w:szCs w:val="21"/>
        </w:rPr>
      </w:pPr>
      <w:r>
        <w:rPr>
          <w:rFonts w:hint="eastAsia" w:asciiTheme="minorEastAsia" w:hAnsiTheme="minorEastAsia" w:cstheme="minorEastAsia"/>
          <w:b/>
          <w:bCs/>
          <w:szCs w:val="21"/>
        </w:rPr>
        <w:t>--标准的三区分隔和气压调节：</w:t>
      </w:r>
    </w:p>
    <w:p>
      <w:pPr>
        <w:widowControl/>
        <w:rPr>
          <w:rFonts w:asciiTheme="minorEastAsia" w:hAnsiTheme="minorEastAsia" w:cstheme="minorEastAsia"/>
          <w:szCs w:val="21"/>
        </w:rPr>
      </w:pPr>
      <w:r>
        <w:rPr>
          <w:rFonts w:hint="eastAsia" w:asciiTheme="minorEastAsia" w:hAnsiTheme="minorEastAsia" w:cstheme="minorEastAsia"/>
          <w:szCs w:val="21"/>
        </w:rPr>
        <w:t>将PCR过程分成试剂准备、标本制备和PCR扩增检测、污物处置四个独立的实验区。整个区域有一个整体缓冲走廊。每个独立主实验区设置有缓冲区，同时各区通过气压调节，使整个PCR实验过程中试剂和标本免受气溶胶的污染并降低扩增产物对人员和环境的污染。</w:t>
      </w:r>
    </w:p>
    <w:p>
      <w:pPr>
        <w:widowControl/>
        <w:rPr>
          <w:rFonts w:asciiTheme="minorEastAsia" w:hAnsiTheme="minorEastAsia" w:cstheme="minorEastAsia"/>
          <w:szCs w:val="21"/>
        </w:rPr>
      </w:pPr>
      <w:r>
        <w:rPr>
          <w:rFonts w:hint="eastAsia" w:asciiTheme="minorEastAsia" w:hAnsiTheme="minorEastAsia" w:cstheme="minorEastAsia"/>
          <w:szCs w:val="21"/>
        </w:rPr>
        <w:t>可打开缓冲区Ⅰ，缓冲区Ⅱ和 PCR 扩增区的排风机组往外排气，在实验区的外墙上和各扇门上都安装有风量可调的回风口，空气通过回风口向室内换气。</w:t>
      </w:r>
    </w:p>
    <w:p>
      <w:pPr>
        <w:widowControl/>
        <w:rPr>
          <w:rFonts w:asciiTheme="minorEastAsia" w:hAnsiTheme="minorEastAsia" w:cstheme="minorEastAsia"/>
          <w:b/>
          <w:bCs/>
          <w:szCs w:val="21"/>
        </w:rPr>
      </w:pPr>
      <w:r>
        <w:rPr>
          <w:rFonts w:hint="eastAsia" w:asciiTheme="minorEastAsia" w:hAnsiTheme="minorEastAsia" w:cstheme="minorEastAsia"/>
          <w:b/>
          <w:bCs/>
          <w:szCs w:val="21"/>
        </w:rPr>
        <w:t>--消毒：</w:t>
      </w:r>
    </w:p>
    <w:p>
      <w:pPr>
        <w:widowControl/>
        <w:rPr>
          <w:rFonts w:asciiTheme="minorEastAsia" w:hAnsiTheme="minorEastAsia" w:cstheme="minorEastAsia"/>
          <w:szCs w:val="21"/>
        </w:rPr>
      </w:pPr>
      <w:r>
        <w:rPr>
          <w:rFonts w:hint="eastAsia" w:asciiTheme="minorEastAsia" w:hAnsiTheme="minorEastAsia" w:cstheme="minorEastAsia"/>
          <w:szCs w:val="21"/>
        </w:rPr>
        <w:t>在四个实验区和四个缓冲区顶部以及传送窗内部安装有紫外灯，供消毒用。</w:t>
      </w:r>
    </w:p>
    <w:p>
      <w:pPr>
        <w:widowControl/>
        <w:rPr>
          <w:rFonts w:asciiTheme="minorEastAsia" w:hAnsiTheme="minorEastAsia" w:cstheme="minorEastAsia"/>
          <w:szCs w:val="21"/>
        </w:rPr>
      </w:pPr>
      <w:r>
        <w:rPr>
          <w:rFonts w:hint="eastAsia" w:asciiTheme="minorEastAsia" w:hAnsiTheme="minorEastAsia" w:cstheme="minorEastAsia"/>
          <w:szCs w:val="21"/>
        </w:rPr>
        <w:t>在试剂准备区和标本制备区还设置移动紫外线灯，对实验桌进行局部消毒。</w:t>
      </w:r>
    </w:p>
    <w:p>
      <w:pPr>
        <w:widowControl/>
        <w:rPr>
          <w:rFonts w:asciiTheme="minorEastAsia" w:hAnsiTheme="minorEastAsia" w:cstheme="minorEastAsia"/>
          <w:b/>
          <w:bCs/>
          <w:szCs w:val="21"/>
        </w:rPr>
      </w:pPr>
      <w:r>
        <w:rPr>
          <w:rFonts w:hint="eastAsia" w:asciiTheme="minorEastAsia" w:hAnsiTheme="minorEastAsia" w:cstheme="minorEastAsia"/>
          <w:b/>
          <w:bCs/>
          <w:szCs w:val="21"/>
        </w:rPr>
        <w:t>--机械连锁不锈钢传递窗：</w:t>
      </w:r>
    </w:p>
    <w:p>
      <w:pPr>
        <w:widowControl/>
        <w:rPr>
          <w:rFonts w:asciiTheme="minorEastAsia" w:hAnsiTheme="minorEastAsia" w:cstheme="minorEastAsia"/>
          <w:szCs w:val="21"/>
        </w:rPr>
      </w:pPr>
      <w:r>
        <w:rPr>
          <w:rFonts w:hint="eastAsia" w:asciiTheme="minorEastAsia" w:hAnsiTheme="minorEastAsia" w:cstheme="minorEastAsia"/>
          <w:szCs w:val="21"/>
        </w:rPr>
        <w:t>试剂和标本通过机械连锁不锈钢（不建议使用电子连锁方式）传递窗传递，保证试剂和标本在传递过程中不受污染（人物分流）。</w:t>
      </w:r>
    </w:p>
    <w:p>
      <w:pPr>
        <w:widowControl/>
        <w:rPr>
          <w:rFonts w:asciiTheme="minorEastAsia" w:hAnsiTheme="minorEastAsia" w:cstheme="minorEastAsia"/>
          <w:b/>
          <w:bCs/>
          <w:szCs w:val="21"/>
        </w:rPr>
      </w:pPr>
      <w:r>
        <w:rPr>
          <w:rFonts w:hint="eastAsia" w:asciiTheme="minorEastAsia" w:hAnsiTheme="minorEastAsia" w:cstheme="minorEastAsia"/>
          <w:b/>
          <w:bCs/>
          <w:szCs w:val="21"/>
        </w:rPr>
        <w:t>--照明</w:t>
      </w:r>
    </w:p>
    <w:p>
      <w:pPr>
        <w:widowControl/>
        <w:rPr>
          <w:rFonts w:asciiTheme="minorEastAsia" w:hAnsiTheme="minorEastAsia" w:cstheme="minorEastAsia"/>
          <w:szCs w:val="21"/>
        </w:rPr>
      </w:pPr>
      <w:r>
        <w:rPr>
          <w:rFonts w:hint="eastAsia" w:asciiTheme="minorEastAsia" w:hAnsiTheme="minorEastAsia" w:cstheme="minorEastAsia"/>
          <w:szCs w:val="21"/>
        </w:rPr>
        <w:t>灯具要选用净化灯具，能达到便于清洗、不积尘的特点。</w:t>
      </w:r>
    </w:p>
    <w:p>
      <w:pPr>
        <w:widowControl/>
        <w:rPr>
          <w:rFonts w:asciiTheme="minorEastAsia" w:hAnsiTheme="minorEastAsia" w:cstheme="minorEastAsia"/>
          <w:szCs w:val="21"/>
        </w:rPr>
      </w:pPr>
      <w:r>
        <w:rPr>
          <w:rFonts w:hint="eastAsia" w:asciiTheme="minorEastAsia" w:hAnsiTheme="minorEastAsia" w:cstheme="minorEastAsia"/>
          <w:szCs w:val="21"/>
        </w:rPr>
        <w:t>标准的PCR实验室在建设的过程中应注意：</w:t>
      </w:r>
    </w:p>
    <w:p>
      <w:pPr>
        <w:widowControl/>
        <w:rPr>
          <w:rFonts w:asciiTheme="minorEastAsia" w:hAnsiTheme="minorEastAsia" w:cstheme="minorEastAsia"/>
          <w:szCs w:val="21"/>
        </w:rPr>
      </w:pPr>
      <w:r>
        <w:rPr>
          <w:rFonts w:hint="eastAsia" w:asciiTheme="minorEastAsia" w:hAnsiTheme="minorEastAsia" w:cstheme="minorEastAsia"/>
          <w:szCs w:val="21"/>
        </w:rPr>
        <w:t>规范的安装流程和全面的服务流程。</w:t>
      </w:r>
    </w:p>
    <w:p>
      <w:pPr>
        <w:widowControl/>
        <w:rPr>
          <w:rFonts w:asciiTheme="minorEastAsia" w:hAnsiTheme="minorEastAsia" w:cstheme="minorEastAsia"/>
          <w:szCs w:val="21"/>
        </w:rPr>
      </w:pPr>
      <w:r>
        <w:rPr>
          <w:rFonts w:hint="eastAsia" w:asciiTheme="minorEastAsia" w:hAnsiTheme="minorEastAsia" w:cstheme="minorEastAsia"/>
          <w:szCs w:val="21"/>
        </w:rPr>
        <w:t>严格按照规范科学设计的安装流程。</w:t>
      </w:r>
    </w:p>
    <w:p>
      <w:pPr>
        <w:widowControl/>
        <w:rPr>
          <w:rFonts w:asciiTheme="minorEastAsia" w:hAnsiTheme="minorEastAsia" w:cstheme="minorEastAsia"/>
          <w:szCs w:val="21"/>
        </w:rPr>
      </w:pPr>
      <w:r>
        <w:rPr>
          <w:rFonts w:hint="eastAsia" w:asciiTheme="minorEastAsia" w:hAnsiTheme="minorEastAsia" w:cstheme="minorEastAsia"/>
          <w:szCs w:val="21"/>
        </w:rPr>
        <w:t>安装前需要确定以下安装条件，如：电源电压，电源进线位置，电话网络线进线位置，进水水压，最小安装空间，地面平整度，通风孔、进水管和下水管的位置等，理想状态的空间尺寸和通风口尺寸。</w:t>
      </w:r>
    </w:p>
    <w:p>
      <w:pPr>
        <w:widowControl/>
        <w:rPr>
          <w:rFonts w:asciiTheme="minorEastAsia" w:hAnsiTheme="minorEastAsia" w:cstheme="minorEastAsia"/>
          <w:b/>
          <w:bCs/>
          <w:szCs w:val="21"/>
        </w:rPr>
      </w:pPr>
      <w:r>
        <w:rPr>
          <w:rFonts w:hint="eastAsia" w:asciiTheme="minorEastAsia" w:hAnsiTheme="minorEastAsia" w:cstheme="minorEastAsia"/>
          <w:b/>
          <w:bCs/>
          <w:szCs w:val="21"/>
        </w:rPr>
        <w:t>PCR 实验室基本要求</w:t>
      </w:r>
    </w:p>
    <w:p>
      <w:pPr>
        <w:widowControl/>
        <w:rPr>
          <w:rFonts w:asciiTheme="minorEastAsia" w:hAnsiTheme="minorEastAsia" w:cstheme="minorEastAsia"/>
          <w:szCs w:val="21"/>
        </w:rPr>
      </w:pPr>
      <w:r>
        <w:rPr>
          <w:rFonts w:hint="eastAsia" w:asciiTheme="minorEastAsia" w:hAnsiTheme="minorEastAsia" w:cstheme="minorEastAsia"/>
          <w:szCs w:val="21"/>
        </w:rPr>
        <w:t>2.1、PCR 实验室依据所使用的方法可分为试剂准备、标本制备、扩增、产物分析等三或四个区域。只是使用实时荧光PCR仪、HIV病毒载量测定仪的PCR实验室，有上述前面三个区域即可。各区域应完全独立分隔，不应有任何的空气直通。</w:t>
      </w:r>
    </w:p>
    <w:p>
      <w:pPr>
        <w:pStyle w:val="2"/>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2.2、标准的PCR实验室产物分析区或三个区域的最后一个区域（即扩增及产物分析区），空气流向应由室外向室内，可通过在室内设置通风橱、排风扇或其他排风系统达到空气流由室外向室内流动的要求。</w:t>
      </w:r>
    </w:p>
    <w:p>
      <w:pPr>
        <w:pStyle w:val="2"/>
        <w:spacing w:line="440" w:lineRule="exact"/>
        <w:ind w:firstLine="0" w:firstLineChars="0"/>
        <w:jc w:val="center"/>
        <w:rPr>
          <w:rFonts w:ascii="宋体" w:hAnsi="宋体" w:eastAsia="宋体" w:cs="宋体"/>
          <w:b/>
          <w:bCs/>
          <w:color w:val="FF0000"/>
          <w:sz w:val="36"/>
          <w:szCs w:val="36"/>
        </w:rPr>
      </w:pPr>
      <w:r>
        <w:rPr>
          <w:rFonts w:hint="eastAsia" w:ascii="宋体" w:hAnsi="宋体" w:eastAsia="宋体" w:cs="宋体"/>
          <w:b/>
          <w:bCs/>
          <w:color w:val="FF0000"/>
          <w:sz w:val="36"/>
          <w:szCs w:val="36"/>
          <w:lang w:eastAsia="zh-CN"/>
        </w:rPr>
        <w:t>疫苗</w:t>
      </w:r>
      <w:r>
        <w:rPr>
          <w:rFonts w:hint="eastAsia" w:ascii="宋体" w:hAnsi="宋体" w:eastAsia="宋体" w:cs="宋体"/>
          <w:b/>
          <w:bCs/>
          <w:color w:val="FF0000"/>
          <w:sz w:val="36"/>
          <w:szCs w:val="36"/>
        </w:rPr>
        <w:t>冷链</w:t>
      </w:r>
      <w:r>
        <w:rPr>
          <w:rFonts w:hint="eastAsia" w:ascii="宋体" w:hAnsi="宋体" w:eastAsia="宋体" w:cs="宋体"/>
          <w:b/>
          <w:bCs/>
          <w:color w:val="FF0000"/>
          <w:sz w:val="36"/>
          <w:szCs w:val="36"/>
          <w:lang w:eastAsia="zh-CN"/>
        </w:rPr>
        <w:t>设备采购及安装</w:t>
      </w:r>
      <w:r>
        <w:rPr>
          <w:rFonts w:hint="eastAsia" w:ascii="宋体" w:hAnsi="宋体" w:eastAsia="宋体" w:cs="宋体"/>
          <w:b/>
          <w:bCs/>
          <w:color w:val="FF0000"/>
          <w:sz w:val="36"/>
          <w:szCs w:val="36"/>
        </w:rPr>
        <w:t>项目</w:t>
      </w:r>
    </w:p>
    <w:tbl>
      <w:tblPr>
        <w:tblStyle w:val="25"/>
        <w:tblW w:w="4998" w:type="pct"/>
        <w:tblInd w:w="0" w:type="dxa"/>
        <w:tblLayout w:type="autofit"/>
        <w:tblCellMar>
          <w:top w:w="0" w:type="dxa"/>
          <w:left w:w="0" w:type="dxa"/>
          <w:bottom w:w="0" w:type="dxa"/>
          <w:right w:w="0" w:type="dxa"/>
        </w:tblCellMar>
      </w:tblPr>
      <w:tblGrid>
        <w:gridCol w:w="1705"/>
        <w:gridCol w:w="5023"/>
        <w:gridCol w:w="2369"/>
      </w:tblGrid>
      <w:tr>
        <w:tblPrEx>
          <w:tblCellMar>
            <w:top w:w="0" w:type="dxa"/>
            <w:left w:w="0" w:type="dxa"/>
            <w:bottom w:w="0" w:type="dxa"/>
            <w:right w:w="0" w:type="dxa"/>
          </w:tblCellMar>
        </w:tblPrEx>
        <w:trPr>
          <w:trHeight w:val="9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序号</w:t>
            </w:r>
          </w:p>
        </w:tc>
        <w:tc>
          <w:tcPr>
            <w:tcW w:w="2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商品名称</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数量</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冷库</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低温冷柜</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低温冷柜</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常温医用冰箱</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疫苗快扫设备</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核签系统</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智能冰箱</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冷藏箱</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w:t>
            </w:r>
          </w:p>
        </w:tc>
      </w:tr>
      <w:tr>
        <w:tblPrEx>
          <w:tblCellMar>
            <w:top w:w="0" w:type="dxa"/>
            <w:left w:w="0" w:type="dxa"/>
            <w:bottom w:w="0" w:type="dxa"/>
            <w:right w:w="0"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7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冷藏包</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68</w:t>
            </w:r>
          </w:p>
        </w:tc>
      </w:tr>
    </w:tbl>
    <w:p>
      <w:pPr>
        <w:pStyle w:val="2"/>
        <w:ind w:firstLine="560"/>
      </w:pPr>
    </w:p>
    <w:tbl>
      <w:tblPr>
        <w:tblStyle w:val="25"/>
        <w:tblW w:w="4998" w:type="pct"/>
        <w:tblInd w:w="0" w:type="dxa"/>
        <w:tblLayout w:type="autofit"/>
        <w:tblCellMar>
          <w:top w:w="0" w:type="dxa"/>
          <w:left w:w="0" w:type="dxa"/>
          <w:bottom w:w="0" w:type="dxa"/>
          <w:right w:w="0" w:type="dxa"/>
        </w:tblCellMar>
      </w:tblPr>
      <w:tblGrid>
        <w:gridCol w:w="428"/>
        <w:gridCol w:w="1261"/>
        <w:gridCol w:w="7408"/>
      </w:tblGrid>
      <w:tr>
        <w:tblPrEx>
          <w:tblCellMar>
            <w:top w:w="0" w:type="dxa"/>
            <w:left w:w="0" w:type="dxa"/>
            <w:bottom w:w="0" w:type="dxa"/>
            <w:right w:w="0" w:type="dxa"/>
          </w:tblCellMar>
        </w:tblPrEx>
        <w:trPr>
          <w:trHeight w:val="9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商品名称</w:t>
            </w:r>
          </w:p>
        </w:tc>
        <w:tc>
          <w:tcPr>
            <w:tcW w:w="40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配置及参数</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冷库</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1、冷库容积：20立方冷库。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2、冷库温度：2～8℃，温度可任意调节。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3、冷库板材及结构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3.1、库体结构：预埋不锈钢偏心锁紧装置，六面体相互锁紧方法连接。库板为高压发泡自熄型B2级聚氨酯夹芯库板。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3.2 、库板材质：双面彩钢板，中间保温材料为高压发泡聚氨酯。库板厚度≥100mm；钢板厚度≥0.5mm，聚氨酯密度≥40kg/m3，导热系数：≤0.021W/(m.k)，粘结强度≥0.14MPa，抗压强度：≥160kPa；抗弯承载能力：≤5.67mm；库板须具有国家权威部门出具的完整的检测报告（标书中放置复印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3.3、冷库检修门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3.3.1、库门采用外开式半埋门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3.3.2 库门门框安装有防霜自动限温加热丝。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3.3.3、冷库板密封处处理平整圆滑。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3.3.4、库内冷库专用防潮、防爆LED照明灯，并可通过门开关控制，防水等级IP65或以上；照度≥150勒克斯。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3.3.5、冷库门带有应急机械开锁门装置 ，确保在内部也可以打开冷库门。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★4、操作控制系统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4.1、双系统可切换，可设定冷补偿、故障自动切换。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4.2、库内设备异常报警，控制电源故障报警、温度异常报警，传感器故障报警、除霜加热丝故障报警、电源断电报警等。当主机出现故障发出声光报警，并切换到备用机组运行以维持库温。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4.3、冷库为独立控制系统且控制系统本身要求双系统,具有控制系统自我备用功能。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4.4、控制系统整装标配出厂。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4.5、速冷功能：当系统大量进货或者初始使用,进行大风量供应,双系统共同制冷,达到速冷的效果。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4.6、控制器温度显示精度0.1,控制箱安装在冷库附近位置。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5.1、安装两套风冷式制冷系统，一用一备，互为备用，100%负荷备用，即一套机组可以维持冷库温度正常。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5.2、压缩机为进口知名品牌，压缩机和冷凝器整装出厂，与库内蒸发器分体式连接。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5.3、采用风冷压缩机组，整机一体出厂，具备以下功能。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（1）压缩机具备广泛的使用工况，蒸发温度范围要求从-20℃～5℃；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（2）冷凝风扇可根据环境温度变化变频调速，节能降耗。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5.4、从常温降到2～8℃所需时间：≤60分钟。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5.4、除霜方式: 自动电加热或自动热气除霜。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5.5、电源: 电压220V/50Hz，具有过流、过热保护和断相、错相、过欠压等保护。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5.6、冷风机：采用吊顶式侧出风后回风的冷风机型蒸发器；随机标配加热丝橡胶冷凝水外排装置，可整体取出维修。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5.7、其他保护装置：具有系统高低压保护装置。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5.8、机组、冷风机品牌优选与冷库同品牌。设备之间协同性好，运行更稳定，质量更可靠。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5.9、主要制冷配件：电磁阀、膨胀阀、干燥过滤器、高低压控制器采用知名进口品牌。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5.10、制冷剂采用R404A.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5.11、铜管采用优质TP2磷脱氧紫铜管。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 招标文件中技术要求部分为满足采购人所需的最低要求，如有与某产品的指标参数描述相同，并非特指，仅为招标货物质量、档次、水平的参照，评标以功能和性能为主。允许投标人以不低于招标文件要求的档次、技术、性能的产品参与投标。</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低温冷柜</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1、规格：有效容积≥50</w:t>
            </w:r>
            <w:r>
              <w:rPr>
                <w:rFonts w:ascii="宋体" w:hAnsi="宋体" w:eastAsia="宋体" w:cs="宋体"/>
                <w:color w:val="000000"/>
                <w:kern w:val="0"/>
                <w:szCs w:val="21"/>
                <w:lang w:bidi="ar"/>
              </w:rPr>
              <w:t>8</w:t>
            </w:r>
            <w:r>
              <w:rPr>
                <w:rFonts w:hint="eastAsia" w:ascii="宋体" w:hAnsi="宋体" w:eastAsia="宋体" w:cs="宋体"/>
                <w:color w:val="000000"/>
                <w:kern w:val="0"/>
                <w:szCs w:val="21"/>
                <w:lang w:bidi="ar"/>
              </w:rPr>
              <w:t>L，卧式，单门（或双门），顶开设计。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2、电压频率：220V±10%，50Hz±1%.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3、门体：PVC材质门框，加厚发泡保温层，弧形门把手，方便开门。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4、控制系统：微电脑板控制，数字显示箱内温度，箱内温度在-10～-25℃范围内任意设定；带电源指示灯，显示精度1℃。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5、制冷系统：选用进口品牌压缩机，完全环保无氟制冷剂。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6、保温设计：高密度保温层，保温层厚度≥60mm，确保保温效果。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7、报警及安全：高低温报警、传感器故障报警，具备开机延时，停机间隔保护。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8、安全锁：门体带锁设计，保证存储物品的安全。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9、物品置放：内胆采用金属板材喷涂材质，防腐且易于清洁，配置物品框。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10、冷凝水：冷凝水自动蒸发功能，无需人工倒水。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11、测试孔：配置测试孔，方便第三方测试箱内温度。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12、资质要求：所投产品的制造厂家通过ISO9001、ISO13485、IS014001、ISO45001认证，具有医疗器械生产许可证，登记表有具体的产品型号。投标产品具有第三方检测报告。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13、服务保障：贵州省有维修网点，维修响应时间为2小时内，市区24小时抵达到单位排除故障。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14、保险：投标产品制造商已购买产品保险，提供证明文件材料。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15、质量保证：免费质保≥12个月，压缩机质保三年。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招标文件中技术要求部分为满足采购人所需的最低要求，如有与某产品的指标参数描述相同，并非特指，仅为招标货物质量、档次、水平的参照，评标以功能和性能为主。允许投标人以不低于招标文件要求的档次、技术、性能的产品参与投标。</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低温冷柜</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1、规格：有效容积≥2</w:t>
            </w:r>
            <w:r>
              <w:rPr>
                <w:rFonts w:ascii="宋体" w:hAnsi="宋体" w:eastAsia="宋体" w:cs="宋体"/>
                <w:color w:val="000000"/>
                <w:kern w:val="0"/>
                <w:szCs w:val="21"/>
                <w:lang w:bidi="ar"/>
              </w:rPr>
              <w:t>26</w:t>
            </w:r>
            <w:r>
              <w:rPr>
                <w:rFonts w:hint="eastAsia" w:ascii="宋体" w:hAnsi="宋体" w:eastAsia="宋体" w:cs="宋体"/>
                <w:color w:val="000000"/>
                <w:kern w:val="0"/>
                <w:szCs w:val="21"/>
                <w:lang w:bidi="ar"/>
              </w:rPr>
              <w:t>L，卧式，单门，顶开设计。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2、电压频率 ：220V±10%，50Hz±1%.。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3、门体：PVC材质门框，加厚发泡保温层，弧形门把手，方便开门。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4、控制系统：微电脑板控制，数字显示箱内温度，箱内温度在-10～-25℃范围内任意设定；带电源指示灯，显示精度1℃。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5、制冷系统：选用进口品牌压缩机，完全环保无氟制冷剂。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6、保温设计：高密度保温层，保温层厚度≥60mm，确保保温效果。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7、报警及安全：高低温报警、传感器故障报警，具备开机延时，停机间隔保护。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8、安全锁：门体带锁设计，保证存储物品的安全。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9、物品置放：内胆采用金属板材喷涂材质，防腐且易于清洁，配置物品框。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10、冷凝水：冷凝水自动蒸发功能，无需人工倒水。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11、测试孔：配置测试孔，方便第三方测试箱内温度。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12、资质要求：所投产品的制造厂家通过ISO9001、ISO13485、IS014001、ISO45001认证，具有医疗器械生产许可证，登记表有具体的产品型号。投标产品具有第三方检测报告。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13、服务保障：贵州省有维修网点，维修响应时间为2小时内，市区24小时抵达到单位排除故障。</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常温医用冰箱</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★1、规格：有效容积≥7</w:t>
            </w:r>
            <w:r>
              <w:rPr>
                <w:rFonts w:ascii="宋体" w:hAnsi="宋体" w:eastAsia="宋体" w:cs="宋体"/>
                <w:color w:val="000000"/>
                <w:kern w:val="0"/>
                <w:szCs w:val="21"/>
                <w:lang w:bidi="ar"/>
              </w:rPr>
              <w:t>25</w:t>
            </w:r>
            <w:r>
              <w:rPr>
                <w:rFonts w:hint="eastAsia" w:ascii="宋体" w:hAnsi="宋体" w:eastAsia="宋体" w:cs="宋体"/>
                <w:color w:val="000000"/>
                <w:kern w:val="0"/>
                <w:szCs w:val="21"/>
                <w:lang w:bidi="ar"/>
              </w:rPr>
              <w:t>L，立式，双开门设计。</w:t>
            </w:r>
          </w:p>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2、电压频率：220V±10%，50Hz±1%.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3、门体：PVC材质门框，金属门把手，方便开门；双层玻璃门体，带电加热功能，适合高温高湿地区使用。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4、控制系统：微电脑板控制，数字显示箱内温度，可通过调整设定使箱内温度恒定控制在2～8℃。调节增量0.1℃，显示精度0.1℃。带电源指示灯，可显示箱内上部、下部温度以及平均温度。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5、制冷系统：国际名牌冷凝风机，蒸发器交流风机，压缩机适用于R290或R600a等碳氢制冷剂，节能环保，质量可靠，使用寿命有保障；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★6、感温系统：传感器数量≥7个, 内置上部温度、下部温度、传感器故障安全运行、环境温度、蒸发器温度等多路传感器。可调阅箱内湿度。当控制/报警传感器发生故障时，压缩机以开机5分钟、停机6分钟规律运作，确保物品存储安全。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7、风道设计：采用风冷式结构，国际名牌内风机，匹配风道式强制冷气循环系统，确保箱体内部温度均匀性。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8、关门方式：门体可实现＞90°自动关门功能。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9、报警模式：超温报警、断电报警、开门报警、传感器故障报警、电池电量低报警，带远程报警接口，声光报警模式。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10、电池能效：配有12V 4AH电池，断电后可声光报警48小时。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11、内部照明：LED冷光源设计，亮度高，能耗低。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12、安全锁：门体带锁设计，保证存储物品的安全。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13、物品置放：配置12个带价目条的搁架，可以根据实际使用情况调整搁架间距，保证箱内空间利用率。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14、冷凝水：冷凝水自动蒸发功能，无需人工倒水。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15、内胆材质：内胆采用金属板材喷涂材质，防腐且易于清洁；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16、数据导出(选)：可选配USB数据导出接口，插入优盘即可自动导出前一个月温度数据。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17、打印配置（选）：可选配温度记录打印机，打印数据包含时间、温度数据，打印时间间隔0～240分钟可选。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18、测试孔：配置测试孔，方便第三方测试箱内温度。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19、资质要求：所投产品的制造厂家通过ISO9001、ISO13485、IS014001、ISO45001认证，具有医疗器械生产许可证，登记表有具体的产品型号。投标产品具有第三方检测报告。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20、服务保障：贵州省有维修网点，维修响应时间为2小时内，市区24小时抵达到单位排除故障。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21、保险：投标产品制造商已购买产品保险，提供证明文件材料。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22、质量保证：免费质保≥12个月，压缩机质保三年。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招标文件中技术要求部分为满足采购人所需的最低要求，如有与某产品的指标参数描述相同，并非特指，仅为招标货物质量、档次、水平的参照，评标以功能和性能为主。允许投标人以不低于招标文件要求的档次、技术、性能的产品参与投标。</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疫苗快扫设备</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一、基础规格：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1.操作系统：需与现有的贵州省疫苗全程追溯系统无缝对接。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2.处理器：四核1.4GHz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3.显示屏：5.0英寸彩色显示屏，分辨率720×1280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4.触摸屏：超灵敏电容屏，支持多点触控、手套触摸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5.内存：RAM：2GB   ROM：16GB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6.输入法：英文，拼音，手写输入，支持自主安装输入法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7.条码扫描：a.专业条码阅读器可选;b. 可读取所有国际通用一维条码和二维条码;c. 可读取屏幕条码和彩色条码;d. 支持摄像头扫描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8.主电池: 不可拆卸3.8v  4000mah锂电池（典型值）, 一次充电，正常工作状态下可用10小时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9.充电时间: 不超过4小时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10.RTC电池: 支持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二、通信方式：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1.无线局域网：Wi-Fi  双频WIFI，支持802.11a/b/g/n，支持Wi-Fi和蓝牙共存；蓝牙  BT  4.1+BR/EDR+BLE；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2.无线广域网：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4G：TDD-LTE(B38/B39/B40/B41)、FDD-LTE（B1/B3）；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3G：UMTS/HSDPA/HSPA/HSPA+（850/900/2100 MHz）、CDMA  EV-DO Rev.A(800 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2G：CDMA  1x、GSM/EDGE/GPRS(850/900/1800MHz/1900 MHz)；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三、扩展功能及接口：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1.摄像功能：主摄像头:1300万像素，支持闪光灯、自动对焦、录像；前置摄像头：200万像素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2.RFID：13.56MHz，支持IS014443 A&amp;B、IS015693协议，支持NFC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3.定位：高精度GPS，支持A-GPS、北斗、GLONASS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4.传感器：距离传感器、光感、加速度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5.卡槽类型：Micro  SD/TFx1、Micro  SIMx2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6.音频：扬声器、听筒、麦克风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7.其他附件：电源适配器、数据线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8.可选配件：腕带保护壳、手绳、充电式扫描手柄、标准座充、屏幕保护膜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9.使用环境：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工作温度：-10~50C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储存温度：-40~70C</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湿度：5%RH~95%RH（无凝结）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10.坠地抗震高度：能承受1.5米高度多次跌落到光滑水泥地面的冲击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11.IP等级：IP65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四、功能（用途）：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批量扫码PDA：疫苗扫码软件是配套PDA扫码设备，疫苗扫码出入库情景，扫码解析成后由追溯统系统一审核结束出入库流程。</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核签系统</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1、设备经第三方权威检测认证机构出具功能性、可靠性、安全性、电磁兼容性等方面的质量检验报告。符合3C要求。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2、无线功能，无线网卡需支持基于802.11b/g/n制式的无线网络接入能力；操作系统及无线客户端软件支持基于802.11i安全体系的WPA/WPA2企业级安全认证体系。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3、在正常气候条件下的平均无故障工作时间（MTBF）应不小于10000小时。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4、显示功能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屏幕尺寸： 10.1寸。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分辨率：1280*800</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亮度：≥250cd/m²</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对比度： ＞800：1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视角：水平可视角不小于150°，垂直可视角不小于150°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颜色深度：16.7M</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响应时间：≤25ms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5、支持GB/T13000-2010和GB180302005范围内的汉字输入和显示，并能够根据最新的国家标准跟随升级，支持软键盘的拼音和手写输入。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6、图片播放功能：支持 BMP/JPG/GIF等格式图片文件的播放；视频播放功能：支持AVI/MP4等类型视频文件的播放；声音播放功能：支持主流MP3/WAV格式声音文件的播放。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 触摸屏：双控屏*电容屏和电磁屏、5点触控、无故障点击次数≥100万次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8、API 接口支持的操作系统和架构 ：提供支持 Windows、UNIX、Linux 的 API 接口，提供 C/S、B/S 应用和 JAVA 调用的 API接口。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9、信息交互功能：支持阅读和确认两种模式，支持翻页和滑动；信息交互功能支持联动语音提示。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10、电子签名及手写功能：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手写笔：电磁尖头感应高度 5-14mm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电子签名压感：≥2048</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最高读取速率：220点/秒</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坐标分辨率：2540lpi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以原始轨迹数据、矢量图片保存签名数据，电子书写笔迹保真，可还原。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基础硬件：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处理器：*四核Cortex-A17，频率高达1.8GHz，ARMCortex-A17架构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内存： 2GB  DDR3</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存储：Flash，16GB，TF卡扩展（出厂选配) 最大支持128GB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系统：*Android 7.1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线缆插口：USB2.0*1，USBB*1（OTG），WIFIBT天线接口*1，电磁笔接口*1，DC*1。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11、摄像头：像素500万，人脸拍摄：支持客户影像留存功能、支持人脸抓取。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12、指纹仪：支持指纹捺印，独特安全设计，确保芯片内部代码和数据的安全。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软件集成：集成(预装)贵州各接种点正在使用的数字化接种门诊软件，与现有预防接种管理客户端无缝对接，实现电子知情同意书功能、电子签名、指纹采集、照片采集一体化，实现无纸化办公，可对生成的签核文件进行查询、调阅。并且需要提供样机现场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★14、与数字化预防接种门诊系统无缝对接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⑴．电子核签设备能对接当前使用的数字化接种门诊系统客户端的核签功能，医生在工作中达到无纸化办公以及减轻工作量，有效的完成电子签核便于打印及资料电子存档更安全；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⑵. 登记医生在数字化接种门诊系统客户端点击疫苗告知书或者预检告知书，相关资料能够对接电子核签设备，电子核签设备可自动显示出对应告知书，提示家长核实签名；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⑶. 家长在电子核签设备上面录入指纹、签名、拍照后，信息自动对接数字化接种门诊系统客户端签名管理模块，数字化接种门诊系统可自动将电子签核文档进行保存且能进行下载及直接打印操作。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★15、实现电子知情同意书功能、电子签名、指纹采集、照片采集一体化，实现无纸化办公，可对生成的签核文件进行查询、调阅，并提供样机现场演示。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★16、投标人所投产品制造商必须具备信息交互终端软件著作权证。</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智能冰箱</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★1、有效容积：≥300L；集成（预装）贵州各接种点正在使用的数字化接种门诊软件或与数字化门诊软件无缝对接，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2、样式：立式发泡门；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3、显示屏：配备10.1寸LED触摸屏；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4、温度控制：电脑板控制，保证箱内温度恒定控制在2℃～8℃范围内；左下部配有独立小冷冻室，室内温度-18～-26℃可调，并配有两层搁架，可满足储存低温储存疫苗的需求；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★5、传感器：冷藏室内配备7路以上温度传感器，调整增量为0.1℃，数字显示箱内温度；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6、报警功能 高低温报警、开门报警、传感器故障报警、断电报警、电池电量低报警；内置蓄电池，断电后可持续显示箱内实时温度，持续时间在24小时以上；报警类型：支持声光报警；配备远程报警接口；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7、安全设置：冷链箱配备刷卡或密码或指纹电子门锁，可通过权限进行管理，可设置多个操作者权限；电子门锁在设备断电后，门体仍然保持锁闭状态，以保证储品的安全，同时带有权限管理的应急开门；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8、权限管理：身份识别管理功能，配备刷卡、密码及指纹等身份识别功能，可追溯使用者；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9、系统对接：可对接平台疫苗出入库管理系统和冷链监控系统，完成疫苗可追溯的过程管理；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10、数据及网络功能：出入库数据管理、可与疾控中心系统无缝对接；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11、数据传输：集成冷链温度自动监控功能，并能将温度数据上传至冷链平台；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★12、软件应用：能够公开显示器及控制器通讯协议，支持由第三方开发并更新智能冰箱上的应用程序；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13、扫描功能：配备扫描器，条码扫描可以支持扫描一维码、二维码扫描；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14、联网功能：多种联网方式，包括WIFI、有线等；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15、资质：产品制造商具备有效的ISO13485质量认证、ISO9001质量体系认证、ISO14001环境体系认证和职业安全健康28001认证以及医疗器械生产许可证和注册证。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16、样机：无。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17、服务保障：售后服务：贵州全省有维修网点，维修响应时间为24小时内到单位排除故障。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18、质量保证：整机质保一年，压缩机质保三年。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招标文件中技术要求部分为满足采购人所需的最低要求，如有与某产品的指标参数描述相同，并非特指，仅为招标货物质量、档次、水平的参照，评标以功能和性能为主。允许投标人以不低于招标文件要求的档次、技术、性能的产品参与投标。</w:t>
            </w:r>
          </w:p>
          <w:p>
            <w:pPr>
              <w:pStyle w:val="2"/>
              <w:ind w:firstLine="0" w:firstLineChars="0"/>
              <w:rPr>
                <w:rFonts w:hint="eastAsia"/>
                <w:lang w:bidi="ar"/>
              </w:rPr>
            </w:pPr>
            <w:r>
              <w:rPr>
                <w:rFonts w:hint="eastAsia" w:ascii="宋体" w:hAnsi="宋体" w:eastAsia="宋体" w:cs="宋体"/>
                <w:color w:val="000000"/>
                <w:kern w:val="0"/>
                <w:sz w:val="21"/>
                <w:szCs w:val="21"/>
                <w:lang w:bidi="ar"/>
              </w:rPr>
              <w:t>1</w:t>
            </w:r>
            <w:r>
              <w:rPr>
                <w:rFonts w:ascii="宋体" w:hAnsi="宋体" w:eastAsia="宋体" w:cs="宋体"/>
                <w:color w:val="000000"/>
                <w:kern w:val="0"/>
                <w:sz w:val="21"/>
                <w:szCs w:val="21"/>
                <w:lang w:bidi="ar"/>
              </w:rPr>
              <w:t>9.</w:t>
            </w:r>
            <w:r>
              <w:rPr>
                <w:rFonts w:hint="eastAsia" w:ascii="宋体" w:hAnsi="宋体" w:eastAsia="宋体" w:cs="宋体"/>
                <w:color w:val="000000"/>
                <w:kern w:val="0"/>
                <w:sz w:val="21"/>
                <w:szCs w:val="21"/>
                <w:lang w:bidi="ar"/>
              </w:rPr>
              <w:t>提供制造商针对本项目的授权原件</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冷藏箱</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★1、有效容积≥40L；</w:t>
            </w:r>
          </w:p>
          <w:p>
            <w:pPr>
              <w:pStyle w:val="2"/>
              <w:ind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2、净重 ≤6Kg</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3、箱体材质及保温：保温箱内外表面均采用PP材质，中间保温层PU一体发泡成形，保温层厚30mm，箱盖发泡硅胶条密封，保温性好。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4、外观设计：外观设计美观、重量轻、耐磨、耐腐蚀、食品级树脂，产品严格按照食品卫生要求标准制造。外观颜色多样。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5、温度显示：标配温度计，液晶显示箱内温度，直观明了。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6、配置：标配两个冷源,箱体内温度保持：冷藏 2℃ ～8℃ 为20小时。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7、选配：可选配带定位GSP的温度监控模块，实时监控温度并存储上传至云平台，可通过打印机实时打印数据，也可以通过云平台导出EXCEL表格。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8、质量保证：免费质保≥12个月。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招标文件中技术要求部分为满足采购人所需的最低要求，如有与某产品的指标参数描述相同，并非特指，仅为招标货物质量、档次、水平的参照，评标以功能和性能为主。允许投标人以不低于招标文件要求的档次、技术、性能的产品参与投标。</w:t>
            </w:r>
          </w:p>
        </w:tc>
      </w:tr>
      <w:tr>
        <w:tblPrEx>
          <w:tblCellMar>
            <w:top w:w="0" w:type="dxa"/>
            <w:left w:w="0" w:type="dxa"/>
            <w:bottom w:w="0" w:type="dxa"/>
            <w:right w:w="0" w:type="dxa"/>
          </w:tblCellMar>
        </w:tblPrEx>
        <w:trPr>
          <w:trHeight w:val="5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冷藏包</w:t>
            </w:r>
          </w:p>
        </w:tc>
        <w:tc>
          <w:tcPr>
            <w:tcW w:w="40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1、规格：有效容积≥20L，外部尺寸：≤600*340*420mm，便于携带。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2、净重 ≤3Kg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3、箱体材质及保温：保温箱内外表面均采用PP材质，中间保温层PU一体发泡成形，保温层厚30mm，箱盖发泡硅胶条密封，保温性好。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4、外观设计：外观设计美观、重量轻、耐磨、耐腐蚀、食品级树脂，产品严格按照食品卫生要求标准制造。外观颜色多样。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5、温度显示：标配温度计，液晶显示箱内温度，直观明了。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6、配置：标配两个冷源,箱体内温度保持：冷藏 2℃ ～8℃ 为20小时。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7、选配：可选配带定位GSP的温度监控模块，实时监控温度并存储上传至云平台，可通过打印机实时打印数据，也可以通过云平台导出EXCEL表格。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8、质量保证：免费质保≥12个月。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招标文件中技术要求部分为满足采购人所需的最低要求，如有与某产品的指标参数描述相同，并非特指，仅为招标货物质量、档次、水平的参照，评标以功能和性能为主。允许投标人以不低于招标文件要求的档次、技术、性能的产品参与投标。</w:t>
            </w:r>
          </w:p>
        </w:tc>
      </w:tr>
    </w:tbl>
    <w:p>
      <w:pPr>
        <w:pStyle w:val="7"/>
        <w:numPr>
          <w:ilvl w:val="0"/>
          <w:numId w:val="0"/>
        </w:numPr>
        <w:snapToGrid w:val="0"/>
        <w:spacing w:line="420" w:lineRule="atLeast"/>
        <w:jc w:val="both"/>
        <w:outlineLvl w:val="0"/>
        <w:rPr>
          <w:rFonts w:hint="eastAsia" w:ascii="宋体" w:hAnsi="宋体"/>
          <w:b/>
          <w:bCs/>
          <w:color w:val="000000" w:themeColor="text1"/>
          <w:sz w:val="36"/>
          <w14:textFill>
            <w14:solidFill>
              <w14:schemeClr w14:val="tx1"/>
            </w14:solidFill>
          </w14:textFill>
        </w:rPr>
      </w:pPr>
    </w:p>
    <w:p>
      <w:pPr>
        <w:widowControl/>
        <w:jc w:val="both"/>
        <w:rPr>
          <w:rFonts w:hint="eastAsia" w:ascii="宋体" w:hAnsi="宋体" w:cs="宋体"/>
          <w:b/>
          <w:color w:val="000000"/>
          <w:kern w:val="0"/>
          <w:sz w:val="36"/>
          <w:szCs w:val="36"/>
          <w:lang w:bidi="ar"/>
        </w:rPr>
      </w:pPr>
    </w:p>
    <w:p>
      <w:pPr>
        <w:pStyle w:val="13"/>
        <w:keepNext w:val="0"/>
        <w:keepLines w:val="0"/>
        <w:pageBreakBefore w:val="0"/>
        <w:kinsoku/>
        <w:wordWrap/>
        <w:overflowPunct/>
        <w:topLinePunct w:val="0"/>
        <w:autoSpaceDE/>
        <w:autoSpaceDN/>
        <w:bidi w:val="0"/>
        <w:adjustRightInd/>
        <w:snapToGrid/>
        <w:spacing w:line="520" w:lineRule="exact"/>
        <w:jc w:val="left"/>
        <w:textAlignment w:val="auto"/>
        <w:rPr>
          <w:rFonts w:hint="eastAsia" w:hAnsi="宋体"/>
          <w:b/>
          <w:color w:val="000000"/>
          <w:sz w:val="36"/>
          <w:szCs w:val="36"/>
          <w:lang w:eastAsia="zh-CN"/>
        </w:rPr>
      </w:pPr>
      <w:r>
        <w:rPr>
          <w:rFonts w:hint="eastAsia" w:hAnsi="宋体"/>
          <w:b/>
          <w:color w:val="000000"/>
          <w:sz w:val="36"/>
          <w:szCs w:val="36"/>
          <w:lang w:eastAsia="zh-CN"/>
        </w:rPr>
        <w:t>供货周期及安装工期：</w:t>
      </w:r>
      <w:r>
        <w:rPr>
          <w:rFonts w:hint="eastAsia" w:hAnsi="宋体"/>
          <w:b/>
          <w:bCs w:val="0"/>
          <w:color w:val="FF0000"/>
          <w:sz w:val="24"/>
          <w:szCs w:val="24"/>
          <w:lang w:eastAsia="zh-CN"/>
        </w:rPr>
        <w:t>核酸实验室建设装修及设备在签订合同后</w:t>
      </w:r>
      <w:r>
        <w:rPr>
          <w:rFonts w:hint="eastAsia" w:hAnsi="宋体"/>
          <w:b/>
          <w:bCs w:val="0"/>
          <w:color w:val="FF0000"/>
          <w:sz w:val="24"/>
          <w:szCs w:val="24"/>
          <w:lang w:val="en-US" w:eastAsia="zh-CN"/>
        </w:rPr>
        <w:t>30天内完成调试并投入使用；</w:t>
      </w:r>
      <w:r>
        <w:rPr>
          <w:rFonts w:hint="eastAsia" w:hAnsi="宋体"/>
          <w:b w:val="0"/>
          <w:bCs/>
          <w:color w:val="000000"/>
          <w:sz w:val="24"/>
          <w:szCs w:val="24"/>
          <w:lang w:val="en-US" w:eastAsia="zh-CN"/>
        </w:rPr>
        <w:t>其它设备仪器在2020年12月10日前完成调试并投入使用。</w:t>
      </w:r>
    </w:p>
    <w:p>
      <w:pPr>
        <w:pStyle w:val="13"/>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heme="majorEastAsia" w:hAnsiTheme="majorEastAsia" w:eastAsiaTheme="majorEastAsia" w:cstheme="majorEastAsia"/>
          <w:b w:val="0"/>
          <w:bCs/>
          <w:color w:val="000000"/>
          <w:sz w:val="24"/>
          <w:szCs w:val="24"/>
          <w:lang w:val="en-US" w:eastAsia="zh-CN"/>
        </w:rPr>
      </w:pPr>
      <w:r>
        <w:rPr>
          <w:rFonts w:hint="eastAsia" w:hAnsi="宋体"/>
          <w:b/>
          <w:color w:val="000000"/>
          <w:sz w:val="36"/>
          <w:szCs w:val="36"/>
          <w:lang w:eastAsia="zh-CN"/>
        </w:rPr>
        <w:t>付款方式：</w:t>
      </w:r>
      <w:r>
        <w:rPr>
          <w:rFonts w:hint="eastAsia" w:asciiTheme="majorEastAsia" w:hAnsiTheme="majorEastAsia" w:eastAsiaTheme="majorEastAsia" w:cstheme="majorEastAsia"/>
          <w:b w:val="0"/>
          <w:bCs/>
          <w:color w:val="000000"/>
          <w:sz w:val="24"/>
          <w:szCs w:val="24"/>
          <w:lang w:eastAsia="zh-CN"/>
        </w:rPr>
        <w:t>签订合同后付款总价的</w:t>
      </w:r>
      <w:r>
        <w:rPr>
          <w:rFonts w:hint="eastAsia" w:asciiTheme="majorEastAsia" w:hAnsiTheme="majorEastAsia" w:eastAsiaTheme="majorEastAsia" w:cstheme="majorEastAsia"/>
          <w:b w:val="0"/>
          <w:bCs/>
          <w:color w:val="000000"/>
          <w:sz w:val="24"/>
          <w:szCs w:val="24"/>
          <w:lang w:val="en-US" w:eastAsia="zh-CN"/>
        </w:rPr>
        <w:t>40%；验收合格后付款55%。留5%的质保金。</w:t>
      </w:r>
    </w:p>
    <w:p>
      <w:pPr>
        <w:pStyle w:val="4"/>
        <w:spacing w:before="200" w:after="200" w:line="360" w:lineRule="auto"/>
        <w:jc w:val="left"/>
        <w:rPr>
          <w:rFonts w:hint="eastAsia" w:ascii="宋体" w:hAnsi="宋体"/>
          <w:sz w:val="30"/>
          <w:szCs w:val="30"/>
        </w:rPr>
        <w:sectPr>
          <w:headerReference r:id="rId5" w:type="default"/>
          <w:footerReference r:id="rId6" w:type="default"/>
          <w:pgSz w:w="11907" w:h="16840"/>
          <w:pgMar w:top="1531" w:right="1418" w:bottom="1361" w:left="1418" w:header="720" w:footer="720" w:gutter="0"/>
          <w:cols w:space="425" w:num="1"/>
          <w:docGrid w:linePitch="285" w:charSpace="0"/>
        </w:sectPr>
      </w:pPr>
      <w:r>
        <w:rPr>
          <w:rFonts w:hint="eastAsia" w:ascii="宋体" w:hAnsi="宋体"/>
          <w:sz w:val="30"/>
          <w:szCs w:val="30"/>
        </w:rPr>
        <w:t>注：招标文件论证费和专家评审费用由中标人承担</w:t>
      </w:r>
    </w:p>
    <w:p>
      <w:pPr>
        <w:pStyle w:val="32"/>
        <w:jc w:val="center"/>
        <w:outlineLvl w:val="0"/>
        <w:rPr>
          <w:rFonts w:hint="eastAsia" w:hAnsi="宋体"/>
          <w:b/>
          <w:bCs/>
          <w:color w:val="000000" w:themeColor="text1"/>
          <w:sz w:val="36"/>
          <w14:textFill>
            <w14:solidFill>
              <w14:schemeClr w14:val="tx1"/>
            </w14:solidFill>
          </w14:textFill>
        </w:rPr>
      </w:pPr>
    </w:p>
    <w:p>
      <w:pPr>
        <w:pStyle w:val="32"/>
        <w:jc w:val="center"/>
        <w:outlineLvl w:val="0"/>
        <w:rPr>
          <w:rFonts w:asciiTheme="minorEastAsia" w:hAnsiTheme="minorEastAsia" w:cstheme="minorEastAsia"/>
        </w:rPr>
      </w:pPr>
      <w:r>
        <w:rPr>
          <w:rFonts w:hint="eastAsia" w:hAnsi="宋体"/>
          <w:b/>
          <w:bCs/>
          <w:color w:val="000000" w:themeColor="text1"/>
          <w:sz w:val="36"/>
          <w14:textFill>
            <w14:solidFill>
              <w14:schemeClr w14:val="tx1"/>
            </w14:solidFill>
          </w14:textFill>
        </w:rPr>
        <w:t>第五章</w:t>
      </w:r>
      <w:r>
        <w:rPr>
          <w:rFonts w:hAnsi="宋体"/>
          <w:b/>
          <w:color w:val="000000" w:themeColor="text1"/>
          <w:sz w:val="36"/>
          <w14:textFill>
            <w14:solidFill>
              <w14:schemeClr w14:val="tx1"/>
            </w14:solidFill>
          </w14:textFill>
        </w:rPr>
        <w:t xml:space="preserve">  </w:t>
      </w:r>
      <w:r>
        <w:rPr>
          <w:rFonts w:hint="eastAsia" w:hAnsi="宋体"/>
          <w:b/>
          <w:color w:val="000000" w:themeColor="text1"/>
          <w:sz w:val="36"/>
          <w14:textFill>
            <w14:solidFill>
              <w14:schemeClr w14:val="tx1"/>
            </w14:solidFill>
          </w14:textFill>
        </w:rPr>
        <w:t>铜仁市市级政府采购合同（参考文本）</w:t>
      </w:r>
    </w:p>
    <w:p>
      <w:pPr>
        <w:pStyle w:val="6"/>
        <w:spacing w:before="240" w:beforeLines="100" w:after="120" w:afterLines="50"/>
        <w:jc w:val="center"/>
        <w:rPr>
          <w:rFonts w:asciiTheme="minorEastAsia" w:hAnsiTheme="minorEastAsia" w:cstheme="minorEastAsia"/>
          <w:sz w:val="32"/>
          <w:szCs w:val="32"/>
        </w:rPr>
      </w:pPr>
      <w:bookmarkStart w:id="32" w:name="_Toc406670745"/>
      <w:bookmarkStart w:id="33" w:name="_Toc424213035"/>
      <w:bookmarkStart w:id="34" w:name="_Toc406672407"/>
      <w:bookmarkStart w:id="35" w:name="_Toc406671116"/>
      <w:bookmarkStart w:id="36" w:name="_Toc406671704"/>
      <w:r>
        <w:rPr>
          <w:rFonts w:hint="eastAsia" w:asciiTheme="minorEastAsia" w:hAnsiTheme="minorEastAsia" w:cstheme="minorEastAsia"/>
          <w:sz w:val="32"/>
          <w:szCs w:val="32"/>
        </w:rPr>
        <w:t>第一节  主要条款</w:t>
      </w:r>
      <w:bookmarkEnd w:id="32"/>
      <w:bookmarkEnd w:id="33"/>
      <w:bookmarkEnd w:id="34"/>
      <w:bookmarkEnd w:id="35"/>
      <w:bookmarkEnd w:id="36"/>
    </w:p>
    <w:p>
      <w:pPr>
        <w:pStyle w:val="13"/>
        <w:spacing w:before="240" w:beforeLines="100" w:after="120" w:afterLines="50"/>
        <w:rPr>
          <w:rFonts w:asciiTheme="minorEastAsia" w:hAnsiTheme="minorEastAsia" w:cstheme="minorEastAsia"/>
          <w:sz w:val="24"/>
          <w:szCs w:val="24"/>
        </w:rPr>
      </w:pPr>
      <w:r>
        <w:rPr>
          <w:rFonts w:hint="eastAsia" w:asciiTheme="minorEastAsia" w:hAnsiTheme="minorEastAsia" w:cstheme="minorEastAsia"/>
          <w:sz w:val="24"/>
          <w:szCs w:val="24"/>
        </w:rPr>
        <w:t>采购人或采购代理机构根据采购服务项目特点自行拟定包含但不仅限于以下内容：</w:t>
      </w:r>
    </w:p>
    <w:p>
      <w:pPr>
        <w:pStyle w:val="13"/>
        <w:spacing w:before="240" w:beforeLines="100" w:after="120" w:afterLines="50"/>
        <w:rPr>
          <w:rFonts w:asciiTheme="minorEastAsia" w:hAnsiTheme="minorEastAsia" w:cstheme="minorEastAsia"/>
          <w:sz w:val="24"/>
          <w:szCs w:val="24"/>
        </w:rPr>
      </w:pPr>
      <w:r>
        <w:rPr>
          <w:rFonts w:hint="eastAsia" w:asciiTheme="minorEastAsia" w:hAnsiTheme="minorEastAsia" w:cstheme="minorEastAsia"/>
          <w:sz w:val="24"/>
          <w:szCs w:val="24"/>
        </w:rPr>
        <w:t>1、服务周期：</w:t>
      </w:r>
      <w:r>
        <w:rPr>
          <w:rFonts w:hint="eastAsia" w:asciiTheme="minorEastAsia" w:hAnsiTheme="minorEastAsia" w:cstheme="minorEastAsia"/>
          <w:sz w:val="24"/>
          <w:szCs w:val="24"/>
          <w:u w:val="single"/>
        </w:rPr>
        <w:t xml:space="preserve">                           </w:t>
      </w:r>
    </w:p>
    <w:p>
      <w:pPr>
        <w:pStyle w:val="13"/>
        <w:spacing w:before="240" w:beforeLines="100" w:after="120" w:afterLines="50"/>
        <w:rPr>
          <w:rFonts w:asciiTheme="minorEastAsia" w:hAnsiTheme="minorEastAsia" w:cstheme="minorEastAsia"/>
          <w:sz w:val="24"/>
          <w:szCs w:val="24"/>
        </w:rPr>
      </w:pPr>
      <w:r>
        <w:rPr>
          <w:rFonts w:asciiTheme="minorEastAsia" w:hAnsiTheme="minorEastAsia" w:cstheme="minorEastAsia"/>
          <w:sz w:val="24"/>
          <w:szCs w:val="24"/>
        </w:rPr>
        <w:t>2</w:t>
      </w:r>
      <w:r>
        <w:rPr>
          <w:rFonts w:hint="eastAsia" w:asciiTheme="minorEastAsia" w:hAnsiTheme="minorEastAsia" w:cstheme="minorEastAsia"/>
          <w:sz w:val="24"/>
          <w:szCs w:val="24"/>
        </w:rPr>
        <w:t>、质量标准及验收办法：</w:t>
      </w:r>
      <w:r>
        <w:rPr>
          <w:rFonts w:hint="eastAsia" w:asciiTheme="minorEastAsia" w:hAnsiTheme="minorEastAsia" w:cstheme="minorEastAsia"/>
          <w:sz w:val="24"/>
          <w:szCs w:val="24"/>
          <w:u w:val="single"/>
        </w:rPr>
        <w:t xml:space="preserve">                       </w:t>
      </w:r>
    </w:p>
    <w:p>
      <w:pPr>
        <w:pStyle w:val="13"/>
        <w:spacing w:before="240" w:beforeLines="100" w:after="120" w:afterLines="50"/>
        <w:rPr>
          <w:rFonts w:asciiTheme="minorEastAsia" w:hAnsiTheme="minorEastAsia" w:cstheme="minorEastAsia"/>
          <w:sz w:val="24"/>
          <w:szCs w:val="24"/>
        </w:rPr>
      </w:pPr>
      <w:r>
        <w:rPr>
          <w:rFonts w:asciiTheme="minorEastAsia" w:hAnsiTheme="minorEastAsia" w:cstheme="minorEastAsia"/>
          <w:sz w:val="24"/>
          <w:szCs w:val="24"/>
        </w:rPr>
        <w:t>3</w:t>
      </w:r>
      <w:r>
        <w:rPr>
          <w:rFonts w:hint="eastAsia" w:asciiTheme="minorEastAsia" w:hAnsiTheme="minorEastAsia" w:cstheme="minorEastAsia"/>
          <w:sz w:val="24"/>
          <w:szCs w:val="24"/>
        </w:rPr>
        <w:t>、付款方式：</w:t>
      </w:r>
      <w:r>
        <w:rPr>
          <w:rFonts w:hint="eastAsia" w:asciiTheme="minorEastAsia" w:hAnsiTheme="minorEastAsia" w:cstheme="minorEastAsia"/>
          <w:sz w:val="24"/>
          <w:szCs w:val="24"/>
          <w:u w:val="single"/>
        </w:rPr>
        <w:t xml:space="preserve">                                 </w:t>
      </w:r>
    </w:p>
    <w:p>
      <w:pPr>
        <w:pStyle w:val="13"/>
        <w:spacing w:before="240" w:beforeLines="100" w:after="120" w:afterLines="50"/>
        <w:rPr>
          <w:rFonts w:asciiTheme="minorEastAsia" w:hAnsiTheme="minorEastAsia" w:cstheme="minorEastAsia"/>
          <w:sz w:val="24"/>
          <w:szCs w:val="24"/>
        </w:rPr>
      </w:pPr>
      <w:r>
        <w:rPr>
          <w:rFonts w:hint="eastAsia" w:asciiTheme="minorEastAsia" w:hAnsiTheme="minorEastAsia" w:cstheme="minorEastAsia"/>
          <w:sz w:val="24"/>
          <w:szCs w:val="24"/>
        </w:rPr>
        <w:t>4、考核评标体系：</w:t>
      </w:r>
      <w:r>
        <w:rPr>
          <w:rFonts w:hint="eastAsia" w:asciiTheme="minorEastAsia" w:hAnsiTheme="minorEastAsia" w:cstheme="minorEastAsia"/>
          <w:sz w:val="24"/>
          <w:szCs w:val="24"/>
          <w:u w:val="single"/>
        </w:rPr>
        <w:t xml:space="preserve">                    </w:t>
      </w:r>
    </w:p>
    <w:p>
      <w:pPr>
        <w:pStyle w:val="13"/>
        <w:spacing w:before="240" w:beforeLines="100" w:after="120" w:afterLines="50"/>
        <w:rPr>
          <w:rFonts w:asciiTheme="minorEastAsia" w:hAnsiTheme="minorEastAsia" w:cstheme="minorEastAsia"/>
          <w:sz w:val="24"/>
          <w:szCs w:val="24"/>
        </w:rPr>
      </w:pPr>
      <w:r>
        <w:rPr>
          <w:rFonts w:asciiTheme="minorEastAsia" w:hAnsiTheme="minorEastAsia" w:cstheme="minorEastAsia"/>
          <w:sz w:val="24"/>
          <w:szCs w:val="24"/>
        </w:rPr>
        <w:t>5</w:t>
      </w:r>
      <w:r>
        <w:rPr>
          <w:rFonts w:hint="eastAsia" w:asciiTheme="minorEastAsia" w:hAnsiTheme="minorEastAsia" w:cstheme="minorEastAsia"/>
          <w:sz w:val="24"/>
          <w:szCs w:val="24"/>
        </w:rPr>
        <w:t>、服务周期清算办法：</w:t>
      </w:r>
      <w:r>
        <w:rPr>
          <w:rFonts w:hint="eastAsia" w:asciiTheme="minorEastAsia" w:hAnsiTheme="minorEastAsia" w:cstheme="minorEastAsia"/>
          <w:sz w:val="24"/>
          <w:szCs w:val="24"/>
          <w:u w:val="single"/>
        </w:rPr>
        <w:t xml:space="preserve">            </w:t>
      </w:r>
    </w:p>
    <w:p>
      <w:pPr>
        <w:pStyle w:val="13"/>
        <w:spacing w:before="240" w:beforeLines="100" w:after="120" w:afterLines="50"/>
        <w:rPr>
          <w:rFonts w:asciiTheme="minorEastAsia" w:hAnsiTheme="minorEastAsia" w:cstheme="minorEastAsia"/>
          <w:sz w:val="24"/>
          <w:szCs w:val="24"/>
        </w:rPr>
      </w:pPr>
      <w:r>
        <w:rPr>
          <w:rFonts w:asciiTheme="minorEastAsia" w:hAnsiTheme="minorEastAsia" w:cstheme="minorEastAsia"/>
          <w:sz w:val="24"/>
          <w:szCs w:val="24"/>
        </w:rPr>
        <w:t>6</w:t>
      </w:r>
      <w:r>
        <w:rPr>
          <w:rFonts w:hint="eastAsia" w:asciiTheme="minorEastAsia" w:hAnsiTheme="minorEastAsia" w:cstheme="minorEastAsia"/>
          <w:sz w:val="24"/>
          <w:szCs w:val="24"/>
        </w:rPr>
        <w:t>、…….</w:t>
      </w:r>
    </w:p>
    <w:p>
      <w:pPr>
        <w:pStyle w:val="6"/>
        <w:spacing w:before="240" w:beforeLines="100" w:after="120" w:afterLines="50"/>
        <w:jc w:val="center"/>
        <w:rPr>
          <w:rFonts w:asciiTheme="minorEastAsia" w:hAnsiTheme="minorEastAsia" w:cstheme="minorEastAsia"/>
          <w:b/>
          <w:sz w:val="72"/>
          <w:szCs w:val="72"/>
        </w:rPr>
      </w:pPr>
      <w:bookmarkStart w:id="37" w:name="_Toc406670752"/>
      <w:bookmarkStart w:id="38" w:name="_Toc406672409"/>
      <w:bookmarkStart w:id="39" w:name="_Toc406671711"/>
      <w:bookmarkStart w:id="40" w:name="_Toc406671123"/>
      <w:r>
        <w:rPr>
          <w:rFonts w:hint="eastAsia" w:asciiTheme="minorEastAsia" w:hAnsiTheme="minorEastAsia" w:cstheme="minorEastAsia"/>
        </w:rPr>
        <w:br w:type="page"/>
      </w:r>
      <w:bookmarkStart w:id="41" w:name="_Toc424213036"/>
      <w:r>
        <w:rPr>
          <w:rFonts w:hint="eastAsia" w:asciiTheme="minorEastAsia" w:hAnsiTheme="minorEastAsia" w:cstheme="minorEastAsia"/>
          <w:sz w:val="32"/>
          <w:szCs w:val="32"/>
        </w:rPr>
        <w:t>第二节  拟签订的政府采购合同</w:t>
      </w:r>
      <w:bookmarkEnd w:id="37"/>
      <w:bookmarkEnd w:id="38"/>
      <w:bookmarkEnd w:id="39"/>
      <w:bookmarkEnd w:id="40"/>
      <w:bookmarkEnd w:id="41"/>
    </w:p>
    <w:p>
      <w:pPr>
        <w:tabs>
          <w:tab w:val="left" w:pos="720"/>
        </w:tabs>
        <w:rPr>
          <w:rFonts w:asciiTheme="minorEastAsia" w:hAnsiTheme="minorEastAsia" w:cstheme="minorEastAsia"/>
          <w:b/>
          <w:sz w:val="28"/>
          <w:szCs w:val="28"/>
        </w:rPr>
      </w:pPr>
    </w:p>
    <w:tbl>
      <w:tblPr>
        <w:tblStyle w:val="2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cstheme="minorEastAsia"/>
                <w:b/>
                <w:sz w:val="32"/>
                <w:szCs w:val="32"/>
                <w:u w:val="single"/>
              </w:rPr>
            </w:pPr>
            <w:r>
              <w:rPr>
                <w:rFonts w:hint="eastAsia" w:asciiTheme="minorEastAsia" w:hAnsiTheme="minorEastAsia" w:cstheme="minorEastAsia"/>
                <w:b/>
                <w:sz w:val="32"/>
                <w:szCs w:val="32"/>
              </w:rPr>
              <w:t>采购编号：</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cstheme="minorEastAsia"/>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Theme="minorEastAsia" w:hAnsiTheme="minorEastAsia" w:cstheme="minorEastAsia"/>
                <w:b/>
                <w:sz w:val="32"/>
                <w:szCs w:val="32"/>
              </w:rPr>
            </w:pPr>
            <w:r>
              <w:rPr>
                <w:rFonts w:hint="eastAsia" w:asciiTheme="minorEastAsia" w:hAnsiTheme="minorEastAsia" w:cstheme="minorEastAsia"/>
                <w:b/>
                <w:sz w:val="32"/>
                <w:szCs w:val="32"/>
              </w:rPr>
              <w:t>项目名称：</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rPr>
                <w:rFonts w:asciiTheme="minorEastAsia" w:hAnsiTheme="minorEastAsia" w:cstheme="minorEastAsia"/>
                <w:b/>
                <w:sz w:val="28"/>
                <w:szCs w:val="28"/>
              </w:rPr>
            </w:pPr>
          </w:p>
        </w:tc>
      </w:tr>
    </w:tbl>
    <w:p>
      <w:pPr>
        <w:tabs>
          <w:tab w:val="left" w:pos="720"/>
        </w:tabs>
        <w:rPr>
          <w:rFonts w:asciiTheme="minorEastAsia" w:hAnsiTheme="minorEastAsia" w:cstheme="minorEastAsia"/>
          <w:sz w:val="28"/>
          <w:szCs w:val="28"/>
        </w:rPr>
      </w:pPr>
    </w:p>
    <w:p>
      <w:pPr>
        <w:pStyle w:val="13"/>
        <w:spacing w:before="240" w:beforeLines="100" w:after="120" w:afterLines="50"/>
        <w:rPr>
          <w:rFonts w:asciiTheme="minorEastAsia" w:hAnsiTheme="minorEastAsia" w:cstheme="minorEastAsia"/>
          <w:sz w:val="24"/>
          <w:szCs w:val="24"/>
        </w:rPr>
      </w:pPr>
      <w:r>
        <w:rPr>
          <w:rFonts w:hint="eastAsia" w:asciiTheme="minorEastAsia" w:hAnsiTheme="minorEastAsia" w:cstheme="minorEastAsia"/>
          <w:sz w:val="24"/>
          <w:szCs w:val="24"/>
        </w:rPr>
        <w:t>甲方：（采购人全称）</w:t>
      </w:r>
    </w:p>
    <w:p>
      <w:pPr>
        <w:pStyle w:val="13"/>
        <w:spacing w:before="240" w:beforeLines="100" w:after="120" w:afterLines="50"/>
        <w:rPr>
          <w:rFonts w:asciiTheme="minorEastAsia" w:hAnsiTheme="minorEastAsia" w:cstheme="minorEastAsia"/>
          <w:sz w:val="24"/>
          <w:szCs w:val="24"/>
        </w:rPr>
      </w:pPr>
      <w:r>
        <w:rPr>
          <w:rFonts w:hint="eastAsia" w:asciiTheme="minorEastAsia" w:hAnsiTheme="minorEastAsia" w:cstheme="minorEastAsia"/>
          <w:sz w:val="24"/>
          <w:szCs w:val="24"/>
        </w:rPr>
        <w:t>乙方：（供应商全称）</w:t>
      </w:r>
    </w:p>
    <w:p>
      <w:pPr>
        <w:pStyle w:val="13"/>
        <w:spacing w:before="240" w:beforeLines="100" w:after="120" w:afterLines="50"/>
        <w:rPr>
          <w:rFonts w:asciiTheme="minorEastAsia" w:hAnsiTheme="minorEastAsia" w:cstheme="minorEastAsia"/>
          <w:sz w:val="24"/>
          <w:szCs w:val="24"/>
        </w:rPr>
      </w:pPr>
      <w:r>
        <w:rPr>
          <w:rFonts w:hint="eastAsia" w:asciiTheme="minorEastAsia" w:hAnsiTheme="minorEastAsia" w:cstheme="minorEastAsia"/>
          <w:sz w:val="24"/>
          <w:szCs w:val="24"/>
        </w:rPr>
        <w:t xml:space="preserve">    甲、乙双方根据</w:t>
      </w:r>
      <w:r>
        <w:rPr>
          <w:rFonts w:hint="eastAsia" w:asciiTheme="minorEastAsia" w:hAnsiTheme="minorEastAsia" w:cstheme="minorEastAsia"/>
          <w:sz w:val="24"/>
          <w:szCs w:val="24"/>
          <w:u w:val="single"/>
        </w:rPr>
        <w:t xml:space="preserve">     项目名称       </w:t>
      </w:r>
      <w:r>
        <w:rPr>
          <w:rFonts w:hint="eastAsia" w:asciiTheme="minorEastAsia" w:hAnsiTheme="minorEastAsia" w:cstheme="minorEastAsia"/>
          <w:sz w:val="24"/>
          <w:szCs w:val="24"/>
        </w:rPr>
        <w:t>项目（交易编号：）的</w:t>
      </w:r>
      <w:r>
        <w:rPr>
          <w:rFonts w:hint="eastAsia" w:asciiTheme="minorEastAsia" w:hAnsiTheme="minorEastAsia" w:cstheme="minorEastAsia"/>
          <w:sz w:val="24"/>
          <w:szCs w:val="24"/>
          <w:u w:val="single"/>
        </w:rPr>
        <w:t xml:space="preserve"> 公开招标 </w:t>
      </w:r>
      <w:r>
        <w:rPr>
          <w:rFonts w:hint="eastAsia" w:asciiTheme="minorEastAsia" w:hAnsiTheme="minorEastAsia" w:cstheme="minorEastAsia"/>
          <w:sz w:val="24"/>
          <w:szCs w:val="24"/>
        </w:rPr>
        <w:t>结果，甲方接受乙方为本项目的供应商。甲乙双方根据本项目采购文件、投标文件及招投标过程中确定的有关内容，签署本合同。</w:t>
      </w:r>
    </w:p>
    <w:p>
      <w:pPr>
        <w:rPr>
          <w:rFonts w:asciiTheme="minorEastAsia" w:hAnsiTheme="minorEastAsia" w:cstheme="minorEastAsia"/>
          <w:b/>
          <w:sz w:val="24"/>
        </w:rPr>
      </w:pPr>
      <w:r>
        <w:rPr>
          <w:rFonts w:hint="eastAsia" w:asciiTheme="minorEastAsia" w:hAnsiTheme="minorEastAsia" w:cstheme="minorEastAsia"/>
          <w:b/>
          <w:sz w:val="24"/>
        </w:rPr>
        <w:t>一、合同金额</w:t>
      </w:r>
    </w:p>
    <w:p>
      <w:pPr>
        <w:pStyle w:val="13"/>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合同金额为（大写）：_________________元（￥_______________元）人民币。</w:t>
      </w:r>
    </w:p>
    <w:p>
      <w:pPr>
        <w:numPr>
          <w:ilvl w:val="0"/>
          <w:numId w:val="11"/>
        </w:numPr>
        <w:ind w:left="0" w:firstLine="0"/>
        <w:rPr>
          <w:rFonts w:asciiTheme="minorEastAsia" w:hAnsiTheme="minorEastAsia" w:cstheme="minorEastAsia"/>
          <w:b/>
          <w:sz w:val="24"/>
        </w:rPr>
      </w:pPr>
      <w:r>
        <w:rPr>
          <w:rFonts w:hint="eastAsia" w:asciiTheme="minorEastAsia" w:hAnsiTheme="minorEastAsia" w:cstheme="minorEastAsia"/>
          <w:b/>
          <w:sz w:val="24"/>
        </w:rPr>
        <w:t>服务范围</w:t>
      </w:r>
    </w:p>
    <w:p>
      <w:pPr>
        <w:rPr>
          <w:rFonts w:asciiTheme="minorEastAsia" w:hAnsiTheme="minorEastAsia" w:cstheme="minorEastAsia"/>
          <w:sz w:val="24"/>
        </w:rPr>
      </w:pPr>
      <w:r>
        <w:rPr>
          <w:rFonts w:hint="eastAsia" w:asciiTheme="minorEastAsia" w:hAnsiTheme="minorEastAsia" w:cstheme="minorEastAsia"/>
          <w:sz w:val="24"/>
        </w:rPr>
        <w:t>　　甲方聘请乙方提供以下服务：</w:t>
      </w:r>
    </w:p>
    <w:p>
      <w:pPr>
        <w:rPr>
          <w:rFonts w:asciiTheme="minorEastAsia" w:hAnsiTheme="minorEastAsia" w:cstheme="minorEastAsia"/>
          <w:sz w:val="24"/>
          <w:u w:val="single"/>
        </w:rPr>
      </w:pPr>
      <w:r>
        <w:rPr>
          <w:rFonts w:hint="eastAsia" w:asciiTheme="minorEastAsia" w:hAnsiTheme="minorEastAsia" w:cstheme="minorEastAsia"/>
          <w:sz w:val="24"/>
        </w:rPr>
        <w:t>　　1．本合同项下的服务指。</w:t>
      </w:r>
    </w:p>
    <w:p>
      <w:pPr>
        <w:rPr>
          <w:rFonts w:asciiTheme="minorEastAsia" w:hAnsiTheme="minorEastAsia" w:cstheme="minorEastAsia"/>
          <w:sz w:val="24"/>
        </w:rPr>
      </w:pPr>
      <w:r>
        <w:rPr>
          <w:rFonts w:hint="eastAsia" w:asciiTheme="minorEastAsia" w:hAnsiTheme="minorEastAsia" w:cstheme="minorEastAsia"/>
          <w:sz w:val="24"/>
        </w:rPr>
        <w:t>　　2．......</w:t>
      </w:r>
    </w:p>
    <w:p>
      <w:pPr>
        <w:numPr>
          <w:ilvl w:val="0"/>
          <w:numId w:val="12"/>
        </w:numPr>
        <w:rPr>
          <w:rFonts w:asciiTheme="minorEastAsia" w:hAnsiTheme="minorEastAsia" w:cstheme="minorEastAsia"/>
          <w:sz w:val="24"/>
        </w:rPr>
      </w:pPr>
      <w:r>
        <w:rPr>
          <w:rFonts w:hint="eastAsia" w:asciiTheme="minorEastAsia" w:hAnsiTheme="minorEastAsia" w:cstheme="minorEastAsia"/>
          <w:sz w:val="24"/>
        </w:rPr>
        <w:t>......</w:t>
      </w:r>
    </w:p>
    <w:p>
      <w:pPr>
        <w:rPr>
          <w:rFonts w:asciiTheme="minorEastAsia" w:hAnsiTheme="minorEastAsia" w:cstheme="minorEastAsia"/>
          <w:b/>
          <w:sz w:val="24"/>
        </w:rPr>
      </w:pPr>
      <w:r>
        <w:rPr>
          <w:rFonts w:hint="eastAsia" w:asciiTheme="minorEastAsia" w:hAnsiTheme="minorEastAsia" w:cstheme="minorEastAsia"/>
          <w:b/>
          <w:sz w:val="24"/>
        </w:rPr>
        <w:t>二、服务质量要求</w:t>
      </w:r>
    </w:p>
    <w:p>
      <w:pPr>
        <w:rPr>
          <w:rFonts w:asciiTheme="minorEastAsia" w:hAnsiTheme="minorEastAsia" w:cstheme="minorEastAsia"/>
          <w:b/>
          <w:sz w:val="24"/>
        </w:rPr>
      </w:pPr>
      <w:r>
        <w:rPr>
          <w:rFonts w:hint="eastAsia" w:asciiTheme="minorEastAsia" w:hAnsiTheme="minorEastAsia" w:cstheme="minorEastAsia"/>
          <w:b/>
          <w:sz w:val="24"/>
        </w:rPr>
        <w:t>三、甲方乙方的权利和义务</w:t>
      </w:r>
    </w:p>
    <w:p>
      <w:pPr>
        <w:rPr>
          <w:rFonts w:asciiTheme="minorEastAsia" w:hAnsiTheme="minorEastAsia" w:cstheme="minorEastAsia"/>
          <w:sz w:val="24"/>
        </w:rPr>
      </w:pPr>
      <w:r>
        <w:rPr>
          <w:rFonts w:hint="eastAsia" w:asciiTheme="minorEastAsia" w:hAnsiTheme="minorEastAsia" w:cstheme="minorEastAsia"/>
          <w:sz w:val="24"/>
        </w:rPr>
        <w:t>　　（一） 甲方的权利和义务</w:t>
      </w:r>
    </w:p>
    <w:p>
      <w:pPr>
        <w:numPr>
          <w:ilvl w:val="0"/>
          <w:numId w:val="13"/>
        </w:numPr>
        <w:rPr>
          <w:rFonts w:asciiTheme="minorEastAsia" w:hAnsiTheme="minorEastAsia" w:cstheme="minorEastAsia"/>
          <w:sz w:val="24"/>
        </w:rPr>
      </w:pPr>
      <w:r>
        <w:rPr>
          <w:rFonts w:hint="eastAsia" w:asciiTheme="minorEastAsia" w:hAnsiTheme="minorEastAsia" w:cstheme="minorEastAsia"/>
          <w:sz w:val="24"/>
        </w:rPr>
        <w:t>乙方的权利和义务</w:t>
      </w:r>
    </w:p>
    <w:p>
      <w:pPr>
        <w:rPr>
          <w:rFonts w:asciiTheme="minorEastAsia" w:hAnsiTheme="minorEastAsia" w:cstheme="minorEastAsia"/>
          <w:b/>
          <w:sz w:val="24"/>
        </w:rPr>
      </w:pPr>
      <w:r>
        <w:rPr>
          <w:rFonts w:hint="eastAsia" w:asciiTheme="minorEastAsia" w:hAnsiTheme="minorEastAsia" w:cstheme="minorEastAsia"/>
          <w:b/>
          <w:sz w:val="24"/>
        </w:rPr>
        <w:t>四服务期间（项目完成期限）</w:t>
      </w:r>
    </w:p>
    <w:p>
      <w:pPr>
        <w:ind w:firstLine="435"/>
        <w:rPr>
          <w:rFonts w:asciiTheme="minorEastAsia" w:hAnsiTheme="minorEastAsia" w:cstheme="minorEastAsia"/>
          <w:sz w:val="24"/>
        </w:rPr>
      </w:pPr>
      <w:r>
        <w:rPr>
          <w:rFonts w:hint="eastAsia" w:asciiTheme="minorEastAsia" w:hAnsiTheme="minorEastAsia" w:cstheme="minorEastAsia"/>
          <w:sz w:val="24"/>
        </w:rPr>
        <w:t>委托服务期间自______年______月至______年______月止。</w:t>
      </w:r>
    </w:p>
    <w:p>
      <w:pPr>
        <w:rPr>
          <w:rFonts w:asciiTheme="minorEastAsia" w:hAnsiTheme="minorEastAsia" w:cstheme="minorEastAsia"/>
          <w:b/>
          <w:sz w:val="24"/>
        </w:rPr>
      </w:pPr>
      <w:r>
        <w:rPr>
          <w:rFonts w:hint="eastAsia" w:asciiTheme="minorEastAsia" w:hAnsiTheme="minorEastAsia" w:cstheme="minorEastAsia"/>
          <w:b/>
          <w:sz w:val="24"/>
        </w:rPr>
        <w:t>五、验收及评价考核</w:t>
      </w:r>
    </w:p>
    <w:p>
      <w:pPr>
        <w:rPr>
          <w:rFonts w:asciiTheme="minorEastAsia" w:hAnsiTheme="minorEastAsia" w:cstheme="minorEastAsia"/>
          <w:sz w:val="24"/>
        </w:rPr>
      </w:pPr>
      <w:r>
        <w:rPr>
          <w:rFonts w:hint="eastAsia" w:asciiTheme="minorEastAsia" w:hAnsiTheme="minorEastAsia" w:cstheme="minorEastAsia"/>
          <w:b/>
          <w:sz w:val="24"/>
        </w:rPr>
        <w:t>五、  付款方式</w:t>
      </w:r>
    </w:p>
    <w:p>
      <w:pPr>
        <w:rPr>
          <w:rFonts w:asciiTheme="minorEastAsia" w:hAnsiTheme="minorEastAsia" w:cstheme="minorEastAsia"/>
          <w:sz w:val="24"/>
        </w:rPr>
      </w:pPr>
      <w:r>
        <w:rPr>
          <w:rFonts w:hint="eastAsia" w:asciiTheme="minorEastAsia" w:hAnsiTheme="minorEastAsia" w:cstheme="minorEastAsia"/>
          <w:sz w:val="24"/>
        </w:rPr>
        <w:t>由甲方按下列程序在内付款。</w:t>
      </w:r>
    </w:p>
    <w:p>
      <w:pPr>
        <w:rPr>
          <w:rFonts w:asciiTheme="minorEastAsia" w:hAnsiTheme="minorEastAsia" w:cstheme="minorEastAsia"/>
          <w:sz w:val="24"/>
        </w:rPr>
      </w:pPr>
      <w:r>
        <w:rPr>
          <w:rFonts w:hint="eastAsia" w:asciiTheme="minorEastAsia" w:hAnsiTheme="minorEastAsia" w:cstheme="minorEastAsia"/>
          <w:kern w:val="0"/>
          <w:sz w:val="24"/>
        </w:rPr>
        <w:t>1)在合同实施及服务人员到达服务地后__天内，甲方应将第一次付　　款总服务费的__(-%)付给乙方。</w:t>
      </w:r>
    </w:p>
    <w:p>
      <w:pPr>
        <w:rPr>
          <w:rFonts w:asciiTheme="minorEastAsia" w:hAnsiTheme="minorEastAsia" w:cstheme="minorEastAsia"/>
          <w:sz w:val="24"/>
        </w:rPr>
      </w:pPr>
      <w:r>
        <w:rPr>
          <w:rFonts w:hint="eastAsia" w:asciiTheme="minorEastAsia" w:hAnsiTheme="minorEastAsia" w:cstheme="minorEastAsia"/>
          <w:kern w:val="0"/>
          <w:sz w:val="24"/>
        </w:rPr>
        <w:t>2)第二次付款额应为总服务费的__(-%)，甲方应在乙方已经准备好，并递交了服务报告及其它相关文件，而这些报告和文件符合合同附件上的要求并被甲方验收后付给乙方。</w:t>
      </w:r>
    </w:p>
    <w:p>
      <w:pPr>
        <w:rPr>
          <w:rFonts w:asciiTheme="minorEastAsia" w:hAnsiTheme="minorEastAsia" w:cstheme="minorEastAsia"/>
          <w:sz w:val="24"/>
        </w:rPr>
      </w:pPr>
      <w:r>
        <w:rPr>
          <w:rFonts w:hint="eastAsia" w:asciiTheme="minorEastAsia" w:hAnsiTheme="minorEastAsia" w:cstheme="minorEastAsia"/>
          <w:kern w:val="0"/>
          <w:sz w:val="24"/>
        </w:rPr>
        <w:t>3)最后一次付款额应为总服务费的__(-%)，甲方应在乙方递交了服务总结报告和说明并完全履行合同完毕日内付给乙方。</w:t>
      </w:r>
    </w:p>
    <w:p>
      <w:pPr>
        <w:tabs>
          <w:tab w:val="left" w:pos="900"/>
        </w:tabs>
        <w:rPr>
          <w:rFonts w:asciiTheme="minorEastAsia" w:hAnsiTheme="minorEastAsia" w:cstheme="minorEastAsia"/>
          <w:b/>
          <w:sz w:val="24"/>
        </w:rPr>
      </w:pPr>
      <w:r>
        <w:rPr>
          <w:rFonts w:hint="eastAsia" w:asciiTheme="minorEastAsia" w:hAnsiTheme="minorEastAsia" w:cstheme="minorEastAsia"/>
          <w:b/>
          <w:sz w:val="24"/>
        </w:rPr>
        <w:t>六、知识产权产权归属</w:t>
      </w:r>
    </w:p>
    <w:p>
      <w:pPr>
        <w:tabs>
          <w:tab w:val="left" w:pos="900"/>
        </w:tabs>
        <w:rPr>
          <w:rFonts w:asciiTheme="minorEastAsia" w:hAnsiTheme="minorEastAsia" w:cstheme="minorEastAsia"/>
          <w:b/>
          <w:sz w:val="24"/>
        </w:rPr>
      </w:pPr>
      <w:r>
        <w:rPr>
          <w:rFonts w:hint="eastAsia" w:asciiTheme="minorEastAsia" w:hAnsiTheme="minorEastAsia" w:cstheme="minorEastAsia"/>
          <w:b/>
          <w:sz w:val="24"/>
        </w:rPr>
        <w:t>七、保密</w:t>
      </w:r>
    </w:p>
    <w:p>
      <w:pPr>
        <w:tabs>
          <w:tab w:val="left" w:pos="900"/>
        </w:tabs>
        <w:rPr>
          <w:rFonts w:asciiTheme="minorEastAsia" w:hAnsiTheme="minorEastAsia" w:cstheme="minorEastAsia"/>
          <w:b/>
          <w:sz w:val="24"/>
        </w:rPr>
      </w:pPr>
      <w:r>
        <w:rPr>
          <w:rFonts w:hint="eastAsia" w:asciiTheme="minorEastAsia" w:hAnsiTheme="minorEastAsia" w:cstheme="minorEastAsia"/>
          <w:b/>
          <w:sz w:val="24"/>
        </w:rPr>
        <w:t>八、违约责任与赔偿损失</w:t>
      </w:r>
    </w:p>
    <w:p>
      <w:pPr>
        <w:tabs>
          <w:tab w:val="left" w:pos="900"/>
        </w:tabs>
        <w:rPr>
          <w:rFonts w:asciiTheme="minorEastAsia" w:hAnsiTheme="minorEastAsia" w:cstheme="minorEastAsia"/>
          <w:sz w:val="24"/>
        </w:rPr>
      </w:pPr>
      <w:r>
        <w:rPr>
          <w:rFonts w:hint="eastAsia" w:asciiTheme="minorEastAsia" w:hAnsiTheme="minorEastAsia" w:cstheme="minorEastAsia"/>
          <w:sz w:val="24"/>
        </w:rPr>
        <w:t>1) 乙方提供的服务不符合采购文件、报价文件或本合同规定的，甲方有权拒收，并且乙方须向甲方方支付本合同总价5%的违约金。</w:t>
      </w:r>
    </w:p>
    <w:p>
      <w:pPr>
        <w:tabs>
          <w:tab w:val="left" w:pos="720"/>
          <w:tab w:val="left" w:pos="900"/>
        </w:tabs>
        <w:ind w:right="210"/>
        <w:rPr>
          <w:rFonts w:asciiTheme="minorEastAsia" w:hAnsiTheme="minorEastAsia" w:cstheme="minorEastAsia"/>
          <w:sz w:val="24"/>
        </w:rPr>
      </w:pPr>
      <w:r>
        <w:rPr>
          <w:rFonts w:hint="eastAsia" w:asciiTheme="minorEastAsia" w:hAnsiTheme="minorEastAsia" w:cstheme="minorEastAsia"/>
          <w:sz w:val="24"/>
        </w:rPr>
        <w:t>2) 乙方未能按本合同规定的交货时间提供服务，从逾期之日起每日按本合同总价3‰的数额向甲方支付违约金；逾期半个月以上的，甲方有权终止合同，由此造成的甲方经济损失由乙方承担。</w:t>
      </w:r>
    </w:p>
    <w:p>
      <w:pPr>
        <w:rPr>
          <w:rFonts w:asciiTheme="minorEastAsia" w:hAnsiTheme="minorEastAsia" w:cstheme="minorEastAsia"/>
          <w:sz w:val="24"/>
        </w:rPr>
      </w:pPr>
      <w:r>
        <w:rPr>
          <w:rFonts w:hint="eastAsia" w:asciiTheme="minorEastAsia" w:hAnsiTheme="minorEastAsia" w:cstheme="minorEastAsia"/>
          <w:sz w:val="24"/>
        </w:rPr>
        <w:t>3) 甲方无正当理由拒收接受服务，到期拒付服务款项的，甲方向乙方偿付本合同总的5%的违约金。甲方人逾期付款，则每日按本合同总价的3‰向乙方偿付违约金。</w:t>
      </w:r>
    </w:p>
    <w:p>
      <w:pPr>
        <w:rPr>
          <w:rFonts w:asciiTheme="minorEastAsia" w:hAnsiTheme="minorEastAsia" w:cstheme="minorEastAsia"/>
          <w:bCs/>
          <w:sz w:val="24"/>
        </w:rPr>
      </w:pPr>
      <w:r>
        <w:rPr>
          <w:rFonts w:hint="eastAsia" w:asciiTheme="minorEastAsia" w:hAnsiTheme="minorEastAsia" w:cstheme="minorEastAsia"/>
          <w:bCs/>
          <w:sz w:val="24"/>
        </w:rPr>
        <w:t>4) 其它违约责任按《中华人民共和国合同法》处理。</w:t>
      </w:r>
    </w:p>
    <w:p>
      <w:pPr>
        <w:rPr>
          <w:rFonts w:asciiTheme="minorEastAsia" w:hAnsiTheme="minorEastAsia" w:cstheme="minorEastAsia"/>
          <w:b/>
          <w:sz w:val="24"/>
        </w:rPr>
      </w:pPr>
      <w:r>
        <w:rPr>
          <w:rFonts w:hint="eastAsia" w:asciiTheme="minorEastAsia" w:hAnsiTheme="minorEastAsia" w:cstheme="minorEastAsia"/>
          <w:b/>
          <w:sz w:val="24"/>
        </w:rPr>
        <w:t>九、争端的解决</w:t>
      </w:r>
    </w:p>
    <w:p>
      <w:pPr>
        <w:rPr>
          <w:rFonts w:asciiTheme="minorEastAsia" w:hAnsiTheme="minorEastAsia" w:cstheme="minorEastAsia"/>
          <w:sz w:val="24"/>
        </w:rPr>
      </w:pPr>
      <w:r>
        <w:rPr>
          <w:rFonts w:hint="eastAsia" w:asciiTheme="minorEastAsia" w:hAnsiTheme="minorEastAsia" w:cstheme="minorEastAsia"/>
          <w:sz w:val="24"/>
        </w:rPr>
        <w:t>1)合同执行过程中发生的任何争议，如双方不能通过友好协商解决，按相关法律法规处理。</w:t>
      </w:r>
    </w:p>
    <w:p>
      <w:pPr>
        <w:rPr>
          <w:rFonts w:asciiTheme="minorEastAsia" w:hAnsiTheme="minorEastAsia" w:cstheme="minorEastAsia"/>
          <w:sz w:val="24"/>
        </w:rPr>
      </w:pPr>
      <w:r>
        <w:rPr>
          <w:rFonts w:hint="eastAsia" w:asciiTheme="minorEastAsia" w:hAnsiTheme="minorEastAsia" w:cstheme="minorEastAsia"/>
          <w:sz w:val="24"/>
        </w:rPr>
        <w:t>2）……</w:t>
      </w:r>
    </w:p>
    <w:p>
      <w:pPr>
        <w:rPr>
          <w:rFonts w:asciiTheme="minorEastAsia" w:hAnsiTheme="minorEastAsia" w:cstheme="minorEastAsia"/>
          <w:sz w:val="24"/>
        </w:rPr>
      </w:pPr>
      <w:r>
        <w:rPr>
          <w:rFonts w:hint="eastAsia" w:asciiTheme="minorEastAsia" w:hAnsiTheme="minorEastAsia" w:cstheme="minorEastAsia"/>
          <w:b/>
          <w:sz w:val="24"/>
        </w:rPr>
        <w:t>十、不可抗力：</w:t>
      </w:r>
      <w:r>
        <w:rPr>
          <w:rFonts w:hint="eastAsia" w:asciiTheme="minorEastAsia" w:hAnsiTheme="minorEastAsia" w:cstheme="minor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rFonts w:asciiTheme="minorEastAsia" w:hAnsiTheme="minorEastAsia" w:cstheme="minorEastAsia"/>
          <w:sz w:val="24"/>
        </w:rPr>
      </w:pPr>
      <w:r>
        <w:rPr>
          <w:rFonts w:hint="eastAsia" w:asciiTheme="minorEastAsia" w:hAnsiTheme="minorEastAsia" w:cstheme="minorEastAsia"/>
          <w:b/>
          <w:sz w:val="24"/>
        </w:rPr>
        <w:t>十一、税费：</w:t>
      </w:r>
      <w:r>
        <w:rPr>
          <w:rFonts w:hint="eastAsia" w:asciiTheme="minorEastAsia" w:hAnsiTheme="minorEastAsia" w:cstheme="minorEastAsia"/>
          <w:sz w:val="24"/>
        </w:rPr>
        <w:t>在中国境内、外发生的与本合同执行有关的一切税费均由乙方负担。</w:t>
      </w:r>
    </w:p>
    <w:p>
      <w:pPr>
        <w:rPr>
          <w:rFonts w:asciiTheme="minorEastAsia" w:hAnsiTheme="minorEastAsia" w:cstheme="minorEastAsia"/>
          <w:b/>
          <w:sz w:val="24"/>
        </w:rPr>
      </w:pPr>
      <w:r>
        <w:rPr>
          <w:rFonts w:hint="eastAsia" w:asciiTheme="minorEastAsia" w:hAnsiTheme="minorEastAsia" w:cstheme="minorEastAsia"/>
          <w:b/>
          <w:sz w:val="24"/>
        </w:rPr>
        <w:t>十二、其它</w:t>
      </w:r>
    </w:p>
    <w:p>
      <w:pPr>
        <w:rPr>
          <w:rFonts w:asciiTheme="minorEastAsia" w:hAnsiTheme="minorEastAsia" w:cstheme="minorEastAsia"/>
          <w:b/>
          <w:sz w:val="24"/>
        </w:rPr>
      </w:pPr>
      <w:r>
        <w:rPr>
          <w:rFonts w:hint="eastAsia" w:asciiTheme="minorEastAsia" w:hAnsiTheme="minorEastAsia" w:cstheme="minorEastAsia"/>
          <w:sz w:val="24"/>
        </w:rPr>
        <w:t>1) 本合同所有附件、采购文件、投标文件、中标通知书通知书均为合同的有效组成部分，与本合同具有同等法律效力。</w:t>
      </w:r>
    </w:p>
    <w:p>
      <w:pPr>
        <w:rPr>
          <w:rFonts w:asciiTheme="minorEastAsia" w:hAnsiTheme="minorEastAsia" w:cstheme="minorEastAsia"/>
          <w:sz w:val="24"/>
        </w:rPr>
      </w:pPr>
      <w:r>
        <w:rPr>
          <w:rFonts w:hint="eastAsia" w:asciiTheme="minorEastAsia" w:hAnsiTheme="minorEastAsia" w:cstheme="minorEastAsia"/>
          <w:bCs/>
          <w:sz w:val="24"/>
        </w:rPr>
        <w:t xml:space="preserve">2) </w:t>
      </w:r>
      <w:r>
        <w:rPr>
          <w:rFonts w:hint="eastAsia" w:asciiTheme="minorEastAsia" w:hAnsiTheme="minorEastAsia" w:cstheme="minorEastAsia"/>
          <w:sz w:val="24"/>
        </w:rPr>
        <w:t>在执行本合同的过程中，所有经双方签署确认的文件（包括会议纪要、补充协议、往来信函）即成为本合同的有效组成部分。</w:t>
      </w:r>
    </w:p>
    <w:p>
      <w:pPr>
        <w:rPr>
          <w:rFonts w:asciiTheme="minorEastAsia" w:hAnsiTheme="minorEastAsia" w:cstheme="minorEastAsia"/>
          <w:sz w:val="24"/>
        </w:rPr>
      </w:pPr>
      <w:r>
        <w:rPr>
          <w:rFonts w:hint="eastAsia" w:asciiTheme="minorEastAsia" w:hAnsiTheme="minorEastAsia" w:cstheme="minorEastAsia"/>
          <w:sz w:val="24"/>
        </w:rPr>
        <w:t xml:space="preserve">3) 如一方地址、电话、传真号码有变更，应在变更当日内书面通知对方，否则，应承担相应责任。 </w:t>
      </w:r>
    </w:p>
    <w:p>
      <w:pPr>
        <w:rPr>
          <w:rFonts w:asciiTheme="minorEastAsia" w:hAnsiTheme="minorEastAsia" w:cstheme="minorEastAsia"/>
          <w:sz w:val="24"/>
        </w:rPr>
      </w:pPr>
      <w:r>
        <w:rPr>
          <w:rFonts w:hint="eastAsia" w:asciiTheme="minorEastAsia" w:hAnsiTheme="minorEastAsia" w:cstheme="minorEastAsia"/>
          <w:sz w:val="24"/>
        </w:rPr>
        <w:t>4) 除甲方事先书面同意外，乙方不得部分或全部转让其应履行的合同项下的义务。</w:t>
      </w:r>
    </w:p>
    <w:p>
      <w:pPr>
        <w:rPr>
          <w:rFonts w:asciiTheme="minorEastAsia" w:hAnsiTheme="minorEastAsia" w:cstheme="minorEastAsia"/>
          <w:b/>
          <w:sz w:val="24"/>
        </w:rPr>
      </w:pPr>
      <w:r>
        <w:rPr>
          <w:rFonts w:hint="eastAsia" w:asciiTheme="minorEastAsia" w:hAnsiTheme="minorEastAsia" w:cstheme="minorEastAsia"/>
          <w:b/>
          <w:sz w:val="24"/>
        </w:rPr>
        <w:t>十二、合同生效：</w:t>
      </w:r>
    </w:p>
    <w:p>
      <w:pPr>
        <w:rPr>
          <w:rFonts w:asciiTheme="minorEastAsia" w:hAnsiTheme="minorEastAsia" w:cstheme="minorEastAsia"/>
          <w:sz w:val="24"/>
        </w:rPr>
      </w:pPr>
      <w:r>
        <w:rPr>
          <w:rFonts w:hint="eastAsia" w:asciiTheme="minorEastAsia" w:hAnsiTheme="minorEastAsia" w:cstheme="minorEastAsia"/>
          <w:sz w:val="24"/>
        </w:rPr>
        <w:t>1）本合同在甲乙双方法人代表或其授权代表签字盖章后生效。</w:t>
      </w:r>
    </w:p>
    <w:p>
      <w:pPr>
        <w:rPr>
          <w:rFonts w:asciiTheme="minorEastAsia" w:hAnsiTheme="minorEastAsia" w:cstheme="minorEastAsia"/>
          <w:sz w:val="24"/>
        </w:rPr>
      </w:pPr>
      <w:r>
        <w:rPr>
          <w:rFonts w:hint="eastAsia" w:asciiTheme="minorEastAsia" w:hAnsiTheme="minorEastAsia" w:cstheme="minorEastAsia"/>
          <w:sz w:val="24"/>
        </w:rPr>
        <w:t>2）合同一式份。</w:t>
      </w:r>
    </w:p>
    <w:p>
      <w:pPr>
        <w:rPr>
          <w:rFonts w:asciiTheme="minorEastAsia" w:hAnsiTheme="minorEastAsia" w:cstheme="minorEastAsia"/>
          <w:sz w:val="24"/>
        </w:rPr>
      </w:pPr>
      <w:r>
        <w:rPr>
          <w:rFonts w:hint="eastAsia" w:asciiTheme="minorEastAsia" w:hAnsiTheme="minorEastAsia" w:cstheme="minorEastAsia"/>
          <w:sz w:val="24"/>
        </w:rPr>
        <w:t>3）同执行中涉及招标资金和招标内容修改或补充的，须经当地财政部门审批，并签订书面补充协议报监督管理部门备案，方可作为主合同不可分割的一部分。</w:t>
      </w:r>
    </w:p>
    <w:p>
      <w:pPr>
        <w:spacing w:line="340" w:lineRule="exact"/>
        <w:rPr>
          <w:rFonts w:asciiTheme="minorEastAsia" w:hAnsiTheme="minorEastAsia" w:cstheme="minorEastAsia"/>
          <w:b/>
          <w:sz w:val="24"/>
        </w:rPr>
      </w:pP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 xml:space="preserve">甲方：                                   乙方： </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 xml:space="preserve">地址：                                   地址： </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法定代表人：                             法定代表人：</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授权委托代理人：                         授权委托代理人：</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 xml:space="preserve">电话：                                   电话：   </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传真：                                   传真：</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邮政编码：                               邮政编码：</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 xml:space="preserve">                                         开户银行：</w:t>
      </w:r>
    </w:p>
    <w:p>
      <w:pPr>
        <w:pStyle w:val="13"/>
        <w:spacing w:before="240" w:beforeLines="100" w:after="120" w:afterLines="50"/>
        <w:ind w:firstLine="437"/>
        <w:rPr>
          <w:rFonts w:asciiTheme="minorEastAsia" w:hAnsiTheme="minorEastAsia" w:cstheme="minorEastAsia"/>
          <w:b/>
          <w:sz w:val="24"/>
          <w:szCs w:val="24"/>
        </w:rPr>
      </w:pPr>
      <w:r>
        <w:rPr>
          <w:rFonts w:hint="eastAsia" w:asciiTheme="minorEastAsia" w:hAnsiTheme="minorEastAsia" w:cstheme="minorEastAsia"/>
          <w:b/>
          <w:sz w:val="24"/>
          <w:szCs w:val="24"/>
        </w:rPr>
        <w:t xml:space="preserve">                                           账号：</w:t>
      </w:r>
    </w:p>
    <w:p>
      <w:pPr>
        <w:pStyle w:val="13"/>
        <w:spacing w:before="240" w:beforeLines="100" w:after="120" w:afterLines="50"/>
        <w:ind w:firstLine="437"/>
        <w:rPr>
          <w:rFonts w:asciiTheme="minorEastAsia" w:hAnsiTheme="minorEastAsia" w:cstheme="minorEastAsia"/>
          <w:sz w:val="24"/>
          <w:szCs w:val="24"/>
        </w:rPr>
      </w:pPr>
    </w:p>
    <w:p>
      <w:pPr>
        <w:spacing w:line="340" w:lineRule="exact"/>
        <w:rPr>
          <w:rFonts w:asciiTheme="minorEastAsia" w:hAnsiTheme="minorEastAsia" w:cstheme="minorEastAsia"/>
          <w:sz w:val="28"/>
          <w:szCs w:val="28"/>
        </w:rPr>
      </w:pPr>
      <w:r>
        <w:rPr>
          <w:rFonts w:hint="eastAsia" w:asciiTheme="minorEastAsia" w:hAnsiTheme="minorEastAsia" w:cstheme="minorEastAsia"/>
          <w:sz w:val="24"/>
        </w:rPr>
        <w:t>签订地点：                               签订日期：      年  月  日</w:t>
      </w:r>
    </w:p>
    <w:p>
      <w:pPr>
        <w:adjustRightInd w:val="0"/>
        <w:snapToGrid w:val="0"/>
        <w:rPr>
          <w:rFonts w:asciiTheme="minorEastAsia" w:hAnsiTheme="minorEastAsia" w:cstheme="minorEastAsia"/>
          <w:b/>
          <w:sz w:val="28"/>
          <w:szCs w:val="28"/>
        </w:rPr>
      </w:pPr>
    </w:p>
    <w:p>
      <w:pPr>
        <w:pStyle w:val="7"/>
        <w:snapToGrid w:val="0"/>
        <w:spacing w:line="420" w:lineRule="atLeast"/>
        <w:ind w:firstLine="0"/>
        <w:jc w:val="center"/>
        <w:rPr>
          <w:rFonts w:asciiTheme="minorEastAsia" w:hAnsiTheme="minorEastAsia" w:cstheme="minorEastAsia"/>
          <w:b/>
          <w:sz w:val="28"/>
          <w:szCs w:val="28"/>
        </w:rPr>
      </w:pPr>
      <w:r>
        <w:rPr>
          <w:rFonts w:hint="eastAsia" w:asciiTheme="minorEastAsia" w:hAnsiTheme="minorEastAsia" w:cstheme="minorEastAsia"/>
          <w:b/>
          <w:sz w:val="28"/>
          <w:szCs w:val="28"/>
        </w:rPr>
        <w:t>注意事项：本合同条款未尽事宜，由甲乙双方以补充合同约定，原则上不能超越和违背招标及补充文件、投标文件及投标有关承诺的范围及内容</w:t>
      </w:r>
    </w:p>
    <w:p>
      <w:pPr>
        <w:pStyle w:val="7"/>
        <w:snapToGrid w:val="0"/>
        <w:spacing w:line="420" w:lineRule="atLeast"/>
        <w:ind w:firstLine="0"/>
        <w:jc w:val="center"/>
        <w:rPr>
          <w:rFonts w:asciiTheme="minorEastAsia" w:hAnsiTheme="minorEastAsia" w:cstheme="minorEastAsia"/>
          <w:b/>
          <w:sz w:val="28"/>
          <w:szCs w:val="28"/>
        </w:rPr>
      </w:pPr>
    </w:p>
    <w:p>
      <w:pPr>
        <w:pStyle w:val="7"/>
        <w:snapToGrid w:val="0"/>
        <w:spacing w:line="420" w:lineRule="atLeast"/>
        <w:ind w:firstLine="0"/>
        <w:jc w:val="center"/>
        <w:rPr>
          <w:rFonts w:asciiTheme="minorEastAsia" w:hAnsiTheme="minorEastAsia" w:cstheme="minorEastAsia"/>
          <w:b/>
          <w:sz w:val="28"/>
          <w:szCs w:val="28"/>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rPr>
          <w:rFonts w:ascii="宋体" w:hAnsi="宋体"/>
          <w:b/>
          <w:bCs/>
          <w:color w:val="000000" w:themeColor="text1"/>
          <w:sz w:val="36"/>
          <w14:textFill>
            <w14:solidFill>
              <w14:schemeClr w14:val="tx1"/>
            </w14:solidFill>
          </w14:textFill>
        </w:rPr>
      </w:pPr>
    </w:p>
    <w:p>
      <w:pPr>
        <w:pStyle w:val="7"/>
        <w:snapToGrid w:val="0"/>
        <w:spacing w:line="420" w:lineRule="atLeast"/>
        <w:ind w:firstLine="0"/>
        <w:jc w:val="center"/>
        <w:outlineLvl w:val="0"/>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第六章 </w:t>
      </w:r>
      <w:r>
        <w:rPr>
          <w:rFonts w:ascii="宋体" w:hAnsi="宋体"/>
          <w:b/>
          <w:bCs/>
          <w:color w:val="000000" w:themeColor="text1"/>
          <w:sz w:val="36"/>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投标文件格式</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注:投标文件标明</w:t>
      </w:r>
      <w:r>
        <w:rPr>
          <w:rFonts w:hint="eastAsia" w:ascii="宋体" w:hAnsi="宋体" w:cs="宋体"/>
          <w:b/>
          <w:color w:val="000000" w:themeColor="text1"/>
          <w:sz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铜仁市公共资源交易中心（政府采购）项目</w:t>
      </w:r>
    </w:p>
    <w:p>
      <w:pPr>
        <w:spacing w:line="480" w:lineRule="auto"/>
        <w:jc w:val="center"/>
        <w:rPr>
          <w:rFonts w:ascii="宋体" w:hAnsi="宋体" w:cs="宋体"/>
          <w:bCs/>
          <w:color w:val="000000" w:themeColor="text1"/>
          <w:sz w:val="24"/>
          <w14:textFill>
            <w14:solidFill>
              <w14:schemeClr w14:val="tx1"/>
            </w14:solidFill>
          </w14:textFill>
        </w:rPr>
      </w:pPr>
    </w:p>
    <w:p>
      <w:pPr>
        <w:spacing w:line="480" w:lineRule="auto"/>
        <w:rPr>
          <w:rFonts w:ascii="宋体" w:hAnsi="宋体" w:cs="宋体"/>
          <w:bCs/>
          <w:color w:val="000000" w:themeColor="text1"/>
          <w:sz w:val="24"/>
          <w14:textFill>
            <w14:solidFill>
              <w14:schemeClr w14:val="tx1"/>
            </w14:solidFill>
          </w14:textFill>
        </w:rPr>
      </w:pP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政府采购投标文件</w:t>
      </w: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采购项目编号:</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投标单位名称: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ab/>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人:</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电 话:</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 xml:space="preserve"> </w:t>
      </w:r>
    </w:p>
    <w:p>
      <w:pPr>
        <w:pStyle w:val="13"/>
        <w:spacing w:line="360" w:lineRule="auto"/>
        <w:rPr>
          <w:rFonts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7"/>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7"/>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7"/>
        <w:snapToGrid w:val="0"/>
        <w:spacing w:line="420" w:lineRule="atLeast"/>
        <w:ind w:firstLine="883" w:firstLineChars="275"/>
        <w:jc w:val="center"/>
        <w:rPr>
          <w:rFonts w:ascii="宋体" w:hAnsi="宋体"/>
          <w:b/>
          <w:bCs/>
          <w:sz w:val="32"/>
        </w:rPr>
      </w:pPr>
    </w:p>
    <w:p>
      <w:pPr>
        <w:pStyle w:val="7"/>
        <w:snapToGrid w:val="0"/>
        <w:spacing w:line="420" w:lineRule="atLeast"/>
        <w:ind w:firstLine="883" w:firstLineChars="275"/>
        <w:jc w:val="center"/>
        <w:rPr>
          <w:rFonts w:ascii="宋体" w:hAnsi="宋体"/>
          <w:b/>
          <w:bCs/>
          <w:sz w:val="32"/>
        </w:rPr>
      </w:pPr>
    </w:p>
    <w:p>
      <w:pPr>
        <w:pStyle w:val="7"/>
        <w:snapToGrid w:val="0"/>
        <w:spacing w:line="420" w:lineRule="atLeast"/>
        <w:ind w:firstLine="0"/>
        <w:rPr>
          <w:rFonts w:ascii="宋体" w:hAnsi="宋体"/>
          <w:b/>
          <w:bCs/>
          <w:sz w:val="32"/>
        </w:rPr>
      </w:pPr>
    </w:p>
    <w:p>
      <w:pPr>
        <w:spacing w:before="120" w:beforeLines="50" w:after="120" w:afterLines="50"/>
        <w:jc w:val="center"/>
        <w:rPr>
          <w:rFonts w:asciiTheme="minorEastAsia" w:hAnsiTheme="minorEastAsia" w:cstheme="minorEastAsia"/>
          <w:sz w:val="28"/>
          <w:szCs w:val="28"/>
        </w:rPr>
      </w:pPr>
      <w:r>
        <w:rPr>
          <w:rFonts w:hint="eastAsia" w:eastAsia="方正书宋简体"/>
          <w:b/>
          <w:kern w:val="0"/>
          <w:sz w:val="36"/>
          <w:szCs w:val="36"/>
        </w:rPr>
        <w:t>一、投标函</w:t>
      </w:r>
    </w:p>
    <w:p>
      <w:pPr>
        <w:spacing w:before="120" w:beforeLines="50" w:after="120" w:afterLines="50"/>
        <w:rPr>
          <w:rFonts w:asciiTheme="minorEastAsia" w:hAnsiTheme="minorEastAsia" w:cstheme="minorEastAsia"/>
          <w:sz w:val="24"/>
        </w:rPr>
      </w:pPr>
      <w:r>
        <w:rPr>
          <w:rFonts w:hint="eastAsia" w:asciiTheme="minorEastAsia" w:hAnsiTheme="minorEastAsia" w:cstheme="minorEastAsia"/>
          <w:sz w:val="24"/>
        </w:rPr>
        <w:t>致铜仁市公共资源交易中心：</w:t>
      </w:r>
    </w:p>
    <w:p>
      <w:pPr>
        <w:spacing w:before="120" w:beforeLines="50" w:after="120" w:afterLines="50"/>
        <w:ind w:firstLine="480" w:firstLineChars="200"/>
        <w:rPr>
          <w:rFonts w:asciiTheme="minorEastAsia" w:hAnsiTheme="minorEastAsia" w:cstheme="minorEastAsia"/>
          <w:sz w:val="24"/>
        </w:rPr>
      </w:pPr>
      <w:r>
        <w:rPr>
          <w:rFonts w:hint="eastAsia" w:asciiTheme="minorEastAsia" w:hAnsiTheme="minorEastAsia" w:cstheme="minorEastAsia"/>
          <w:sz w:val="24"/>
        </w:rPr>
        <w:t>一、投标报价</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1.我公司就</w:t>
      </w:r>
      <w:r>
        <w:rPr>
          <w:rFonts w:hint="eastAsia" w:asciiTheme="minorEastAsia" w:hAnsiTheme="minorEastAsia" w:cstheme="minorEastAsia"/>
          <w:sz w:val="24"/>
          <w:u w:val="single"/>
        </w:rPr>
        <w:t xml:space="preserve"> （项目名称） </w:t>
      </w:r>
      <w:r>
        <w:rPr>
          <w:rFonts w:hint="eastAsia" w:asciiTheme="minorEastAsia" w:hAnsiTheme="minorEastAsia" w:cstheme="minorEastAsia"/>
          <w:sz w:val="24"/>
        </w:rPr>
        <w:t>的</w:t>
      </w:r>
      <w:r>
        <w:rPr>
          <w:rFonts w:hint="eastAsia" w:asciiTheme="minorEastAsia" w:hAnsiTheme="minorEastAsia" w:cstheme="minorEastAsia"/>
          <w:sz w:val="24"/>
          <w:u w:val="single"/>
        </w:rPr>
        <w:t xml:space="preserve">  品目号/名称  </w:t>
      </w:r>
      <w:r>
        <w:rPr>
          <w:rFonts w:hint="eastAsia" w:asciiTheme="minorEastAsia" w:hAnsiTheme="minorEastAsia" w:cstheme="minorEastAsia"/>
          <w:sz w:val="24"/>
        </w:rPr>
        <w:t>的投标总报价为（大写）：</w:t>
      </w:r>
      <w:r>
        <w:rPr>
          <w:rFonts w:hint="eastAsia" w:asciiTheme="minorEastAsia" w:hAnsiTheme="minorEastAsia" w:cstheme="minorEastAsia"/>
          <w:sz w:val="24"/>
          <w:u w:val="single"/>
        </w:rPr>
        <w:t xml:space="preserve"> 零万零千零百零拾  </w:t>
      </w:r>
      <w:r>
        <w:rPr>
          <w:rFonts w:hint="eastAsia" w:asciiTheme="minorEastAsia" w:hAnsiTheme="minorEastAsia" w:cstheme="minorEastAsia"/>
          <w:sz w:val="24"/>
        </w:rPr>
        <w:t>元人民币，小写：元。本投标报价为验收合格并交付使用价。包含专利费、人力资源费、调研费、专用工具价、培训费、税费等一切成本费用。本报价在投标有效期内固定不变，并在合同有效期内不受利率波动的影响。</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2.服务期限：</w:t>
      </w:r>
      <w:r>
        <w:rPr>
          <w:rFonts w:hint="eastAsia" w:asciiTheme="minorEastAsia" w:hAnsiTheme="minorEastAsia" w:cstheme="minorEastAsia"/>
          <w:color w:val="002060"/>
          <w:sz w:val="24"/>
          <w:u w:val="single"/>
        </w:rPr>
        <w:t xml:space="preserve">           </w:t>
      </w:r>
      <w:r>
        <w:rPr>
          <w:rFonts w:hint="eastAsia" w:asciiTheme="minorEastAsia" w:hAnsiTheme="minorEastAsia" w:cstheme="minorEastAsia"/>
          <w:sz w:val="24"/>
        </w:rPr>
        <w:t>。</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3.服务地点：</w:t>
      </w:r>
      <w:r>
        <w:rPr>
          <w:rFonts w:hint="eastAsia" w:asciiTheme="minorEastAsia" w:hAnsiTheme="minorEastAsia" w:cstheme="minorEastAsia"/>
          <w:color w:val="002060"/>
          <w:sz w:val="24"/>
          <w:u w:val="single"/>
        </w:rPr>
        <w:t xml:space="preserve">           </w:t>
      </w:r>
      <w:r>
        <w:rPr>
          <w:rFonts w:hint="eastAsia" w:asciiTheme="minorEastAsia" w:hAnsiTheme="minorEastAsia" w:cstheme="minorEastAsia"/>
          <w:sz w:val="24"/>
        </w:rPr>
        <w:t>。</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4.投标有效期：</w:t>
      </w:r>
      <w:r>
        <w:rPr>
          <w:rFonts w:hint="eastAsia" w:asciiTheme="minorEastAsia" w:hAnsiTheme="minorEastAsia" w:cstheme="minorEastAsia"/>
          <w:color w:val="002060"/>
          <w:sz w:val="24"/>
          <w:u w:val="single"/>
        </w:rPr>
        <w:t xml:space="preserve">           </w:t>
      </w:r>
      <w:r>
        <w:rPr>
          <w:rFonts w:hint="eastAsia" w:asciiTheme="minorEastAsia" w:hAnsiTheme="minorEastAsia" w:cstheme="minorEastAsia"/>
          <w:sz w:val="24"/>
        </w:rPr>
        <w:t>。</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5.验收标准：</w:t>
      </w:r>
      <w:r>
        <w:rPr>
          <w:rFonts w:hint="eastAsia" w:asciiTheme="minorEastAsia" w:hAnsiTheme="minorEastAsia" w:cstheme="minorEastAsia"/>
          <w:color w:val="002060"/>
          <w:sz w:val="24"/>
          <w:u w:val="single"/>
        </w:rPr>
        <w:t xml:space="preserve">           </w:t>
      </w:r>
      <w:r>
        <w:rPr>
          <w:rFonts w:hint="eastAsia" w:asciiTheme="minorEastAsia" w:hAnsiTheme="minorEastAsia" w:cstheme="minorEastAsia"/>
          <w:sz w:val="24"/>
        </w:rPr>
        <w:t>。</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6.联合体投标：</w:t>
      </w:r>
      <w:r>
        <w:rPr>
          <w:rFonts w:hint="eastAsia" w:asciiTheme="minorEastAsia" w:hAnsiTheme="minorEastAsia" w:cstheme="minorEastAsia"/>
          <w:color w:val="002060"/>
          <w:sz w:val="24"/>
          <w:u w:val="single"/>
        </w:rPr>
        <w:t xml:space="preserve">           </w:t>
      </w:r>
      <w:r>
        <w:rPr>
          <w:rFonts w:hint="eastAsia" w:asciiTheme="minorEastAsia" w:hAnsiTheme="minorEastAsia" w:cstheme="minorEastAsia"/>
          <w:sz w:val="24"/>
        </w:rPr>
        <w:t>。</w:t>
      </w:r>
    </w:p>
    <w:p>
      <w:pPr>
        <w:spacing w:before="120" w:beforeLines="50" w:after="120" w:afterLines="50"/>
        <w:ind w:left="-10" w:leftChars="-5" w:firstLine="491" w:firstLineChars="205"/>
        <w:rPr>
          <w:rFonts w:asciiTheme="minorEastAsia" w:hAnsiTheme="minorEastAsia" w:cstheme="minorEastAsia"/>
          <w:color w:val="002060"/>
          <w:sz w:val="24"/>
          <w:u w:val="single"/>
        </w:rPr>
      </w:pPr>
      <w:r>
        <w:rPr>
          <w:rFonts w:hint="eastAsia" w:asciiTheme="minorEastAsia" w:hAnsiTheme="minorEastAsia" w:cstheme="minorEastAsia"/>
          <w:color w:val="002060"/>
          <w:sz w:val="24"/>
        </w:rPr>
        <w:t>7.其他：</w:t>
      </w:r>
      <w:r>
        <w:rPr>
          <w:rFonts w:hint="eastAsia" w:asciiTheme="minorEastAsia" w:hAnsiTheme="minorEastAsia" w:cstheme="minorEastAsia"/>
          <w:color w:val="002060"/>
          <w:sz w:val="24"/>
          <w:u w:val="single"/>
        </w:rPr>
        <w:t xml:space="preserve">              。</w:t>
      </w:r>
    </w:p>
    <w:p>
      <w:pPr>
        <w:spacing w:before="120" w:beforeLines="50" w:after="120" w:afterLines="50"/>
        <w:ind w:firstLine="480" w:firstLineChars="200"/>
        <w:rPr>
          <w:rFonts w:asciiTheme="minorEastAsia" w:hAnsiTheme="minorEastAsia" w:cstheme="minorEastAsia"/>
          <w:sz w:val="24"/>
        </w:rPr>
      </w:pPr>
      <w:r>
        <w:rPr>
          <w:rFonts w:hint="eastAsia" w:asciiTheme="minorEastAsia" w:hAnsiTheme="minorEastAsia" w:cstheme="minorEastAsia"/>
          <w:sz w:val="24"/>
        </w:rPr>
        <w:t>二、递交资料</w:t>
      </w:r>
    </w:p>
    <w:p>
      <w:pPr>
        <w:spacing w:before="240" w:beforeLines="10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投标文件正本</w:t>
      </w:r>
      <w:r>
        <w:rPr>
          <w:rFonts w:hint="eastAsia" w:asciiTheme="minorEastAsia" w:hAnsiTheme="minorEastAsia" w:cstheme="minorEastAsia"/>
          <w:sz w:val="24"/>
          <w:u w:val="single"/>
        </w:rPr>
        <w:t xml:space="preserve">   1  </w:t>
      </w:r>
      <w:r>
        <w:rPr>
          <w:rFonts w:hint="eastAsia" w:asciiTheme="minorEastAsia" w:hAnsiTheme="minorEastAsia" w:cstheme="minorEastAsia"/>
          <w:sz w:val="24"/>
        </w:rPr>
        <w:t>份，副本</w:t>
      </w:r>
      <w:r>
        <w:rPr>
          <w:rFonts w:hint="eastAsia" w:asciiTheme="minorEastAsia" w:hAnsiTheme="minorEastAsia" w:cstheme="minorEastAsia"/>
          <w:sz w:val="24"/>
          <w:u w:val="single"/>
        </w:rPr>
        <w:t xml:space="preserve"> 1  </w:t>
      </w:r>
      <w:r>
        <w:rPr>
          <w:rFonts w:hint="eastAsia" w:asciiTheme="minorEastAsia" w:hAnsiTheme="minorEastAsia" w:cstheme="minorEastAsia"/>
          <w:sz w:val="24"/>
        </w:rPr>
        <w:t>份。</w:t>
      </w:r>
    </w:p>
    <w:p>
      <w:pPr>
        <w:spacing w:before="120" w:beforeLines="50" w:after="120" w:afterLines="50"/>
        <w:ind w:firstLine="480" w:firstLineChars="200"/>
        <w:rPr>
          <w:rFonts w:asciiTheme="minorEastAsia" w:hAnsiTheme="minorEastAsia" w:cstheme="minorEastAsia"/>
          <w:sz w:val="24"/>
        </w:rPr>
      </w:pPr>
      <w:r>
        <w:rPr>
          <w:rFonts w:hint="eastAsia" w:asciiTheme="minorEastAsia" w:hAnsiTheme="minorEastAsia" w:cstheme="minorEastAsia"/>
          <w:sz w:val="24"/>
        </w:rPr>
        <w:t>三、相关承诺</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1.本投标报价在法律法规及招标文件规定的投标有效期内有效。</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2.我方不是采购人的附属机构；在获知本项目采购信息后，与采购人聘请的为此项目提供咨询服务的公司及其附属机构没有任何联系。</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3.我公司已详细审查全部招标文件及有关的澄清/修改文件，完全理解和同意，并保证遵守招标文件有关条款规定。</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4.保证在中标后忠实地执行与采购人所签署的合同，并承担合同规定的责任义务。保证在中标后按照招标文件的规定支付相关费用。</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5.承诺应贵方要求提供任何与该项目投标有关的数据、情况和技术资料。</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6.承诺与为采购人采购本次招标的产品进行设计、编制规范和其他文件所委托的咨询公司或其附属机构无任何直接或间接的关联。</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7.本投标文件提供的报价、资格、技术、商务等文件均真实、有效、准确。若有违背，我方愿意承担由此而产生的一切后果。</w:t>
      </w:r>
    </w:p>
    <w:p>
      <w:pPr>
        <w:spacing w:before="120" w:beforeLines="50" w:after="120" w:afterLines="50"/>
        <w:ind w:left="-10" w:leftChars="-5" w:firstLine="491" w:firstLineChars="205"/>
        <w:rPr>
          <w:rFonts w:asciiTheme="minorEastAsia" w:hAnsiTheme="minorEastAsia" w:cstheme="minorEastAsia"/>
          <w:sz w:val="24"/>
        </w:rPr>
      </w:pPr>
      <w:r>
        <w:rPr>
          <w:rFonts w:hint="eastAsia" w:asciiTheme="minorEastAsia" w:hAnsiTheme="minorEastAsia" w:cstheme="minorEastAsia"/>
          <w:sz w:val="24"/>
        </w:rPr>
        <w:t>8.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before="120" w:beforeLines="50" w:after="120" w:afterLines="50"/>
        <w:ind w:left="-10" w:leftChars="-5" w:firstLine="491" w:firstLineChars="205"/>
        <w:jc w:val="right"/>
        <w:rPr>
          <w:rFonts w:asciiTheme="minorEastAsia" w:hAnsiTheme="minorEastAsia" w:cstheme="minorEastAsia"/>
          <w:sz w:val="24"/>
        </w:rPr>
      </w:pPr>
      <w:r>
        <w:rPr>
          <w:rFonts w:hint="eastAsia" w:asciiTheme="minorEastAsia" w:hAnsiTheme="minorEastAsia" w:cstheme="minorEastAsia"/>
          <w:sz w:val="24"/>
        </w:rPr>
        <w:t>供应商名称（盖章）：XXXXXXX有限公司</w:t>
      </w:r>
    </w:p>
    <w:p>
      <w:pPr>
        <w:spacing w:before="120" w:beforeLines="50" w:after="120" w:afterLines="50"/>
        <w:ind w:left="-10" w:leftChars="-5" w:firstLine="491" w:firstLineChars="205"/>
        <w:jc w:val="right"/>
        <w:rPr>
          <w:rFonts w:asciiTheme="minorEastAsia" w:hAnsiTheme="minorEastAsia" w:cstheme="minorEastAsia"/>
          <w:sz w:val="24"/>
        </w:rPr>
      </w:pPr>
      <w:r>
        <w:rPr>
          <w:rFonts w:hint="eastAsia" w:asciiTheme="minorEastAsia" w:hAnsiTheme="minorEastAsia" w:cstheme="minorEastAsia"/>
          <w:sz w:val="24"/>
        </w:rPr>
        <w:t xml:space="preserve">法定代表人或授权代表（签字）：                </w:t>
      </w:r>
    </w:p>
    <w:p>
      <w:pPr>
        <w:spacing w:before="120" w:beforeLines="50" w:after="120" w:afterLines="50"/>
        <w:rPr>
          <w:rFonts w:asciiTheme="minorEastAsia" w:hAnsiTheme="minorEastAsia" w:cstheme="minorEastAsia"/>
          <w:sz w:val="24"/>
        </w:rPr>
        <w:sectPr>
          <w:pgSz w:w="11907" w:h="16840"/>
          <w:pgMar w:top="1531" w:right="1418" w:bottom="1361" w:left="1418" w:header="720" w:footer="720" w:gutter="0"/>
          <w:cols w:space="425" w:num="1"/>
          <w:docGrid w:linePitch="285" w:charSpace="0"/>
        </w:sectPr>
      </w:pPr>
      <w:r>
        <w:rPr>
          <w:rFonts w:hint="eastAsia" w:asciiTheme="minorEastAsia" w:hAnsiTheme="minorEastAsia" w:cstheme="minorEastAsia"/>
          <w:sz w:val="24"/>
        </w:rPr>
        <w:t xml:space="preserve">                                                  投标日期：   </w:t>
      </w:r>
    </w:p>
    <w:p>
      <w:pPr>
        <w:pStyle w:val="3"/>
        <w:spacing w:line="240" w:lineRule="auto"/>
        <w:ind w:firstLine="0"/>
        <w:jc w:val="center"/>
        <w:rPr>
          <w:rFonts w:asciiTheme="minorEastAsia" w:hAnsiTheme="minorEastAsia" w:eastAsiaTheme="minorEastAsia" w:cstheme="minorEastAsia"/>
          <w:szCs w:val="24"/>
        </w:rPr>
      </w:pPr>
      <w:r>
        <w:rPr>
          <w:rFonts w:hint="eastAsia"/>
          <w:b/>
          <w:sz w:val="36"/>
          <w:szCs w:val="36"/>
        </w:rPr>
        <w:t>二、开标一览表</w:t>
      </w:r>
    </w:p>
    <w:p>
      <w:pPr>
        <w:pStyle w:val="3"/>
        <w:spacing w:line="24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项目名称：                                                                               </w:t>
      </w:r>
      <w:r>
        <w:rPr>
          <w:rFonts w:hint="eastAsia" w:asciiTheme="minorEastAsia" w:hAnsiTheme="minorEastAsia"/>
        </w:rPr>
        <w:t>项目编号：</w:t>
      </w:r>
    </w:p>
    <w:tbl>
      <w:tblPr>
        <w:tblStyle w:val="25"/>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5853"/>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3"/>
              <w:spacing w:line="240" w:lineRule="auto"/>
              <w:ind w:firstLine="422" w:firstLineChars="200"/>
              <w:rPr>
                <w:rFonts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服务期限</w:t>
            </w:r>
          </w:p>
        </w:tc>
        <w:tc>
          <w:tcPr>
            <w:tcW w:w="11818" w:type="dxa"/>
            <w:gridSpan w:val="2"/>
            <w:tcBorders>
              <w:right w:val="double" w:color="auto" w:sz="4" w:space="0"/>
            </w:tcBorders>
            <w:vAlign w:val="center"/>
          </w:tcPr>
          <w:p>
            <w:pPr>
              <w:pStyle w:val="3"/>
              <w:spacing w:line="240" w:lineRule="auto"/>
              <w:ind w:firstLine="430" w:firstLineChars="205"/>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3"/>
              <w:spacing w:line="240" w:lineRule="auto"/>
              <w:ind w:firstLine="432" w:firstLineChars="205"/>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优惠及其它</w:t>
            </w:r>
          </w:p>
        </w:tc>
        <w:tc>
          <w:tcPr>
            <w:tcW w:w="11818" w:type="dxa"/>
            <w:gridSpan w:val="2"/>
            <w:tcBorders>
              <w:right w:val="double" w:color="auto" w:sz="4" w:space="0"/>
            </w:tcBorders>
            <w:vAlign w:val="center"/>
          </w:tcPr>
          <w:p>
            <w:pPr>
              <w:pStyle w:val="3"/>
              <w:spacing w:line="240" w:lineRule="auto"/>
              <w:ind w:firstLine="430" w:firstLineChars="205"/>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（如有则填写）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restart"/>
            <w:tcBorders>
              <w:left w:val="double" w:color="auto" w:sz="4" w:space="0"/>
            </w:tcBorders>
            <w:vAlign w:val="center"/>
          </w:tcPr>
          <w:p>
            <w:pPr>
              <w:pStyle w:val="3"/>
              <w:spacing w:line="240" w:lineRule="auto"/>
              <w:ind w:firstLine="432" w:firstLineChars="205"/>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投标报价合计</w:t>
            </w:r>
          </w:p>
        </w:tc>
        <w:tc>
          <w:tcPr>
            <w:tcW w:w="5965" w:type="dxa"/>
            <w:tcBorders>
              <w:right w:val="double" w:color="auto" w:sz="4" w:space="0"/>
            </w:tcBorders>
            <w:vAlign w:val="center"/>
          </w:tcPr>
          <w:p>
            <w:pPr>
              <w:pStyle w:val="3"/>
              <w:spacing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continue"/>
            <w:tcBorders>
              <w:left w:val="double" w:color="auto" w:sz="4" w:space="0"/>
            </w:tcBorders>
            <w:vAlign w:val="center"/>
          </w:tcPr>
          <w:p>
            <w:pPr>
              <w:pStyle w:val="3"/>
              <w:spacing w:line="240" w:lineRule="auto"/>
              <w:ind w:firstLine="432" w:firstLineChars="205"/>
              <w:rPr>
                <w:rFonts w:asciiTheme="minorEastAsia" w:hAnsiTheme="minorEastAsia" w:eastAsiaTheme="minorEastAsia" w:cstheme="minorEastAsia"/>
                <w:b/>
                <w:bCs/>
                <w:sz w:val="21"/>
                <w:szCs w:val="21"/>
              </w:rPr>
            </w:pPr>
          </w:p>
        </w:tc>
        <w:tc>
          <w:tcPr>
            <w:tcW w:w="5965" w:type="dxa"/>
            <w:tcBorders>
              <w:right w:val="double" w:color="auto" w:sz="4" w:space="0"/>
            </w:tcBorders>
            <w:vAlign w:val="center"/>
          </w:tcPr>
          <w:p>
            <w:pPr>
              <w:pStyle w:val="3"/>
              <w:spacing w:line="240" w:lineRule="auto"/>
              <w:ind w:firstLine="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57" w:type="dxa"/>
            <w:gridSpan w:val="3"/>
            <w:tcBorders>
              <w:left w:val="double" w:color="auto" w:sz="4" w:space="0"/>
              <w:bottom w:val="double" w:color="auto" w:sz="4" w:space="0"/>
              <w:right w:val="double" w:color="auto" w:sz="4" w:space="0"/>
            </w:tcBorders>
            <w:vAlign w:val="center"/>
          </w:tcPr>
          <w:p>
            <w:pPr>
              <w:pStyle w:val="3"/>
              <w:spacing w:line="240" w:lineRule="auto"/>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投标申明：</w:t>
            </w:r>
          </w:p>
        </w:tc>
      </w:tr>
    </w:tbl>
    <w:p>
      <w:pPr>
        <w:rPr>
          <w:rFonts w:asciiTheme="minorEastAsia" w:hAnsiTheme="minorEastAsia" w:cstheme="minorEastAsia"/>
        </w:rPr>
      </w:pPr>
      <w:r>
        <w:rPr>
          <w:rFonts w:hint="eastAsia" w:asciiTheme="minorEastAsia" w:hAnsiTheme="minorEastAsia" w:cstheme="minorEastAsia"/>
        </w:rPr>
        <w:t>注：1.投标报价合计应与“投标函”中投标总价一致，如不一致，以开标一览表金额为准。</w:t>
      </w:r>
    </w:p>
    <w:p>
      <w:pPr>
        <w:ind w:firstLine="420" w:firstLineChars="200"/>
        <w:rPr>
          <w:rFonts w:asciiTheme="minorEastAsia" w:hAnsiTheme="minorEastAsia" w:cstheme="minorEastAsia"/>
        </w:rPr>
      </w:pPr>
      <w:r>
        <w:rPr>
          <w:rFonts w:hint="eastAsia" w:asciiTheme="minorEastAsia" w:hAnsiTheme="minorEastAsia" w:cstheme="minorEastAsia"/>
        </w:rPr>
        <w:t>2.有关投标价优惠折扣、招标文件允许的备选方案均应载明。</w:t>
      </w:r>
    </w:p>
    <w:p>
      <w:pPr>
        <w:ind w:firstLine="420" w:firstLineChars="200"/>
        <w:rPr>
          <w:rFonts w:asciiTheme="minorEastAsia" w:hAnsiTheme="minorEastAsia" w:cstheme="minorEastAsia"/>
        </w:rPr>
      </w:pPr>
      <w:r>
        <w:rPr>
          <w:rFonts w:hint="eastAsia" w:asciiTheme="minorEastAsia" w:hAnsiTheme="minorEastAsia" w:cstheme="minorEastAsia"/>
        </w:rPr>
        <w:t>3.“开标一览表”为多页的，每页均需由法定代表人或授权代表签字并盖供应商印章。</w:t>
      </w: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供应商名称（盖章）：XXXXXXX有限公司</w:t>
      </w: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 xml:space="preserve">法定代表人或授权代表（签字）：                </w:t>
      </w:r>
    </w:p>
    <w:p>
      <w:pPr>
        <w:spacing w:before="120" w:beforeLines="50" w:after="120" w:afterLines="50"/>
        <w:ind w:left="-10" w:leftChars="-5" w:firstLine="491" w:firstLineChars="205"/>
        <w:jc w:val="right"/>
        <w:rPr>
          <w:rFonts w:asciiTheme="minorEastAsia" w:hAnsiTheme="minorEastAsia" w:cstheme="minorEastAsia"/>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cstheme="minorEastAsia"/>
          <w:sz w:val="24"/>
        </w:rPr>
        <w:t>投标日期：</w:t>
      </w:r>
    </w:p>
    <w:p>
      <w:pPr>
        <w:ind w:left="-10" w:leftChars="-5" w:firstLine="11" w:firstLineChars="3"/>
        <w:jc w:val="center"/>
        <w:rPr>
          <w:rFonts w:asciiTheme="minorEastAsia" w:hAnsiTheme="minorEastAsia" w:cstheme="minorEastAsia"/>
          <w:sz w:val="36"/>
          <w:szCs w:val="36"/>
        </w:rPr>
      </w:pPr>
      <w:r>
        <w:rPr>
          <w:rFonts w:hint="eastAsia" w:eastAsia="方正书宋简体"/>
          <w:b/>
          <w:kern w:val="0"/>
          <w:sz w:val="36"/>
          <w:szCs w:val="36"/>
        </w:rPr>
        <w:t>三、报价明细表</w:t>
      </w:r>
    </w:p>
    <w:p>
      <w:pPr>
        <w:pStyle w:val="3"/>
        <w:spacing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                                                   项目编号：                                 单位：元</w:t>
      </w:r>
    </w:p>
    <w:p>
      <w:pPr>
        <w:adjustRightInd w:val="0"/>
        <w:jc w:val="left"/>
        <w:rPr>
          <w:rFonts w:asciiTheme="minorEastAsia" w:hAnsiTheme="minorEastAsia" w:cstheme="minorEastAsia"/>
          <w:szCs w:val="21"/>
        </w:rPr>
      </w:pPr>
    </w:p>
    <w:p>
      <w:pPr>
        <w:adjustRightInd w:val="0"/>
        <w:jc w:val="center"/>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根据采购清单，供应商自拟报价明细表</w:t>
      </w:r>
    </w:p>
    <w:p/>
    <w:p/>
    <w:p>
      <w:pPr>
        <w:adjustRightInd w:val="0"/>
        <w:jc w:val="left"/>
        <w:rPr>
          <w:rFonts w:asciiTheme="minorEastAsia" w:hAnsiTheme="minorEastAsia" w:cstheme="minorEastAsia"/>
          <w:szCs w:val="21"/>
        </w:rPr>
      </w:pPr>
      <w:r>
        <w:rPr>
          <w:rFonts w:hint="eastAsia" w:asciiTheme="minorEastAsia" w:hAnsiTheme="minorEastAsia" w:cstheme="minorEastAsia"/>
          <w:szCs w:val="21"/>
        </w:rPr>
        <w:t>注：1.供应商须按“报价明细表”的格式详细报出投标总价的各个服务内容组成部分的报价。</w:t>
      </w:r>
    </w:p>
    <w:p>
      <w:pPr>
        <w:adjustRightInd w:val="0"/>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2.“报价明细表”各项服务内容报价合计应当与“开标一览表”报价合计相等</w:t>
      </w:r>
    </w:p>
    <w:p>
      <w:pPr>
        <w:adjustRightInd w:val="0"/>
        <w:ind w:firstLine="480" w:firstLineChars="200"/>
        <w:jc w:val="right"/>
        <w:rPr>
          <w:rFonts w:asciiTheme="minorEastAsia" w:hAnsiTheme="minorEastAsia" w:cstheme="minorEastAsia"/>
          <w:sz w:val="24"/>
        </w:rPr>
      </w:pPr>
    </w:p>
    <w:p>
      <w:pPr>
        <w:adjustRightInd w:val="0"/>
        <w:ind w:firstLine="480" w:firstLineChars="200"/>
        <w:jc w:val="right"/>
        <w:rPr>
          <w:rFonts w:asciiTheme="minorEastAsia" w:hAnsiTheme="minorEastAsia" w:cstheme="minorEastAsia"/>
          <w:sz w:val="24"/>
        </w:rPr>
      </w:pPr>
    </w:p>
    <w:p>
      <w:pPr>
        <w:adjustRightInd w:val="0"/>
        <w:ind w:firstLine="480" w:firstLineChars="200"/>
        <w:jc w:val="right"/>
        <w:rPr>
          <w:rFonts w:asciiTheme="minorEastAsia" w:hAnsiTheme="minorEastAsia" w:cstheme="minorEastAsia"/>
          <w:sz w:val="24"/>
        </w:rPr>
      </w:pP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供应商名称（盖章）：XXXXXXX有限公司</w:t>
      </w: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 xml:space="preserve">法定代表人或授权代表（签字）：                </w:t>
      </w:r>
    </w:p>
    <w:p>
      <w:pPr>
        <w:spacing w:before="120" w:beforeLines="50" w:after="120" w:afterLines="50"/>
        <w:ind w:left="-10" w:leftChars="-5" w:firstLine="491" w:firstLineChars="205"/>
        <w:jc w:val="right"/>
        <w:rPr>
          <w:rFonts w:asciiTheme="minorEastAsia" w:hAnsiTheme="minorEastAsia" w:cstheme="minorEastAsia"/>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cstheme="minorEastAsia"/>
          <w:sz w:val="24"/>
        </w:rPr>
        <w:t>投标日期：</w:t>
      </w:r>
    </w:p>
    <w:p>
      <w:pPr>
        <w:ind w:left="-10" w:leftChars="-5" w:firstLine="11" w:firstLineChars="3"/>
        <w:jc w:val="center"/>
        <w:rPr>
          <w:rFonts w:eastAsia="方正书宋简体"/>
          <w:b/>
          <w:kern w:val="0"/>
          <w:sz w:val="36"/>
          <w:szCs w:val="36"/>
        </w:rPr>
      </w:pPr>
      <w:r>
        <w:rPr>
          <w:rFonts w:hint="eastAsia" w:eastAsia="方正书宋简体"/>
          <w:b/>
          <w:kern w:val="0"/>
          <w:sz w:val="36"/>
          <w:szCs w:val="36"/>
        </w:rPr>
        <w:t>四、投标供应商实质性响应表</w:t>
      </w:r>
    </w:p>
    <w:p>
      <w:pPr>
        <w:rPr>
          <w:rFonts w:asciiTheme="minorEastAsia" w:hAnsiTheme="minorEastAsia" w:cstheme="minorEastAsia"/>
        </w:rPr>
      </w:pPr>
      <w:r>
        <w:rPr>
          <w:rFonts w:hint="eastAsia" w:asciiTheme="minorEastAsia" w:hAnsiTheme="minorEastAsia" w:cstheme="minorEastAsia"/>
        </w:rPr>
        <w:t xml:space="preserve">项目名称：                                                                                                           项目编号：                </w:t>
      </w:r>
    </w:p>
    <w:tbl>
      <w:tblPr>
        <w:tblStyle w:val="26"/>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426"/>
        <w:gridCol w:w="3827"/>
        <w:gridCol w:w="16"/>
        <w:gridCol w:w="537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tcPr>
          <w:p>
            <w:pPr>
              <w:rPr>
                <w:rFonts w:asciiTheme="minorEastAsia" w:hAnsiTheme="minorEastAsia" w:cstheme="minorEastAsia"/>
                <w:kern w:val="0"/>
                <w:sz w:val="20"/>
                <w:szCs w:val="21"/>
              </w:rPr>
            </w:pPr>
            <w:r>
              <w:rPr>
                <w:rFonts w:hint="eastAsia" w:asciiTheme="minorEastAsia" w:hAnsiTheme="minorEastAsia" w:cstheme="minorEastAsia"/>
                <w:kern w:val="0"/>
                <w:sz w:val="20"/>
                <w:szCs w:val="21"/>
              </w:rPr>
              <w:t>投标供应商名称</w:t>
            </w:r>
          </w:p>
        </w:tc>
        <w:tc>
          <w:tcPr>
            <w:tcW w:w="12618" w:type="dxa"/>
            <w:gridSpan w:val="7"/>
            <w:tcBorders>
              <w:top w:val="double" w:color="auto" w:sz="4" w:space="0"/>
              <w:left w:val="single" w:color="auto" w:sz="4" w:space="0"/>
              <w:bottom w:val="single" w:color="auto" w:sz="4" w:space="0"/>
              <w:right w:val="double" w:color="auto" w:sz="4" w:space="0"/>
            </w:tcBorders>
          </w:tcPr>
          <w:p>
            <w:pP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*投标供应商务部分审查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序号</w:t>
            </w:r>
          </w:p>
        </w:tc>
        <w:tc>
          <w:tcPr>
            <w:tcW w:w="2307"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实质性条款内容</w:t>
            </w:r>
          </w:p>
        </w:tc>
        <w:tc>
          <w:tcPr>
            <w:tcW w:w="4269"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招标文件具体要求</w:t>
            </w:r>
          </w:p>
        </w:tc>
        <w:tc>
          <w:tcPr>
            <w:tcW w:w="5409"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投标文件响应内容</w:t>
            </w:r>
          </w:p>
        </w:tc>
        <w:tc>
          <w:tcPr>
            <w:tcW w:w="1804" w:type="dxa"/>
            <w:tcBorders>
              <w:left w:val="single" w:color="auto" w:sz="4" w:space="0"/>
              <w:right w:val="doub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307"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如：付款方式</w:t>
            </w:r>
          </w:p>
        </w:tc>
        <w:tc>
          <w:tcPr>
            <w:tcW w:w="4269"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409"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04" w:type="dxa"/>
            <w:tcBorders>
              <w:left w:val="single" w:color="auto" w:sz="4" w:space="0"/>
              <w:right w:val="double" w:color="auto" w:sz="4" w:space="0"/>
            </w:tcBorders>
          </w:tcPr>
          <w:p>
            <w:pP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307"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交货期</w:t>
            </w:r>
          </w:p>
        </w:tc>
        <w:tc>
          <w:tcPr>
            <w:tcW w:w="4269"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409"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04" w:type="dxa"/>
            <w:tcBorders>
              <w:left w:val="single" w:color="auto" w:sz="4" w:space="0"/>
              <w:right w:val="double" w:color="auto" w:sz="4" w:space="0"/>
            </w:tcBorders>
          </w:tcPr>
          <w:p>
            <w:pP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307"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4269"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409"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04" w:type="dxa"/>
            <w:tcBorders>
              <w:left w:val="single" w:color="auto" w:sz="4" w:space="0"/>
              <w:right w:val="double" w:color="auto" w:sz="4" w:space="0"/>
            </w:tcBorders>
          </w:tcPr>
          <w:p>
            <w:pP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307"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w:t>
            </w:r>
          </w:p>
        </w:tc>
        <w:tc>
          <w:tcPr>
            <w:tcW w:w="4269"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409"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04" w:type="dxa"/>
            <w:tcBorders>
              <w:left w:val="single" w:color="auto" w:sz="4" w:space="0"/>
              <w:right w:val="double" w:color="auto" w:sz="4" w:space="0"/>
            </w:tcBorders>
          </w:tcPr>
          <w:p>
            <w:pP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307"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按招标文件规定的商务实质性条款逐一列明</w:t>
            </w:r>
          </w:p>
        </w:tc>
        <w:tc>
          <w:tcPr>
            <w:tcW w:w="4269"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409"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04" w:type="dxa"/>
            <w:tcBorders>
              <w:left w:val="single" w:color="auto" w:sz="4" w:space="0"/>
              <w:right w:val="double" w:color="auto" w:sz="4" w:space="0"/>
            </w:tcBorders>
          </w:tcPr>
          <w:p>
            <w:pP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*投标供应商技术偏离审查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序号</w:t>
            </w:r>
          </w:p>
        </w:tc>
        <w:tc>
          <w:tcPr>
            <w:tcW w:w="2694"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实质性条款所涉及的产品</w:t>
            </w:r>
          </w:p>
        </w:tc>
        <w:tc>
          <w:tcPr>
            <w:tcW w:w="3827" w:type="dxa"/>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招标文件具体要求</w:t>
            </w:r>
          </w:p>
        </w:tc>
        <w:tc>
          <w:tcPr>
            <w:tcW w:w="5386"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投标文件响应内容</w:t>
            </w:r>
          </w:p>
        </w:tc>
        <w:tc>
          <w:tcPr>
            <w:tcW w:w="1843" w:type="dxa"/>
            <w:gridSpan w:val="2"/>
            <w:tcBorders>
              <w:left w:val="single" w:color="auto" w:sz="4" w:space="0"/>
              <w:right w:val="doub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694"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3827" w:type="dxa"/>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386"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43" w:type="dxa"/>
            <w:gridSpan w:val="2"/>
            <w:tcBorders>
              <w:left w:val="single" w:color="auto" w:sz="4" w:space="0"/>
              <w:right w:val="double" w:color="auto" w:sz="4" w:space="0"/>
            </w:tcBorders>
          </w:tcPr>
          <w:p>
            <w:pPr>
              <w:jc w:val="cente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jc w:val="center"/>
              <w:rPr>
                <w:rFonts w:asciiTheme="minorEastAsia" w:hAnsiTheme="minorEastAsia" w:cstheme="minorEastAsia"/>
                <w:kern w:val="0"/>
                <w:sz w:val="20"/>
                <w:szCs w:val="21"/>
              </w:rPr>
            </w:pPr>
          </w:p>
        </w:tc>
        <w:tc>
          <w:tcPr>
            <w:tcW w:w="2694" w:type="dxa"/>
            <w:gridSpan w:val="3"/>
            <w:tcBorders>
              <w:left w:val="single" w:color="auto" w:sz="4" w:space="0"/>
              <w:right w:val="single" w:color="auto" w:sz="4" w:space="0"/>
            </w:tcBorders>
          </w:tcPr>
          <w:p>
            <w:pPr>
              <w:jc w:val="center"/>
              <w:rPr>
                <w:rFonts w:asciiTheme="minorEastAsia" w:hAnsiTheme="minorEastAsia" w:cstheme="minorEastAsia"/>
                <w:kern w:val="0"/>
                <w:sz w:val="20"/>
                <w:szCs w:val="21"/>
              </w:rPr>
            </w:pPr>
            <w:r>
              <w:rPr>
                <w:rFonts w:hint="eastAsia" w:asciiTheme="minorEastAsia" w:hAnsiTheme="minorEastAsia" w:cstheme="minorEastAsia"/>
                <w:kern w:val="0"/>
                <w:sz w:val="20"/>
                <w:szCs w:val="21"/>
              </w:rPr>
              <w:t>按招标文件规定的技术实质性条款逐一列明</w:t>
            </w:r>
          </w:p>
        </w:tc>
        <w:tc>
          <w:tcPr>
            <w:tcW w:w="3827" w:type="dxa"/>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5386" w:type="dxa"/>
            <w:gridSpan w:val="2"/>
            <w:tcBorders>
              <w:left w:val="single" w:color="auto" w:sz="4" w:space="0"/>
              <w:right w:val="single" w:color="auto" w:sz="4" w:space="0"/>
            </w:tcBorders>
          </w:tcPr>
          <w:p>
            <w:pPr>
              <w:jc w:val="center"/>
              <w:rPr>
                <w:rFonts w:asciiTheme="minorEastAsia" w:hAnsiTheme="minorEastAsia" w:cstheme="minorEastAsia"/>
                <w:kern w:val="0"/>
                <w:sz w:val="20"/>
                <w:szCs w:val="21"/>
              </w:rPr>
            </w:pPr>
          </w:p>
        </w:tc>
        <w:tc>
          <w:tcPr>
            <w:tcW w:w="1843" w:type="dxa"/>
            <w:gridSpan w:val="2"/>
            <w:tcBorders>
              <w:left w:val="single" w:color="auto" w:sz="4" w:space="0"/>
              <w:right w:val="double" w:color="auto" w:sz="4" w:space="0"/>
            </w:tcBorders>
          </w:tcPr>
          <w:p>
            <w:pPr>
              <w:jc w:val="center"/>
              <w:rPr>
                <w:rFonts w:asciiTheme="minorEastAsia" w:hAnsi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pPr>
              <w:rPr>
                <w:rFonts w:asciiTheme="minorEastAsia" w:hAnsiTheme="minorEastAsia" w:cstheme="minorEastAsia"/>
                <w:kern w:val="0"/>
                <w:sz w:val="20"/>
                <w:szCs w:val="21"/>
              </w:rPr>
            </w:pPr>
          </w:p>
        </w:tc>
      </w:tr>
    </w:tbl>
    <w:p>
      <w:pPr>
        <w:adjustRightInd w:val="0"/>
        <w:ind w:firstLine="420" w:firstLineChars="200"/>
        <w:jc w:val="right"/>
        <w:rPr>
          <w:rFonts w:asciiTheme="minorEastAsia" w:hAnsiTheme="minorEastAsia" w:cstheme="minorEastAsia"/>
          <w:sz w:val="24"/>
        </w:rPr>
      </w:pPr>
      <w:r>
        <w:rPr>
          <w:rFonts w:hint="eastAsia" w:asciiTheme="minorEastAsia" w:hAnsiTheme="minorEastAsia" w:cstheme="minorEastAsia"/>
        </w:rPr>
        <w:t>投标人注意事项：1.本表中</w:t>
      </w:r>
      <w:r>
        <w:rPr>
          <w:rFonts w:hint="eastAsia" w:asciiTheme="minorEastAsia" w:hAnsiTheme="minorEastAsia" w:cstheme="minorEastAsia"/>
          <w:szCs w:val="21"/>
        </w:rPr>
        <w:t xml:space="preserve">标注*号的内容必须如实填写                                        </w:t>
      </w:r>
      <w:r>
        <w:rPr>
          <w:rFonts w:hint="eastAsia" w:asciiTheme="minorEastAsia" w:hAnsiTheme="minorEastAsia" w:cstheme="minorEastAsia"/>
          <w:sz w:val="24"/>
        </w:rPr>
        <w:t>供应商名称（盖章）：XXXXXXX有限公司</w:t>
      </w: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 xml:space="preserve">法定代表人或授权代表（签字）：                </w:t>
      </w:r>
    </w:p>
    <w:p>
      <w:pPr>
        <w:spacing w:before="120" w:beforeLines="50" w:after="120" w:afterLines="50"/>
        <w:ind w:left="-10" w:leftChars="-5" w:firstLine="491" w:firstLineChars="205"/>
        <w:jc w:val="center"/>
        <w:rPr>
          <w:rFonts w:asciiTheme="minorEastAsia" w:hAnsiTheme="minorEastAsia" w:cstheme="minorEastAsia"/>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cstheme="minorEastAsia"/>
          <w:sz w:val="24"/>
        </w:rPr>
        <w:t xml:space="preserve">                                                                              投标日期：</w:t>
      </w:r>
    </w:p>
    <w:p>
      <w:pPr>
        <w:adjustRightInd w:val="0"/>
        <w:snapToGrid w:val="0"/>
        <w:spacing w:before="120" w:beforeLines="50" w:after="120" w:afterLines="50" w:line="360" w:lineRule="auto"/>
        <w:jc w:val="center"/>
        <w:rPr>
          <w:b/>
          <w:color w:val="FF0000"/>
          <w:sz w:val="36"/>
          <w:szCs w:val="36"/>
        </w:rPr>
      </w:pPr>
      <w:bookmarkStart w:id="42" w:name="_Toc275865606"/>
      <w:bookmarkStart w:id="43" w:name="_Toc435514855"/>
      <w:bookmarkStart w:id="44" w:name="_Toc435515295"/>
      <w:r>
        <w:rPr>
          <w:rFonts w:hint="eastAsia"/>
          <w:b/>
          <w:color w:val="FF0000"/>
          <w:sz w:val="36"/>
          <w:szCs w:val="36"/>
        </w:rPr>
        <w:t>五、投标人资格声明</w:t>
      </w:r>
    </w:p>
    <w:p>
      <w:pPr>
        <w:pStyle w:val="46"/>
        <w:ind w:firstLine="482" w:firstLineChars="200"/>
        <w:jc w:val="center"/>
        <w:rPr>
          <w:rFonts w:hAnsi="宋体"/>
          <w:b/>
          <w:sz w:val="24"/>
          <w:szCs w:val="24"/>
        </w:rPr>
      </w:pPr>
    </w:p>
    <w:p>
      <w:pPr>
        <w:pStyle w:val="4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w:t>
      </w:r>
      <w:r>
        <w:rPr>
          <w:rFonts w:hint="eastAsia" w:ascii="宋体" w:hAnsi="宋体"/>
          <w:sz w:val="24"/>
          <w:szCs w:val="24"/>
          <w:u w:val="single"/>
        </w:rPr>
        <w:t xml:space="preserve">                    </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）的采购公告，我方愿意参加投标，并声明截至开标日：</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（六）法律、行政法规规定的其他条件（如有）；</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（七）本项目所需特殊行业资质或要求（如有）；</w:t>
      </w:r>
    </w:p>
    <w:p>
      <w:pPr>
        <w:pStyle w:val="47"/>
        <w:spacing w:line="336" w:lineRule="auto"/>
        <w:ind w:right="84" w:rightChars="40" w:firstLine="480" w:firstLineChars="200"/>
        <w:rPr>
          <w:rFonts w:ascii="宋体" w:hAnsi="宋体"/>
          <w:b/>
          <w:bCs/>
          <w:sz w:val="24"/>
          <w:szCs w:val="24"/>
        </w:rPr>
      </w:pPr>
      <w:r>
        <w:rPr>
          <w:rFonts w:hint="eastAsia" w:ascii="宋体" w:hAnsi="宋体"/>
          <w:sz w:val="24"/>
        </w:rPr>
        <w:t>（八）本项目接受联合体投标：联合体成员不得超过2 名投标人；供应商若为联合体的，须提供联合体协议。</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本次招标采购活动中，如有违法、违规、弄虚作假行为，所造成的损失、不良后果及法律责任，一律由我方承担。</w:t>
      </w:r>
    </w:p>
    <w:p>
      <w:pPr>
        <w:pStyle w:val="4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7"/>
        <w:spacing w:line="336" w:lineRule="auto"/>
        <w:ind w:right="84" w:rightChars="40"/>
        <w:rPr>
          <w:rFonts w:ascii="宋体" w:hAnsi="宋体"/>
          <w:sz w:val="24"/>
          <w:szCs w:val="24"/>
        </w:rPr>
      </w:pP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供应商名称（盖章）：XXXXXXX有限公司</w:t>
      </w:r>
    </w:p>
    <w:p>
      <w:pPr>
        <w:adjustRightInd w:val="0"/>
        <w:ind w:firstLine="480" w:firstLineChars="200"/>
        <w:jc w:val="right"/>
        <w:rPr>
          <w:rFonts w:asciiTheme="minorEastAsia" w:hAnsiTheme="minorEastAsia" w:cstheme="minorEastAsia"/>
          <w:sz w:val="24"/>
        </w:rPr>
      </w:pPr>
      <w:r>
        <w:rPr>
          <w:rFonts w:hint="eastAsia" w:asciiTheme="minorEastAsia" w:hAnsiTheme="minorEastAsia" w:cstheme="minorEastAsia"/>
          <w:sz w:val="24"/>
        </w:rPr>
        <w:t xml:space="preserve">法定代表人或授权代表（签字）：                </w:t>
      </w:r>
    </w:p>
    <w:p>
      <w:pPr>
        <w:pStyle w:val="47"/>
        <w:spacing w:line="336" w:lineRule="auto"/>
        <w:ind w:right="84" w:rightChars="40" w:firstLine="6000" w:firstLineChars="2500"/>
        <w:rPr>
          <w:rFonts w:ascii="宋体" w:hAnsi="宋体"/>
          <w:sz w:val="24"/>
          <w:szCs w:val="24"/>
        </w:r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rPr>
        <w:t>：</w:t>
      </w:r>
    </w:p>
    <w:p>
      <w:pPr>
        <w:pStyle w:val="47"/>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Style w:val="47"/>
        <w:spacing w:line="336" w:lineRule="auto"/>
        <w:ind w:left="720" w:right="84" w:rightChars="40"/>
        <w:rPr>
          <w:rFonts w:ascii="宋体" w:hAnsi="宋体"/>
          <w:sz w:val="24"/>
          <w:szCs w:val="24"/>
        </w:rPr>
      </w:pPr>
      <w:r>
        <w:rPr>
          <w:rFonts w:hint="eastAsia" w:ascii="宋体" w:hAnsi="宋体"/>
          <w:sz w:val="24"/>
          <w:szCs w:val="24"/>
        </w:rPr>
        <w:t>2.后附相关材料（5.1-5.8）。</w:t>
      </w:r>
    </w:p>
    <w:p>
      <w:pPr>
        <w:adjustRightInd w:val="0"/>
        <w:snapToGrid w:val="0"/>
        <w:spacing w:before="120" w:beforeLines="50" w:after="120" w:afterLines="50" w:line="360" w:lineRule="auto"/>
        <w:rPr>
          <w:b/>
          <w:sz w:val="36"/>
          <w:szCs w:val="36"/>
        </w:rPr>
      </w:pPr>
    </w:p>
    <w:p>
      <w:pPr>
        <w:adjustRightInd w:val="0"/>
        <w:snapToGrid w:val="0"/>
        <w:spacing w:before="120" w:beforeLines="50" w:after="120" w:afterLines="50" w:line="360" w:lineRule="auto"/>
        <w:rPr>
          <w:b/>
          <w:sz w:val="36"/>
          <w:szCs w:val="36"/>
        </w:rPr>
      </w:pPr>
    </w:p>
    <w:p>
      <w:pPr>
        <w:adjustRightInd w:val="0"/>
        <w:snapToGrid w:val="0"/>
        <w:spacing w:before="120" w:beforeLines="50" w:after="120" w:afterLines="50" w:line="360" w:lineRule="auto"/>
        <w:rPr>
          <w:b/>
          <w:sz w:val="36"/>
          <w:szCs w:val="36"/>
        </w:rPr>
      </w:pPr>
    </w:p>
    <w:p>
      <w:pPr>
        <w:adjustRightInd w:val="0"/>
        <w:snapToGrid w:val="0"/>
        <w:spacing w:before="120" w:beforeLines="50" w:after="120" w:afterLines="50" w:line="360" w:lineRule="auto"/>
        <w:rPr>
          <w:b/>
          <w:sz w:val="36"/>
          <w:szCs w:val="36"/>
        </w:rPr>
      </w:pPr>
    </w:p>
    <w:p>
      <w:pPr>
        <w:pStyle w:val="47"/>
        <w:spacing w:line="336" w:lineRule="auto"/>
        <w:ind w:right="84" w:rightChars="40"/>
        <w:rPr>
          <w:rFonts w:ascii="宋体" w:hAnsi="宋体"/>
          <w:sz w:val="24"/>
          <w:szCs w:val="24"/>
        </w:rPr>
      </w:pP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rPr>
        <w:t>5.1.具有独立承担民事责任的能力：提供法人或其他组织的营业执照等证明文件，或自然人身份证明；</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2.具有良好的商业信誉和健全的财务会计制度：提供 2019 年度经审计的财务报告或基本开户银行出具的资信证明（财务报告包括：资产负债表、利润表、现金流量表、附注（新成立企业（2019 年 3 月份以后新成立的企业可提供基本开户银行出具的资信证明 ）；</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3.具有履行合同所必需的设备和专业技术能力；</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rPr>
        <w:t>具体要求：提供具备履行合同所必需的设备和专业技术能力的证明材料；</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4.有依法缴纳税收和社会保障资金的良好记录：</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rPr>
        <w:t>具体要求：须提供 2020 年度第一季度社会保险缴纳证明（提供投标人社会保险缴纳证明）及 2020 年近三个月内完税证明（可提供银行汇划单、银行基本帐户季末对账单（近三个月）等相关证明）；（不需要缴纳社保资金的供应商须提供相应证明文件）；</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5.参加政府采购活动前三年内，在经营活动中没有重大违法记录：</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rPr>
        <w:t>具体要求：提供参加政府采购活动前 3 年内在经营活动中没有重大违法记录的书面声明；</w:t>
      </w:r>
    </w:p>
    <w:p>
      <w:pPr>
        <w:pStyle w:val="13"/>
        <w:spacing w:line="560" w:lineRule="exact"/>
        <w:ind w:firstLine="240" w:firstLineChars="100"/>
        <w:rPr>
          <w:rFonts w:hint="eastAsia" w:asciiTheme="minorEastAsia" w:hAnsiTheme="minorEastAsia"/>
          <w:sz w:val="24"/>
          <w:szCs w:val="24"/>
        </w:rPr>
      </w:pPr>
      <w:r>
        <w:rPr>
          <w:rFonts w:hint="eastAsia" w:asciiTheme="minorEastAsia" w:hAnsiTheme="minorEastAsia"/>
          <w:sz w:val="24"/>
          <w:szCs w:val="24"/>
          <w:lang w:val="en-US" w:eastAsia="zh-CN"/>
        </w:rPr>
        <w:t>5.6</w:t>
      </w:r>
      <w:r>
        <w:rPr>
          <w:rFonts w:hint="eastAsia" w:asciiTheme="minorEastAsia" w:hAnsiTheme="minorEastAsia"/>
          <w:sz w:val="24"/>
          <w:szCs w:val="24"/>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并加盖投标单位公章。）</w:t>
      </w:r>
    </w:p>
    <w:p>
      <w:pPr>
        <w:pStyle w:val="13"/>
        <w:spacing w:line="560" w:lineRule="exact"/>
        <w:ind w:firstLine="240" w:firstLineChars="100"/>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7</w:t>
      </w:r>
      <w:r>
        <w:rPr>
          <w:rFonts w:hint="eastAsia" w:asciiTheme="minorEastAsia" w:hAnsiTheme="minorEastAsia"/>
          <w:sz w:val="24"/>
          <w:szCs w:val="24"/>
        </w:rPr>
        <w:t>法律、行政法规规定的其他条件：提供有关证明材料：</w:t>
      </w:r>
    </w:p>
    <w:p>
      <w:pPr>
        <w:pStyle w:val="13"/>
        <w:spacing w:line="560" w:lineRule="exact"/>
        <w:ind w:firstLine="240" w:firstLineChars="100"/>
        <w:rPr>
          <w:rFonts w:asciiTheme="minorEastAsia" w:hAnsiTheme="minorEastAsia"/>
          <w:sz w:val="24"/>
          <w:szCs w:val="24"/>
        </w:rPr>
      </w:pPr>
      <w:r>
        <w:rPr>
          <w:rFonts w:hint="eastAsia" w:hAnsi="宋体" w:eastAsia="宋体" w:cs="宋体"/>
          <w:color w:val="000000"/>
          <w:sz w:val="24"/>
          <w:szCs w:val="24"/>
          <w:shd w:val="clear" w:color="auto" w:fill="FFFFFF"/>
        </w:rPr>
        <w:t>“信用中国”网站（</w:t>
      </w:r>
      <w:r>
        <w:fldChar w:fldCharType="begin"/>
      </w:r>
      <w:r>
        <w:instrText xml:space="preserve"> HYPERLINK "http://www.creditchina.gov.cn/" </w:instrText>
      </w:r>
      <w:r>
        <w:fldChar w:fldCharType="separate"/>
      </w:r>
      <w:r>
        <w:rPr>
          <w:rStyle w:val="30"/>
          <w:rFonts w:hint="eastAsia" w:hAnsi="宋体" w:eastAsia="宋体" w:cs="宋体"/>
          <w:color w:val="000000"/>
          <w:sz w:val="24"/>
          <w:szCs w:val="24"/>
          <w:shd w:val="clear" w:color="auto" w:fill="FFFFFF"/>
        </w:rPr>
        <w:t>www.creditchina.gov.cn</w:t>
      </w:r>
      <w:r>
        <w:rPr>
          <w:rStyle w:val="30"/>
          <w:rFonts w:hint="eastAsia" w:hAnsi="宋体" w:eastAsia="宋体" w:cs="宋体"/>
          <w:color w:val="000000"/>
          <w:sz w:val="24"/>
          <w:szCs w:val="24"/>
          <w:shd w:val="clear" w:color="auto" w:fill="FFFFFF"/>
        </w:rPr>
        <w:fldChar w:fldCharType="end"/>
      </w:r>
      <w:r>
        <w:rPr>
          <w:rFonts w:hint="eastAsia" w:hAnsi="宋体" w:eastAsia="宋体" w:cs="宋体"/>
          <w:color w:val="000000"/>
          <w:sz w:val="24"/>
          <w:szCs w:val="24"/>
          <w:shd w:val="clear" w:color="auto" w:fill="FFFFFF"/>
        </w:rPr>
        <w:t>），政府采购严重违法失信行为记录名单（</w:t>
      </w:r>
      <w:r>
        <w:fldChar w:fldCharType="begin"/>
      </w:r>
      <w:r>
        <w:instrText xml:space="preserve"> HYPERLINK "http://www.ccgp.gov.cn/search/cr/" </w:instrText>
      </w:r>
      <w:r>
        <w:fldChar w:fldCharType="separate"/>
      </w:r>
      <w:r>
        <w:rPr>
          <w:rStyle w:val="30"/>
          <w:rFonts w:hint="eastAsia" w:hAnsi="宋体" w:eastAsia="宋体" w:cs="宋体"/>
          <w:color w:val="000000"/>
          <w:sz w:val="24"/>
          <w:szCs w:val="24"/>
          <w:shd w:val="clear" w:color="auto" w:fill="FFFFFF"/>
        </w:rPr>
        <w:t>http://www.ccgp.gov.cn/search/cr/</w:t>
      </w:r>
      <w:r>
        <w:rPr>
          <w:rStyle w:val="30"/>
          <w:rFonts w:hint="eastAsia" w:hAnsi="宋体" w:eastAsia="宋体" w:cs="宋体"/>
          <w:color w:val="000000"/>
          <w:sz w:val="24"/>
          <w:szCs w:val="24"/>
          <w:shd w:val="clear" w:color="auto" w:fill="FFFFFF"/>
        </w:rPr>
        <w:fldChar w:fldCharType="end"/>
      </w:r>
      <w:r>
        <w:rPr>
          <w:rFonts w:hint="eastAsia" w:hAnsi="宋体" w:eastAsia="宋体" w:cs="宋体"/>
          <w:color w:val="000000"/>
          <w:sz w:val="24"/>
          <w:szCs w:val="24"/>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13"/>
        <w:spacing w:line="560" w:lineRule="exact"/>
        <w:ind w:firstLine="240" w:firstLineChars="100"/>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val="en-US" w:eastAsia="zh-CN"/>
        </w:rPr>
        <w:t>8</w:t>
      </w:r>
      <w:r>
        <w:rPr>
          <w:rFonts w:hint="eastAsia" w:asciiTheme="minorEastAsia" w:hAnsiTheme="minorEastAsia"/>
          <w:sz w:val="24"/>
          <w:szCs w:val="24"/>
        </w:rPr>
        <w:t>本项目所需特殊行业资质或要求（如有）；</w:t>
      </w:r>
    </w:p>
    <w:p>
      <w:pPr>
        <w:adjustRightInd w:val="0"/>
        <w:spacing w:before="240" w:beforeLines="100" w:after="120" w:afterLines="50"/>
        <w:ind w:right="480"/>
        <w:jc w:val="right"/>
        <w:rPr>
          <w:rFonts w:asciiTheme="minorEastAsia" w:hAnsiTheme="minorEastAsia" w:cstheme="minorEastAsia"/>
          <w:sz w:val="24"/>
        </w:rPr>
      </w:pPr>
      <w:r>
        <w:rPr>
          <w:rFonts w:hint="eastAsia" w:asciiTheme="minorEastAsia" w:hAnsiTheme="minorEastAsia" w:cstheme="minorEastAsia"/>
          <w:sz w:val="24"/>
        </w:rPr>
        <w:t>供应商名称（盖章）：XXXXXXX有限公司</w:t>
      </w:r>
    </w:p>
    <w:p>
      <w:pPr>
        <w:adjustRightInd w:val="0"/>
        <w:spacing w:before="240" w:beforeLines="100" w:after="120" w:afterLines="50"/>
        <w:ind w:right="480"/>
        <w:jc w:val="right"/>
        <w:rPr>
          <w:rFonts w:asciiTheme="minorEastAsia" w:hAnsiTheme="minorEastAsia" w:cstheme="minorEastAsia"/>
          <w:sz w:val="24"/>
        </w:rPr>
      </w:pPr>
      <w:r>
        <w:rPr>
          <w:rFonts w:hint="eastAsia" w:asciiTheme="minorEastAsia" w:hAnsiTheme="minorEastAsia" w:cstheme="minorEastAsia"/>
          <w:sz w:val="24"/>
        </w:rPr>
        <w:t xml:space="preserve">法定代表人或授权代表（签字）：                </w:t>
      </w:r>
    </w:p>
    <w:p>
      <w:pPr>
        <w:adjustRightInd w:val="0"/>
        <w:snapToGrid w:val="0"/>
        <w:spacing w:before="120" w:beforeLines="50" w:after="120" w:afterLines="50" w:line="360" w:lineRule="auto"/>
        <w:ind w:firstLine="5040" w:firstLineChars="2100"/>
        <w:rPr>
          <w:rFonts w:asciiTheme="minorEastAsia" w:hAnsiTheme="minorEastAsia" w:cstheme="minorEastAsia"/>
          <w:sz w:val="24"/>
        </w:rPr>
      </w:pPr>
      <w:r>
        <w:rPr>
          <w:rFonts w:hint="eastAsia" w:asciiTheme="minorEastAsia" w:hAnsiTheme="minorEastAsia" w:cstheme="minorEastAsia"/>
          <w:sz w:val="24"/>
        </w:rPr>
        <w:t>投标日期：</w:t>
      </w:r>
    </w:p>
    <w:p>
      <w:pPr>
        <w:adjustRightInd w:val="0"/>
        <w:spacing w:before="240" w:beforeLines="100" w:after="120" w:afterLines="50"/>
        <w:ind w:right="480"/>
        <w:rPr>
          <w:rFonts w:ascii="宋体" w:hAnsi="宋体" w:eastAsia="宋体" w:cs="Times New Roman"/>
          <w:sz w:val="24"/>
        </w:rPr>
      </w:pPr>
    </w:p>
    <w:p>
      <w:pPr>
        <w:pStyle w:val="13"/>
        <w:spacing w:line="560" w:lineRule="exact"/>
        <w:ind w:firstLine="240" w:firstLineChars="100"/>
        <w:rPr>
          <w:rFonts w:asciiTheme="minorEastAsia" w:hAnsiTheme="minorEastAsia"/>
          <w:sz w:val="24"/>
          <w:szCs w:val="24"/>
        </w:rPr>
      </w:pPr>
      <w:r>
        <w:rPr>
          <w:rFonts w:hint="eastAsia" w:asciiTheme="minorEastAsia" w:hAnsiTheme="minorEastAsia"/>
          <w:sz w:val="24"/>
          <w:szCs w:val="24"/>
        </w:rPr>
        <w:t xml:space="preserve"> 5.</w:t>
      </w:r>
      <w:r>
        <w:rPr>
          <w:rFonts w:hint="eastAsia" w:asciiTheme="minorEastAsia" w:hAnsiTheme="minorEastAsia"/>
          <w:sz w:val="24"/>
          <w:szCs w:val="24"/>
          <w:lang w:val="en-US" w:eastAsia="zh-CN"/>
        </w:rPr>
        <w:t>9</w:t>
      </w:r>
      <w:r>
        <w:rPr>
          <w:rFonts w:hint="eastAsia" w:asciiTheme="minorEastAsia" w:hAnsiTheme="minorEastAsia"/>
          <w:sz w:val="24"/>
          <w:szCs w:val="24"/>
        </w:rPr>
        <w:t>参加政府采购活动前3年内在经营活动中没有重大违法记录的书面声明</w:t>
      </w:r>
    </w:p>
    <w:p>
      <w:pPr>
        <w:adjustRightInd w:val="0"/>
        <w:spacing w:before="240" w:beforeLines="100" w:after="120" w:afterLines="50"/>
        <w:ind w:right="480"/>
        <w:jc w:val="center"/>
        <w:rPr>
          <w:rFonts w:ascii="宋体" w:hAnsi="宋体" w:eastAsia="宋体" w:cs="Times New Roman"/>
          <w:sz w:val="24"/>
        </w:rPr>
      </w:pPr>
      <w:r>
        <w:rPr>
          <w:rFonts w:hint="eastAsia" w:ascii="宋体" w:hAnsi="宋体" w:eastAsia="宋体" w:cs="Times New Roman"/>
          <w:sz w:val="24"/>
        </w:rPr>
        <w:t>无重大违法记录的声明函</w:t>
      </w:r>
    </w:p>
    <w:p>
      <w:pPr>
        <w:adjustRightInd w:val="0"/>
        <w:spacing w:before="240" w:beforeLines="100" w:after="120" w:afterLines="50"/>
        <w:ind w:right="480"/>
        <w:rPr>
          <w:rFonts w:ascii="宋体" w:hAnsi="宋体" w:eastAsia="宋体" w:cs="Times New Roman"/>
          <w:sz w:val="24"/>
        </w:rPr>
      </w:pPr>
      <w:r>
        <w:rPr>
          <w:rFonts w:hint="eastAsia" w:ascii="宋体" w:hAnsi="宋体" w:eastAsia="宋体" w:cs="Times New Roman"/>
          <w:sz w:val="24"/>
        </w:rPr>
        <w:t xml:space="preserve">致：铜仁市公共资源交易中心     </w:t>
      </w:r>
    </w:p>
    <w:p>
      <w:pPr>
        <w:adjustRightInd w:val="0"/>
        <w:spacing w:before="240" w:beforeLines="100" w:after="120" w:afterLines="50"/>
        <w:ind w:right="482"/>
        <w:jc w:val="left"/>
        <w:rPr>
          <w:rFonts w:ascii="宋体" w:hAnsi="宋体" w:eastAsia="宋体" w:cs="Times New Roman"/>
          <w:sz w:val="24"/>
        </w:rPr>
      </w:pPr>
      <w:r>
        <w:rPr>
          <w:rFonts w:hint="eastAsia" w:ascii="宋体" w:hAnsi="宋体" w:eastAsia="宋体" w:cs="Times New Roman"/>
          <w:sz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240" w:beforeLines="100" w:after="120" w:afterLines="50"/>
        <w:ind w:right="480"/>
        <w:jc w:val="right"/>
        <w:rPr>
          <w:rFonts w:ascii="宋体" w:hAnsi="宋体" w:eastAsia="宋体" w:cs="Times New Roman"/>
          <w:sz w:val="24"/>
        </w:rPr>
      </w:pPr>
    </w:p>
    <w:p>
      <w:pPr>
        <w:adjustRightInd w:val="0"/>
        <w:spacing w:before="240" w:beforeLines="100" w:after="120" w:afterLines="50"/>
        <w:ind w:right="480"/>
        <w:jc w:val="right"/>
        <w:rPr>
          <w:rFonts w:ascii="宋体" w:hAnsi="宋体" w:eastAsia="宋体" w:cs="Times New Roman"/>
          <w:sz w:val="24"/>
        </w:rPr>
      </w:pP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供应商名称（盖章）：XXXXXXX有限公司</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 xml:space="preserve">法定代表人或授权代表（签字）：                </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投标日期：</w:t>
      </w:r>
    </w:p>
    <w:p/>
    <w:p>
      <w:pPr>
        <w:adjustRightInd w:val="0"/>
        <w:spacing w:before="240" w:beforeLines="100" w:after="120" w:afterLines="50"/>
        <w:ind w:right="480"/>
        <w:rPr>
          <w:rFonts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Times New Roman"/>
          <w:sz w:val="24"/>
          <w:lang w:val="en-US" w:eastAsia="zh-CN"/>
        </w:rPr>
        <w:t>10</w:t>
      </w:r>
      <w:r>
        <w:rPr>
          <w:rFonts w:hint="eastAsia" w:ascii="宋体" w:hAnsi="宋体" w:eastAsia="宋体" w:cs="Times New Roman"/>
          <w:sz w:val="24"/>
        </w:rPr>
        <w:t>本项目接受联合体投标：联合体成员不得超过2 名投标人；供应商若为联合体的，须提供联合体协议。</w:t>
      </w:r>
    </w:p>
    <w:p>
      <w:pPr>
        <w:adjustRightInd w:val="0"/>
        <w:spacing w:before="240" w:beforeLines="100" w:after="120" w:afterLines="50"/>
        <w:ind w:right="480"/>
        <w:jc w:val="center"/>
        <w:rPr>
          <w:rFonts w:ascii="宋体" w:hAnsi="宋体" w:eastAsia="宋体" w:cs="Times New Roman"/>
          <w:sz w:val="24"/>
        </w:rPr>
      </w:pPr>
      <w:r>
        <w:rPr>
          <w:rFonts w:hint="eastAsia" w:ascii="宋体" w:hAnsi="宋体" w:eastAsia="宋体" w:cs="Times New Roman"/>
          <w:sz w:val="24"/>
        </w:rPr>
        <w:t>联合体协议</w:t>
      </w:r>
    </w:p>
    <w:p>
      <w:pPr>
        <w:jc w:val="center"/>
        <w:rPr>
          <w:b/>
          <w:sz w:val="36"/>
          <w:szCs w:val="36"/>
        </w:rPr>
      </w:pPr>
      <w:r>
        <w:rPr>
          <w:rFonts w:hint="eastAsia" w:ascii="宋体" w:hAnsi="宋体" w:eastAsia="宋体" w:cs="Times New Roman"/>
          <w:sz w:val="24"/>
        </w:rPr>
        <w:t>投标人根据分工自行拟定协议</w:t>
      </w:r>
    </w:p>
    <w:p>
      <w:pPr>
        <w:adjustRightInd w:val="0"/>
        <w:snapToGrid w:val="0"/>
        <w:spacing w:before="120" w:beforeLines="50" w:after="120" w:afterLines="50" w:line="360" w:lineRule="auto"/>
        <w:jc w:val="center"/>
        <w:rPr>
          <w:b/>
          <w:sz w:val="36"/>
          <w:szCs w:val="36"/>
        </w:rPr>
        <w:sectPr>
          <w:footerReference r:id="rId7" w:type="default"/>
          <w:footerReference r:id="rId8" w:type="even"/>
          <w:pgSz w:w="11907" w:h="16840"/>
          <w:pgMar w:top="1361" w:right="1752" w:bottom="1440" w:left="1752" w:header="851" w:footer="992" w:gutter="0"/>
          <w:cols w:space="720" w:num="1"/>
        </w:sectPr>
      </w:pPr>
    </w:p>
    <w:p>
      <w:pPr>
        <w:adjustRightInd w:val="0"/>
        <w:snapToGrid w:val="0"/>
        <w:spacing w:before="120" w:beforeLines="50" w:after="120" w:afterLines="50" w:line="360" w:lineRule="auto"/>
        <w:jc w:val="center"/>
        <w:rPr>
          <w:b/>
          <w:sz w:val="36"/>
          <w:szCs w:val="36"/>
        </w:rPr>
      </w:pPr>
      <w:r>
        <w:rPr>
          <w:rFonts w:hint="eastAsia"/>
          <w:b/>
          <w:sz w:val="36"/>
          <w:szCs w:val="36"/>
        </w:rPr>
        <w:t>六、法定代表人授权委托书</w:t>
      </w:r>
    </w:p>
    <w:p>
      <w:pPr>
        <w:ind w:left="-10" w:leftChars="-5" w:firstLine="8" w:firstLineChars="3"/>
        <w:jc w:val="center"/>
        <w:rPr>
          <w:rFonts w:asciiTheme="minorEastAsia" w:hAnsiTheme="minorEastAsia" w:cstheme="minorEastAsia"/>
          <w:b/>
          <w:sz w:val="28"/>
          <w:szCs w:val="28"/>
        </w:rPr>
      </w:pPr>
      <w:r>
        <w:rPr>
          <w:rFonts w:hint="eastAsia" w:asciiTheme="minorEastAsia" w:hAnsiTheme="minorEastAsia" w:cstheme="minorEastAsia"/>
          <w:b/>
          <w:sz w:val="28"/>
          <w:szCs w:val="28"/>
        </w:rPr>
        <w:t>6.1法定代表人身份证明</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致铜仁市公共资源交易中心：</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 xml:space="preserve">（投标单位全称） </w:t>
      </w: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姓名</w:t>
      </w:r>
      <w:r>
        <w:rPr>
          <w:rFonts w:hint="eastAsia" w:asciiTheme="minorEastAsia" w:hAnsiTheme="minorEastAsia" w:eastAsiaTheme="minorEastAsia" w:cstheme="minorEastAsia"/>
          <w:szCs w:val="24"/>
        </w:rPr>
        <w:t>（身份证号码：），参加贵方组织的项目名称（项目编号：TRZFCG-2019-XXX）的招标投标活动，代表本公司处理招标投标活动中的一切事宜。</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4560" w:type="dxa"/>
            <w:vAlign w:val="center"/>
          </w:tcPr>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正面（国徽的那一面）</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反面（个人信息的那一面）</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3"/>
        <w:spacing w:before="240" w:beforeLines="100" w:after="120" w:afterLines="50" w:line="240" w:lineRule="auto"/>
        <w:ind w:firstLine="0"/>
        <w:rPr>
          <w:rFonts w:asciiTheme="minorEastAsia" w:hAnsiTheme="minorEastAsia" w:eastAsiaTheme="minorEastAsia" w:cstheme="minorEastAsia"/>
          <w:szCs w:val="24"/>
        </w:rPr>
      </w:pPr>
    </w:p>
    <w:p>
      <w:pPr>
        <w:pStyle w:val="3"/>
        <w:spacing w:before="240" w:beforeLines="100" w:after="120" w:afterLines="50" w:line="240" w:lineRule="auto"/>
        <w:ind w:firstLine="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法定代表人（签章）：  </w:t>
      </w:r>
    </w:p>
    <w:p>
      <w:pPr>
        <w:pStyle w:val="3"/>
        <w:spacing w:before="240" w:beforeLines="100" w:after="120" w:afterLines="50" w:line="240" w:lineRule="auto"/>
        <w:ind w:firstLine="0"/>
        <w:jc w:val="right"/>
        <w:rPr>
          <w:rFonts w:asciiTheme="minorEastAsia" w:hAnsiTheme="minorEastAsia" w:cstheme="minorEastAsia"/>
          <w:b/>
          <w:sz w:val="28"/>
          <w:szCs w:val="28"/>
        </w:rPr>
      </w:pPr>
      <w:r>
        <w:rPr>
          <w:rFonts w:hint="eastAsia" w:asciiTheme="minorEastAsia" w:hAnsiTheme="minorEastAsia" w:eastAsiaTheme="minorEastAsia" w:cstheme="minorEastAsia"/>
          <w:szCs w:val="24"/>
        </w:rPr>
        <w:t>供应商（公章）：</w:t>
      </w:r>
    </w:p>
    <w:p>
      <w:pPr>
        <w:ind w:left="-10" w:leftChars="-5" w:firstLine="8" w:firstLineChars="3"/>
        <w:rPr>
          <w:rFonts w:asciiTheme="minorEastAsia" w:hAnsiTheme="minorEastAsia" w:cstheme="minorEastAsia"/>
          <w:b/>
          <w:sz w:val="28"/>
          <w:szCs w:val="28"/>
        </w:rPr>
      </w:pPr>
    </w:p>
    <w:p>
      <w:pPr>
        <w:jc w:val="center"/>
        <w:rPr>
          <w:rFonts w:asciiTheme="minorEastAsia" w:hAnsiTheme="minorEastAsia" w:cstheme="minorEastAsia"/>
          <w:sz w:val="28"/>
          <w:szCs w:val="28"/>
        </w:rPr>
      </w:pPr>
      <w:r>
        <w:rPr>
          <w:rFonts w:hint="eastAsia" w:asciiTheme="minorEastAsia" w:hAnsiTheme="minorEastAsia" w:cstheme="minorEastAsia"/>
          <w:b/>
          <w:sz w:val="28"/>
          <w:szCs w:val="28"/>
        </w:rPr>
        <w:t>6.2法定代表人授权委托书</w:t>
      </w:r>
    </w:p>
    <w:p>
      <w:pPr>
        <w:pStyle w:val="3"/>
        <w:spacing w:before="240" w:beforeLines="100" w:after="120" w:afterLines="5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u w:val="single"/>
        </w:rPr>
        <w:t>铜仁市公共资源交易中心</w:t>
      </w:r>
      <w:r>
        <w:rPr>
          <w:rFonts w:hint="eastAsia" w:asciiTheme="minorEastAsia" w:hAnsiTheme="minorEastAsia" w:eastAsiaTheme="minorEastAsia" w:cstheme="minorEastAsia"/>
          <w:szCs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ind w:firstLine="480" w:firstLineChars="200"/>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pStyle w:val="3"/>
        <w:spacing w:before="240" w:beforeLines="100" w:after="12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color w:val="000000"/>
        </w:rPr>
        <w:t>7. 身份证复印件（或扫描件）须清晰可见</w:t>
      </w:r>
      <w:r>
        <w:rPr>
          <w:rFonts w:hint="eastAsia" w:asciiTheme="minorEastAsia" w:hAnsiTheme="minorEastAsia" w:eastAsiaTheme="minorEastAsia" w:cstheme="minorEastAsia"/>
          <w:szCs w:val="24"/>
        </w:rPr>
        <w:t>。</w:t>
      </w:r>
    </w:p>
    <w:p>
      <w:pPr>
        <w:pStyle w:val="3"/>
        <w:spacing w:before="240" w:beforeLines="100" w:after="12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本授权委托书签章即生效，被委托人无转委托权。</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正面（国徽的那一面）</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正面（国徽的那一面）</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反面（个人信息的那一面）</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反面（个人信息的那一面）</w:t>
            </w:r>
          </w:p>
          <w:p>
            <w:pPr>
              <w:pStyle w:val="3"/>
              <w:spacing w:before="240" w:beforeLines="100" w:after="120" w:afterLines="50" w:line="24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3"/>
        <w:spacing w:before="240" w:beforeLines="100" w:after="12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3"/>
        <w:spacing w:before="240" w:beforeLines="100" w:after="120" w:afterLines="50" w:line="240" w:lineRule="auto"/>
        <w:ind w:firstLine="491" w:firstLineChars="205"/>
        <w:rPr>
          <w:rFonts w:asciiTheme="minorEastAsia" w:hAnsiTheme="minorEastAsia" w:eastAsiaTheme="minorEastAsia" w:cstheme="minorEastAsia"/>
          <w:szCs w:val="24"/>
        </w:rPr>
      </w:pPr>
    </w:p>
    <w:p>
      <w:pPr>
        <w:pStyle w:val="3"/>
        <w:spacing w:before="240" w:beforeLines="100" w:after="12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法定代表人（印章）：                        被授权代表签字：</w:t>
      </w:r>
    </w:p>
    <w:p>
      <w:pPr>
        <w:pStyle w:val="3"/>
        <w:spacing w:before="240" w:beforeLines="100" w:after="12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供应商（公章）： </w:t>
      </w:r>
    </w:p>
    <w:p>
      <w:pPr>
        <w:adjustRightInd w:val="0"/>
        <w:snapToGrid w:val="0"/>
        <w:spacing w:before="120" w:beforeLines="50" w:after="120" w:afterLines="50" w:line="360" w:lineRule="auto"/>
        <w:ind w:firstLine="6000" w:firstLineChars="2500"/>
        <w:rPr>
          <w:b/>
          <w:sz w:val="36"/>
          <w:szCs w:val="36"/>
        </w:rPr>
      </w:pPr>
      <w:r>
        <w:rPr>
          <w:rFonts w:hint="eastAsia" w:asciiTheme="minorEastAsia" w:hAnsiTheme="minorEastAsia" w:cstheme="minorEastAsia"/>
          <w:kern w:val="0"/>
          <w:sz w:val="24"/>
        </w:rPr>
        <w:t>年   月   日</w:t>
      </w: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r>
        <w:rPr>
          <w:rFonts w:hint="eastAsia"/>
          <w:b/>
          <w:sz w:val="36"/>
          <w:szCs w:val="36"/>
        </w:rPr>
        <w:t>七、投标服务的详细情况及技术服务方案</w:t>
      </w:r>
    </w:p>
    <w:p>
      <w:pPr>
        <w:spacing w:line="400" w:lineRule="exact"/>
        <w:ind w:firstLine="482" w:firstLineChars="200"/>
        <w:rPr>
          <w:rFonts w:ascii="宋体" w:hAnsi="宋体"/>
          <w:sz w:val="24"/>
        </w:rPr>
      </w:pPr>
      <w:r>
        <w:rPr>
          <w:rFonts w:hint="eastAsia" w:asciiTheme="minorEastAsia" w:hAnsiTheme="minorEastAsia" w:cstheme="minorEastAsia"/>
          <w:b/>
          <w:kern w:val="0"/>
          <w:sz w:val="24"/>
        </w:rPr>
        <w:t>服务整体解决方案：</w:t>
      </w:r>
      <w:r>
        <w:rPr>
          <w:rFonts w:hint="eastAsia" w:asciiTheme="minorEastAsia" w:hAnsiTheme="minorEastAsia" w:cstheme="minorEastAsia"/>
          <w:kern w:val="0"/>
          <w:sz w:val="24"/>
        </w:rPr>
        <w:t>供应商根据招标文件要求，独立编写项目整体解决方案。（格式自拟，要求每页加盖供应商公章。）</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供应商名称（盖章）：XXXXXXX有限公司</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 xml:space="preserve">法定代表人或授权代表（签字）：                </w:t>
      </w:r>
    </w:p>
    <w:p>
      <w:pPr>
        <w:ind w:firstLine="480" w:firstLineChars="200"/>
        <w:jc w:val="center"/>
        <w:rPr>
          <w:rFonts w:ascii="宋体" w:hAnsi="宋体"/>
          <w:b/>
          <w:bCs/>
          <w:sz w:val="32"/>
        </w:rPr>
      </w:pPr>
      <w:r>
        <w:rPr>
          <w:rFonts w:hint="eastAsia" w:ascii="宋体" w:hAnsi="宋体" w:eastAsia="宋体" w:cs="Times New Roman"/>
          <w:sz w:val="24"/>
        </w:rPr>
        <w:t xml:space="preserve">                                    投标日期</w:t>
      </w:r>
      <w:r>
        <w:rPr>
          <w:rFonts w:hint="eastAsia"/>
          <w:sz w:val="24"/>
        </w:rPr>
        <w:t>：</w:t>
      </w:r>
    </w:p>
    <w:p>
      <w:pPr>
        <w:pStyle w:val="13"/>
        <w:spacing w:line="360" w:lineRule="auto"/>
        <w:rPr>
          <w:rFonts w:asciiTheme="minorEastAsia" w:hAnsiTheme="minorEastAsia" w:cstheme="minorEastAsia"/>
          <w:color w:val="000000"/>
          <w:sz w:val="24"/>
          <w:szCs w:val="24"/>
        </w:rPr>
      </w:pPr>
    </w:p>
    <w:bookmarkEnd w:id="42"/>
    <w:bookmarkEnd w:id="43"/>
    <w:bookmarkEnd w:id="44"/>
    <w:p>
      <w:pPr>
        <w:adjustRightInd w:val="0"/>
        <w:snapToGrid w:val="0"/>
        <w:spacing w:before="120" w:beforeLines="50" w:after="120" w:afterLines="50" w:line="360" w:lineRule="auto"/>
        <w:jc w:val="center"/>
        <w:rPr>
          <w:rFonts w:hAnsi="宋体"/>
          <w:b/>
          <w:color w:val="000000"/>
          <w:sz w:val="36"/>
          <w:szCs w:val="36"/>
        </w:rPr>
      </w:pPr>
      <w:bookmarkStart w:id="45" w:name="_Toc50737329"/>
      <w:bookmarkStart w:id="46" w:name="_Toc52165081"/>
      <w:bookmarkStart w:id="47" w:name="_Toc50737297"/>
      <w:bookmarkStart w:id="48" w:name="_Toc50736477"/>
      <w:bookmarkStart w:id="49" w:name="_Toc435515299"/>
      <w:bookmarkStart w:id="50" w:name="_Toc50736476"/>
      <w:bookmarkStart w:id="51" w:name="_Toc435514859"/>
      <w:bookmarkStart w:id="52" w:name="_Toc50737296"/>
      <w:bookmarkStart w:id="53" w:name="_Toc275865607"/>
      <w:bookmarkStart w:id="54" w:name="_Toc50691034"/>
      <w:bookmarkStart w:id="55" w:name="_Toc50737328"/>
      <w:bookmarkStart w:id="56" w:name="_Toc52165080"/>
    </w:p>
    <w:p>
      <w:pPr>
        <w:adjustRightInd w:val="0"/>
        <w:snapToGrid w:val="0"/>
        <w:spacing w:before="120" w:beforeLines="50" w:after="120" w:afterLines="50" w:line="360" w:lineRule="auto"/>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p>
    <w:p>
      <w:pPr>
        <w:adjustRightInd w:val="0"/>
        <w:snapToGrid w:val="0"/>
        <w:spacing w:before="120" w:beforeLines="50" w:after="120" w:afterLines="50" w:line="360" w:lineRule="auto"/>
        <w:jc w:val="center"/>
        <w:rPr>
          <w:rFonts w:hAnsi="宋体"/>
          <w:b/>
          <w:color w:val="000000"/>
          <w:sz w:val="36"/>
          <w:szCs w:val="36"/>
        </w:rPr>
      </w:pPr>
      <w:r>
        <w:rPr>
          <w:rFonts w:hint="eastAsia" w:hAnsi="宋体"/>
          <w:b/>
          <w:color w:val="000000"/>
          <w:sz w:val="36"/>
          <w:szCs w:val="36"/>
        </w:rPr>
        <w:t>八、投标人情况说明</w:t>
      </w:r>
    </w:p>
    <w:p>
      <w:pPr>
        <w:pStyle w:val="13"/>
        <w:spacing w:line="400" w:lineRule="exact"/>
        <w:rPr>
          <w:rFonts w:hAnsi="宋体"/>
          <w:b/>
          <w:color w:val="000000"/>
          <w:sz w:val="28"/>
          <w:szCs w:val="28"/>
        </w:rPr>
      </w:pPr>
    </w:p>
    <w:p>
      <w:pPr>
        <w:pStyle w:val="13"/>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1、投标人名称及其它情况</w:t>
      </w:r>
    </w:p>
    <w:p>
      <w:pPr>
        <w:pStyle w:val="13"/>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（1）投标人名称：</w:t>
      </w:r>
      <w:r>
        <w:rPr>
          <w:rFonts w:hint="eastAsia" w:asciiTheme="minorEastAsia" w:hAnsiTheme="minorEastAsia" w:cstheme="minorEastAsia"/>
          <w:color w:val="000000"/>
          <w:sz w:val="24"/>
          <w:szCs w:val="24"/>
          <w:u w:val="single"/>
        </w:rPr>
        <w:t xml:space="preserve">                                   （盖章）</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（2）地址：</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（3）成立和注册日期：</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（4）上级主管部门：</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（5）公司性质：</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（6）主要负责人：</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（7）职员情况：</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2、有关开户银行的名称和地址：</w:t>
      </w:r>
      <w:r>
        <w:rPr>
          <w:rFonts w:hint="eastAsia" w:asciiTheme="minorEastAsia" w:hAnsiTheme="minorEastAsia" w:cstheme="minorEastAsia"/>
          <w:color w:val="000000"/>
          <w:sz w:val="24"/>
          <w:szCs w:val="24"/>
          <w:u w:val="single"/>
        </w:rPr>
        <w:t xml:space="preserve">                                         </w:t>
      </w:r>
    </w:p>
    <w:p>
      <w:pPr>
        <w:pStyle w:val="13"/>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3、投标人认为需要声明的其他情况：</w:t>
      </w:r>
    </w:p>
    <w:p>
      <w:pPr>
        <w:pStyle w:val="13"/>
        <w:spacing w:line="400" w:lineRule="exact"/>
        <w:ind w:firstLine="360" w:firstLineChars="15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兹证明上述声明是真实、正确的，并提供了全部能提供的资料和数据，我们同意遵照贵方要求出示有关证明文件。</w:t>
      </w: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授权代表人签字：</w:t>
      </w:r>
      <w:r>
        <w:rPr>
          <w:rFonts w:hint="eastAsia" w:asciiTheme="minorEastAsia" w:hAnsiTheme="minorEastAsia" w:cstheme="minorEastAsia"/>
          <w:color w:val="000000"/>
          <w:sz w:val="24"/>
          <w:szCs w:val="24"/>
          <w:u w:val="single"/>
        </w:rPr>
        <w:t xml:space="preserve">                                                  </w:t>
      </w: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授权代表人职务：</w:t>
      </w:r>
      <w:r>
        <w:rPr>
          <w:rFonts w:hint="eastAsia" w:asciiTheme="minorEastAsia" w:hAnsiTheme="minorEastAsia" w:cstheme="minorEastAsia"/>
          <w:color w:val="000000"/>
          <w:sz w:val="24"/>
          <w:szCs w:val="24"/>
          <w:u w:val="single"/>
        </w:rPr>
        <w:t xml:space="preserve">                                                  </w:t>
      </w: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日期：</w:t>
      </w:r>
      <w:r>
        <w:rPr>
          <w:rFonts w:hint="eastAsia" w:asciiTheme="minorEastAsia" w:hAnsiTheme="minorEastAsia" w:cstheme="minorEastAsia"/>
          <w:color w:val="000000"/>
          <w:sz w:val="24"/>
          <w:szCs w:val="24"/>
          <w:u w:val="single"/>
        </w:rPr>
        <w:t xml:space="preserve">          年        月        日                              </w:t>
      </w:r>
    </w:p>
    <w:p>
      <w:pPr>
        <w:pStyle w:val="13"/>
        <w:spacing w:line="400" w:lineRule="exact"/>
        <w:ind w:firstLine="480" w:firstLineChars="200"/>
        <w:rPr>
          <w:rFonts w:asciiTheme="minorEastAsia" w:hAnsiTheme="minorEastAsia" w:cstheme="minorEastAsia"/>
          <w:color w:val="000000"/>
          <w:sz w:val="24"/>
          <w:szCs w:val="24"/>
        </w:rPr>
      </w:pPr>
    </w:p>
    <w:p>
      <w:pPr>
        <w:pStyle w:val="13"/>
        <w:spacing w:line="400" w:lineRule="exact"/>
        <w:ind w:firstLine="480" w:firstLineChars="200"/>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传真：</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电话：</w:t>
      </w:r>
      <w:r>
        <w:rPr>
          <w:rFonts w:hint="eastAsia" w:asciiTheme="minorEastAsia" w:hAnsiTheme="minorEastAsia" w:cstheme="minorEastAsia"/>
          <w:color w:val="000000"/>
          <w:sz w:val="24"/>
          <w:szCs w:val="24"/>
          <w:u w:val="single"/>
        </w:rPr>
        <w:t xml:space="preserve">                          </w:t>
      </w: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jc w:val="center"/>
        <w:rPr>
          <w:rFonts w:asciiTheme="minorEastAsia" w:hAnsiTheme="minorEastAsia" w:cstheme="minorEastAsia"/>
          <w:b/>
          <w:sz w:val="24"/>
        </w:rPr>
      </w:pPr>
      <w:r>
        <w:rPr>
          <w:rFonts w:hint="eastAsia"/>
          <w:b/>
          <w:sz w:val="36"/>
          <w:szCs w:val="36"/>
        </w:rPr>
        <w:t>九、</w:t>
      </w:r>
      <w:r>
        <w:rPr>
          <w:rFonts w:hint="eastAsia" w:asciiTheme="minorEastAsia" w:hAnsiTheme="minorEastAsia" w:cstheme="minorEastAsia"/>
          <w:b/>
          <w:sz w:val="36"/>
          <w:szCs w:val="36"/>
        </w:rPr>
        <w:t>其他</w:t>
      </w:r>
    </w:p>
    <w:p>
      <w:pPr>
        <w:spacing w:line="440" w:lineRule="exact"/>
        <w:ind w:firstLine="241" w:firstLineChars="100"/>
        <w:rPr>
          <w:b/>
          <w:sz w:val="36"/>
          <w:szCs w:val="36"/>
        </w:rPr>
      </w:pPr>
      <w:r>
        <w:rPr>
          <w:rFonts w:hint="eastAsia" w:asciiTheme="minorEastAsia" w:hAnsiTheme="minorEastAsia" w:cstheme="minorEastAsia"/>
          <w:b/>
          <w:sz w:val="24"/>
        </w:rPr>
        <w:t>1</w:t>
      </w:r>
      <w:r>
        <w:rPr>
          <w:rFonts w:hint="eastAsia" w:asciiTheme="minorEastAsia" w:hAnsiTheme="minorEastAsia" w:cstheme="minorEastAsia"/>
          <w:b/>
          <w:szCs w:val="21"/>
        </w:rPr>
        <w:t>.投标供应商认为与采购项目相关的其他佐证文件、声明及承诺（格式自拟，复印或扫描件须加盖投标供应商公章）：非国家行政机关出具的证明文件，由评标委员会认定其有效性。</w:t>
      </w: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p>
    <w:p>
      <w:pPr>
        <w:spacing w:line="440" w:lineRule="exact"/>
        <w:ind w:firstLine="2530" w:firstLineChars="700"/>
        <w:rPr>
          <w:b/>
          <w:sz w:val="36"/>
          <w:szCs w:val="36"/>
        </w:rPr>
      </w:pPr>
      <w:r>
        <w:rPr>
          <w:rFonts w:hint="eastAsia"/>
          <w:b/>
          <w:sz w:val="36"/>
          <w:szCs w:val="36"/>
        </w:rPr>
        <w:t>十、有关政策的承诺函</w:t>
      </w:r>
    </w:p>
    <w:p>
      <w:pPr>
        <w:rPr>
          <w:rFonts w:ascii="宋体" w:hAnsi="宋体"/>
          <w:b/>
          <w:sz w:val="24"/>
        </w:rPr>
      </w:pPr>
    </w:p>
    <w:p>
      <w:pPr>
        <w:rPr>
          <w:rFonts w:ascii="宋体" w:hAnsi="宋体"/>
          <w:b/>
          <w:sz w:val="24"/>
        </w:rPr>
      </w:pPr>
    </w:p>
    <w:p>
      <w:pPr>
        <w:rPr>
          <w:b/>
          <w:sz w:val="24"/>
        </w:rPr>
      </w:pPr>
      <w:r>
        <w:rPr>
          <w:rFonts w:hint="eastAsia" w:ascii="宋体" w:hAnsi="宋体"/>
          <w:b/>
          <w:sz w:val="24"/>
        </w:rPr>
        <w:t>铜仁市公共资源交易中心</w:t>
      </w:r>
      <w:r>
        <w:rPr>
          <w:rFonts w:hint="eastAsia"/>
          <w:b/>
          <w:sz w:val="24"/>
        </w:rPr>
        <w:t>：</w:t>
      </w:r>
    </w:p>
    <w:p>
      <w:pPr>
        <w:snapToGrid w:val="0"/>
        <w:spacing w:before="120" w:beforeLines="50" w:line="360" w:lineRule="auto"/>
        <w:ind w:firstLine="600" w:firstLineChars="250"/>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hint="eastAsia" w:ascii="宋体"/>
          <w:bCs/>
          <w:sz w:val="24"/>
          <w:u w:val="single"/>
        </w:rPr>
        <w:t xml:space="preserve">                项目</w:t>
      </w:r>
      <w:r>
        <w:rPr>
          <w:rFonts w:hint="eastAsia" w:ascii="宋体" w:hAnsi="宋体"/>
          <w:sz w:val="24"/>
        </w:rPr>
        <w:t>（项目编号：</w:t>
      </w:r>
      <w:r>
        <w:rPr>
          <w:rFonts w:hint="eastAsia" w:ascii="宋体" w:hAnsi="宋体"/>
          <w:bCs/>
          <w:sz w:val="24"/>
          <w:u w:val="single"/>
        </w:rPr>
        <w:t xml:space="preserve">                   </w:t>
      </w:r>
      <w:r>
        <w:rPr>
          <w:rFonts w:hint="eastAsia" w:ascii="宋体" w:hAnsi="宋体"/>
          <w:sz w:val="24"/>
        </w:rPr>
        <w:t>）的采购公告，本公司（企业）愿意参加投标，并承诺：</w:t>
      </w:r>
    </w:p>
    <w:p>
      <w:pPr>
        <w:snapToGrid w:val="0"/>
        <w:spacing w:before="120"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r>
        <w:rPr>
          <w:rFonts w:hint="eastAsia"/>
          <w:b/>
          <w:sz w:val="36"/>
          <w:szCs w:val="36"/>
        </w:rPr>
        <w:t>十一、 政策适用性说明（如有）</w:t>
      </w:r>
    </w:p>
    <w:p>
      <w:pPr>
        <w:autoSpaceDE w:val="0"/>
        <w:autoSpaceDN w:val="0"/>
        <w:adjustRightInd w:val="0"/>
        <w:spacing w:line="2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按照政府采购有关政策的要求，在本次的技术方案中，采用符合中小企业扶持政策、节能产品、环保标志产品、能源效率标识产品政策，介绍说明如下：</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小型、微型企业产品</w:t>
            </w:r>
          </w:p>
        </w:tc>
        <w:tc>
          <w:tcPr>
            <w:tcW w:w="2249"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产品名称</w:t>
            </w:r>
          </w:p>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（品牌、型号）</w:t>
            </w:r>
          </w:p>
        </w:tc>
        <w:tc>
          <w:tcPr>
            <w:tcW w:w="1826"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制造商</w:t>
            </w:r>
          </w:p>
        </w:tc>
        <w:tc>
          <w:tcPr>
            <w:tcW w:w="1614"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制造商企业类型</w:t>
            </w:r>
          </w:p>
        </w:tc>
        <w:tc>
          <w:tcPr>
            <w:tcW w:w="1304"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金额</w:t>
            </w:r>
          </w:p>
        </w:tc>
        <w:tc>
          <w:tcPr>
            <w:tcW w:w="1487"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1304" w:type="dxa"/>
            <w:vAlign w:val="center"/>
          </w:tcPr>
          <w:p>
            <w:pPr>
              <w:tabs>
                <w:tab w:val="left" w:pos="1260"/>
              </w:tabs>
              <w:spacing w:line="260" w:lineRule="exact"/>
              <w:jc w:val="center"/>
              <w:rPr>
                <w:rFonts w:asciiTheme="minorEastAsia" w:hAnsiTheme="minorEastAsia"/>
                <w:sz w:val="24"/>
              </w:rPr>
            </w:pPr>
          </w:p>
        </w:tc>
        <w:tc>
          <w:tcPr>
            <w:tcW w:w="1487" w:type="dxa"/>
            <w:vAlign w:val="center"/>
          </w:tcPr>
          <w:p>
            <w:pPr>
              <w:tabs>
                <w:tab w:val="left" w:pos="1260"/>
              </w:tabs>
              <w:spacing w:line="26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1304" w:type="dxa"/>
            <w:vAlign w:val="center"/>
          </w:tcPr>
          <w:p>
            <w:pPr>
              <w:tabs>
                <w:tab w:val="left" w:pos="1260"/>
              </w:tabs>
              <w:spacing w:line="260" w:lineRule="exact"/>
              <w:jc w:val="center"/>
              <w:rPr>
                <w:rFonts w:asciiTheme="minorEastAsia" w:hAnsiTheme="minorEastAsia"/>
                <w:sz w:val="24"/>
              </w:rPr>
            </w:pPr>
          </w:p>
        </w:tc>
        <w:tc>
          <w:tcPr>
            <w:tcW w:w="1487" w:type="dxa"/>
            <w:vAlign w:val="center"/>
          </w:tcPr>
          <w:p>
            <w:pPr>
              <w:tabs>
                <w:tab w:val="left" w:pos="1260"/>
              </w:tabs>
              <w:spacing w:line="26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1304" w:type="dxa"/>
            <w:vAlign w:val="center"/>
          </w:tcPr>
          <w:p>
            <w:pPr>
              <w:tabs>
                <w:tab w:val="left" w:pos="1260"/>
              </w:tabs>
              <w:spacing w:line="260" w:lineRule="exact"/>
              <w:jc w:val="center"/>
              <w:rPr>
                <w:rFonts w:asciiTheme="minorEastAsia" w:hAnsiTheme="minorEastAsia"/>
                <w:sz w:val="24"/>
              </w:rPr>
            </w:pPr>
          </w:p>
        </w:tc>
        <w:tc>
          <w:tcPr>
            <w:tcW w:w="1487" w:type="dxa"/>
            <w:vAlign w:val="center"/>
          </w:tcPr>
          <w:p>
            <w:pPr>
              <w:tabs>
                <w:tab w:val="left" w:pos="1260"/>
              </w:tabs>
              <w:spacing w:line="26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8480" w:type="dxa"/>
            <w:gridSpan w:val="5"/>
            <w:vAlign w:val="center"/>
          </w:tcPr>
          <w:p>
            <w:pPr>
              <w:tabs>
                <w:tab w:val="left" w:pos="1260"/>
              </w:tabs>
              <w:spacing w:line="260" w:lineRule="exact"/>
              <w:ind w:left="-86" w:leftChars="-41" w:right="-71" w:rightChars="-34"/>
              <w:jc w:val="left"/>
              <w:rPr>
                <w:rFonts w:asciiTheme="minorEastAsia" w:hAnsiTheme="minorEastAsia"/>
                <w:sz w:val="24"/>
              </w:rPr>
            </w:pPr>
            <w:r>
              <w:rPr>
                <w:rFonts w:hint="eastAsia" w:asciiTheme="minorEastAsia" w:hAnsiTheme="minorEastAsia"/>
                <w:sz w:val="24"/>
              </w:rPr>
              <w:t>行    业：</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u w:val="single"/>
              </w:rPr>
            </w:pPr>
            <w:r>
              <w:rPr>
                <w:rFonts w:hint="eastAsia" w:asciiTheme="minorEastAsia" w:hAnsiTheme="minorEastAsia"/>
                <w:sz w:val="24"/>
              </w:rPr>
              <w:t>营业收入（万元）：</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u w:val="single"/>
              </w:rPr>
            </w:pPr>
            <w:r>
              <w:rPr>
                <w:rFonts w:hint="eastAsia" w:asciiTheme="minorEastAsia" w:hAnsiTheme="minorEastAsia"/>
                <w:sz w:val="24"/>
              </w:rPr>
              <w:t>资产总额：（万元）：</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rPr>
            </w:pPr>
            <w:r>
              <w:rPr>
                <w:rFonts w:hint="eastAsia" w:asciiTheme="minorEastAsia" w:hAnsiTheme="minorEastAsia"/>
                <w:sz w:val="24"/>
              </w:rPr>
              <w:t>从业人员（人）：</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rPr>
            </w:pPr>
            <w:r>
              <w:rPr>
                <w:rFonts w:hint="eastAsia" w:asciiTheme="minorEastAsia" w:hAnsiTheme="minorEastAsia"/>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类别</w:t>
            </w:r>
          </w:p>
        </w:tc>
        <w:tc>
          <w:tcPr>
            <w:tcW w:w="2249"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主要产品/技术名称</w:t>
            </w:r>
          </w:p>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（规格型号、注册商标）</w:t>
            </w:r>
          </w:p>
        </w:tc>
        <w:tc>
          <w:tcPr>
            <w:tcW w:w="1826"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制造商/开发商</w:t>
            </w:r>
          </w:p>
        </w:tc>
        <w:tc>
          <w:tcPr>
            <w:tcW w:w="1614"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认证证书编号</w:t>
            </w:r>
          </w:p>
        </w:tc>
        <w:tc>
          <w:tcPr>
            <w:tcW w:w="2791" w:type="dxa"/>
            <w:gridSpan w:val="2"/>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节能产品</w:t>
            </w: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环保标志产品</w:t>
            </w: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说明</w:t>
            </w:r>
          </w:p>
        </w:tc>
        <w:tc>
          <w:tcPr>
            <w:tcW w:w="8480" w:type="dxa"/>
            <w:gridSpan w:val="5"/>
            <w:vAlign w:val="center"/>
          </w:tcPr>
          <w:p>
            <w:pPr>
              <w:tabs>
                <w:tab w:val="left" w:pos="1260"/>
              </w:tabs>
              <w:spacing w:line="260" w:lineRule="exact"/>
              <w:rPr>
                <w:rFonts w:asciiTheme="minorEastAsia" w:hAnsiTheme="minorEastAsia"/>
                <w:sz w:val="24"/>
              </w:rPr>
            </w:pPr>
          </w:p>
        </w:tc>
      </w:tr>
    </w:tbl>
    <w:p>
      <w:pPr>
        <w:tabs>
          <w:tab w:val="left" w:pos="360"/>
          <w:tab w:val="left" w:pos="993"/>
        </w:tabs>
        <w:spacing w:line="260" w:lineRule="exact"/>
        <w:ind w:firstLine="480" w:firstLineChars="200"/>
        <w:rPr>
          <w:rFonts w:asciiTheme="minorEastAsia" w:hAnsiTheme="minorEastAsia"/>
          <w:color w:val="000000"/>
          <w:sz w:val="24"/>
        </w:rPr>
      </w:pPr>
      <w:r>
        <w:rPr>
          <w:rFonts w:hint="eastAsia" w:asciiTheme="minorEastAsia" w:hAnsiTheme="minorEastAsia"/>
          <w:color w:val="000000"/>
          <w:sz w:val="24"/>
        </w:rPr>
        <w:t>备注：</w:t>
      </w:r>
      <w:r>
        <w:rPr>
          <w:rFonts w:hint="eastAsia" w:asciiTheme="minorEastAsia" w:hAnsiTheme="minorEastAsia"/>
          <w:color w:val="000000"/>
          <w:sz w:val="24"/>
        </w:rPr>
        <w:tab/>
      </w:r>
    </w:p>
    <w:p>
      <w:pPr>
        <w:tabs>
          <w:tab w:val="left" w:pos="426"/>
          <w:tab w:val="left" w:pos="567"/>
        </w:tabs>
        <w:wordWrap w:val="0"/>
        <w:spacing w:line="260" w:lineRule="exact"/>
        <w:ind w:firstLine="480" w:firstLineChars="200"/>
        <w:rPr>
          <w:rFonts w:asciiTheme="minorEastAsia" w:hAnsiTheme="minorEastAsia"/>
          <w:sz w:val="24"/>
        </w:rPr>
      </w:pPr>
      <w:r>
        <w:rPr>
          <w:rFonts w:hint="eastAsia" w:asciiTheme="minorEastAsia" w:hAnsiTheme="minorEastAsia"/>
          <w:sz w:val="24"/>
        </w:rPr>
        <w:t>1.制造商为小型或微型企业时才需要填“制造商企业类型”栏，填写内容为“小型”或“微型”；</w:t>
      </w:r>
    </w:p>
    <w:p>
      <w:pPr>
        <w:tabs>
          <w:tab w:val="left" w:pos="426"/>
          <w:tab w:val="left" w:pos="567"/>
        </w:tabs>
        <w:wordWrap w:val="0"/>
        <w:spacing w:line="260" w:lineRule="exact"/>
        <w:ind w:firstLine="480" w:firstLineChars="200"/>
        <w:rPr>
          <w:rFonts w:asciiTheme="minorEastAsia" w:hAnsiTheme="minorEastAsia"/>
          <w:sz w:val="24"/>
        </w:rPr>
      </w:pPr>
      <w:r>
        <w:rPr>
          <w:rFonts w:hint="eastAsia" w:asciiTheme="minorEastAsia" w:hAnsiTheme="minorEastAsia"/>
          <w:sz w:val="24"/>
        </w:rPr>
        <w:t>2.“节能产品、环保标志产品”是属于国家行业主管部门颁布的清单目录中的产品，须填写认证证书编号，并在“清单”栏中填写属于“第</w:t>
      </w:r>
      <w:r>
        <w:rPr>
          <w:rFonts w:hint="eastAsia" w:asciiTheme="minorEastAsia" w:hAnsiTheme="minorEastAsia"/>
          <w:sz w:val="24"/>
          <w:u w:val="single"/>
        </w:rPr>
        <w:t>　</w:t>
      </w:r>
      <w:r>
        <w:rPr>
          <w:rFonts w:hint="eastAsia" w:asciiTheme="minorEastAsia" w:hAnsiTheme="minorEastAsia"/>
          <w:sz w:val="24"/>
        </w:rPr>
        <w:t>期清单”的产品（产品被列入多期清单的，</w:t>
      </w:r>
      <w:r>
        <w:rPr>
          <w:rFonts w:hint="eastAsia" w:asciiTheme="minorEastAsia" w:hAnsiTheme="minorEastAsia"/>
          <w:b/>
          <w:sz w:val="24"/>
        </w:rPr>
        <w:t>以最新一期为准</w:t>
      </w:r>
      <w:r>
        <w:rPr>
          <w:rFonts w:hint="eastAsia" w:asciiTheme="minorEastAsia" w:hAnsiTheme="minorEastAsia"/>
          <w:sz w:val="24"/>
        </w:rPr>
        <w:t>），同时提供有效期内的证书复印件以及下述文件（均为复印件，加盖供应商公章）：</w:t>
      </w:r>
    </w:p>
    <w:p>
      <w:pPr>
        <w:tabs>
          <w:tab w:val="left" w:pos="567"/>
          <w:tab w:val="left" w:pos="993"/>
        </w:tabs>
        <w:wordWrap w:val="0"/>
        <w:spacing w:line="260" w:lineRule="exact"/>
        <w:ind w:firstLine="480" w:firstLineChars="200"/>
        <w:rPr>
          <w:rFonts w:asciiTheme="minorEastAsia" w:hAnsiTheme="minorEastAsia"/>
          <w:sz w:val="24"/>
        </w:rPr>
      </w:pPr>
      <w:r>
        <w:rPr>
          <w:rFonts w:hint="eastAsia" w:asciiTheme="minorEastAsia" w:hAnsiTheme="minorEastAsia"/>
          <w:sz w:val="24"/>
        </w:rPr>
        <w:t>1.1属于“节能产品政府采购清单</w:t>
      </w:r>
      <w:r>
        <w:rPr>
          <w:rFonts w:asciiTheme="minorEastAsia" w:hAnsiTheme="minorEastAsia"/>
          <w:sz w:val="24"/>
        </w:rPr>
        <w:t>”</w:t>
      </w:r>
      <w:r>
        <w:rPr>
          <w:rFonts w:hint="eastAsia" w:asciiTheme="minorEastAsia" w:hAnsiTheme="minorEastAsia"/>
          <w:sz w:val="24"/>
        </w:rPr>
        <w:t>中品目的产品，提供</w:t>
      </w:r>
      <w:r>
        <w:rPr>
          <w:rFonts w:asciiTheme="minorEastAsia" w:hAnsiTheme="minorEastAsia"/>
          <w:sz w:val="24"/>
        </w:rPr>
        <w:t>“</w:t>
      </w:r>
      <w:r>
        <w:rPr>
          <w:rFonts w:hint="eastAsia" w:asciiTheme="minorEastAsia" w:hAnsiTheme="minorEastAsia"/>
          <w:sz w:val="24"/>
        </w:rPr>
        <w:t>节能产品政府采购清单（第___期）”中投标产品所在清单页并加盖供应商公章，节能清单在中华人民共和国财政部网站、中国政府采购网、国家发展改革委网站和中国质量认证中心网站上发布；</w:t>
      </w:r>
    </w:p>
    <w:p>
      <w:pPr>
        <w:tabs>
          <w:tab w:val="left" w:pos="567"/>
          <w:tab w:val="left" w:pos="993"/>
        </w:tabs>
        <w:wordWrap w:val="0"/>
        <w:spacing w:line="260" w:lineRule="exact"/>
        <w:ind w:firstLine="480" w:firstLineChars="200"/>
        <w:rPr>
          <w:rFonts w:asciiTheme="minorEastAsia" w:hAnsiTheme="minorEastAsia"/>
          <w:sz w:val="24"/>
        </w:rPr>
      </w:pPr>
      <w:r>
        <w:rPr>
          <w:rFonts w:hint="eastAsia" w:asciiTheme="minorEastAsia" w:hAnsiTheme="minorEastAsia"/>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spacing w:line="300" w:lineRule="exact"/>
        <w:rPr>
          <w:rFonts w:asciiTheme="minorEastAsia" w:hAnsiTheme="minorEastAsia"/>
          <w:color w:val="000000"/>
          <w:sz w:val="24"/>
          <w:u w:val="single"/>
        </w:rPr>
      </w:pPr>
      <w:r>
        <w:rPr>
          <w:rFonts w:hint="eastAsia" w:asciiTheme="minorEastAsia" w:hAnsiTheme="minorEastAsia"/>
          <w:spacing w:val="4"/>
          <w:sz w:val="24"/>
        </w:rPr>
        <w:t>供应商名称（</w:t>
      </w:r>
      <w:r>
        <w:rPr>
          <w:rFonts w:hint="eastAsia" w:asciiTheme="minorEastAsia" w:hAnsiTheme="minorEastAsia"/>
          <w:sz w:val="24"/>
        </w:rPr>
        <w:t>单位盖</w:t>
      </w:r>
      <w:r>
        <w:rPr>
          <w:rFonts w:hint="eastAsia" w:asciiTheme="minorEastAsia" w:hAnsiTheme="minorEastAsia"/>
          <w:spacing w:val="4"/>
          <w:sz w:val="24"/>
        </w:rPr>
        <w:t>公章）：</w:t>
      </w:r>
    </w:p>
    <w:p>
      <w:pPr>
        <w:spacing w:line="300" w:lineRule="exact"/>
        <w:rPr>
          <w:rFonts w:asciiTheme="minorEastAsia" w:hAnsiTheme="minorEastAsia"/>
          <w:sz w:val="24"/>
        </w:rPr>
      </w:pPr>
      <w:r>
        <w:rPr>
          <w:rFonts w:hint="eastAsia" w:asciiTheme="minorEastAsia" w:hAnsiTheme="minorEastAsia"/>
          <w:sz w:val="24"/>
        </w:rPr>
        <w:t xml:space="preserve">法定代表人或供应商授权代表（签名或盖章）：        </w:t>
      </w:r>
    </w:p>
    <w:p>
      <w:pPr>
        <w:spacing w:line="300" w:lineRule="exact"/>
        <w:rPr>
          <w:rFonts w:asciiTheme="minorEastAsia" w:hAnsiTheme="minorEastAsia"/>
          <w:spacing w:val="4"/>
          <w:sz w:val="24"/>
        </w:rPr>
      </w:pPr>
      <w:r>
        <w:rPr>
          <w:rFonts w:hint="eastAsia" w:asciiTheme="minorEastAsia" w:hAnsiTheme="minorEastAsia"/>
          <w:spacing w:val="4"/>
          <w:sz w:val="24"/>
        </w:rPr>
        <w:t>日   期：</w:t>
      </w: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ind w:firstLine="2168" w:firstLineChars="600"/>
        <w:rPr>
          <w:b/>
          <w:sz w:val="36"/>
          <w:szCs w:val="36"/>
        </w:rPr>
      </w:pPr>
    </w:p>
    <w:p>
      <w:pPr>
        <w:adjustRightInd w:val="0"/>
        <w:snapToGrid w:val="0"/>
        <w:spacing w:before="120" w:beforeLines="50" w:after="120" w:afterLines="50" w:line="360" w:lineRule="auto"/>
        <w:ind w:firstLine="2168" w:firstLineChars="600"/>
        <w:rPr>
          <w:b/>
          <w:color w:val="FF0000"/>
          <w:sz w:val="36"/>
          <w:szCs w:val="36"/>
        </w:rPr>
      </w:pPr>
      <w:r>
        <w:rPr>
          <w:rFonts w:hint="eastAsia"/>
          <w:b/>
          <w:sz w:val="36"/>
          <w:szCs w:val="36"/>
        </w:rPr>
        <w:t>十二、中小企业声明函</w:t>
      </w:r>
    </w:p>
    <w:p>
      <w:pPr>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adjustRightInd w:val="0"/>
        <w:spacing w:before="240" w:beforeLines="100" w:after="120" w:afterLines="50"/>
        <w:ind w:right="480"/>
        <w:jc w:val="right"/>
        <w:rPr>
          <w:rFonts w:ascii="宋体" w:hAnsi="宋体" w:eastAsia="宋体" w:cs="Times New Roman"/>
          <w:sz w:val="24"/>
        </w:rPr>
      </w:pPr>
      <w:r>
        <w:rPr>
          <w:rFonts w:hint="eastAsia" w:ascii="宋体" w:hAnsi="宋体"/>
          <w:sz w:val="24"/>
        </w:rPr>
        <w:t xml:space="preserve">                              </w:t>
      </w:r>
      <w:r>
        <w:rPr>
          <w:rFonts w:hint="eastAsia" w:ascii="宋体" w:hAnsi="宋体" w:eastAsia="宋体" w:cs="Times New Roman"/>
          <w:sz w:val="24"/>
        </w:rPr>
        <w:t>供应商名称（盖章）：XXXXXXX有限公司</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 xml:space="preserve">法定代表人或授权代表（签字）：                </w:t>
      </w:r>
    </w:p>
    <w:p>
      <w:pPr>
        <w:spacing w:line="360" w:lineRule="auto"/>
        <w:ind w:firstLine="480" w:firstLineChars="200"/>
        <w:jc w:val="center"/>
        <w:rPr>
          <w:rFonts w:ascii="宋体" w:hAnsi="宋体"/>
          <w:sz w:val="24"/>
        </w:rPr>
      </w:pPr>
      <w:r>
        <w:rPr>
          <w:rFonts w:hint="eastAsia" w:ascii="宋体" w:hAnsi="宋体" w:eastAsia="宋体" w:cs="Times New Roman"/>
          <w:sz w:val="24"/>
        </w:rPr>
        <w:t xml:space="preserve">                                    投标日期</w:t>
      </w:r>
      <w:r>
        <w:rPr>
          <w:rFonts w:hint="eastAsia"/>
          <w:sz w:val="24"/>
        </w:rPr>
        <w:t>：</w:t>
      </w:r>
    </w:p>
    <w:p>
      <w:pPr>
        <w:spacing w:line="360" w:lineRule="auto"/>
        <w:ind w:firstLine="420" w:firstLineChars="200"/>
        <w:jc w:val="center"/>
        <w:rPr>
          <w:rFonts w:ascii="宋体" w:hAnsi="宋体"/>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rPr>
          <w:b/>
          <w:sz w:val="36"/>
          <w:szCs w:val="36"/>
        </w:rPr>
      </w:pPr>
    </w:p>
    <w:p>
      <w:pPr>
        <w:pStyle w:val="44"/>
        <w:spacing w:line="360" w:lineRule="auto"/>
        <w:jc w:val="both"/>
        <w:rPr>
          <w:rFonts w:ascii="宋体" w:hAnsi="宋体"/>
          <w:b/>
          <w:spacing w:val="6"/>
          <w:sz w:val="28"/>
          <w:szCs w:val="28"/>
        </w:rPr>
      </w:pPr>
    </w:p>
    <w:p>
      <w:pPr>
        <w:adjustRightInd w:val="0"/>
        <w:snapToGrid w:val="0"/>
        <w:spacing w:before="120" w:beforeLines="50" w:after="120" w:afterLines="50" w:line="360" w:lineRule="auto"/>
        <w:jc w:val="center"/>
        <w:rPr>
          <w:b/>
          <w:sz w:val="36"/>
          <w:szCs w:val="36"/>
        </w:rPr>
      </w:pPr>
      <w:r>
        <w:rPr>
          <w:rFonts w:hint="eastAsia"/>
          <w:b/>
          <w:sz w:val="36"/>
          <w:szCs w:val="36"/>
        </w:rPr>
        <w:t>十三、制造商中小企业声明函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120" w:beforeLines="50" w:after="120" w:afterLines="50" w:line="360" w:lineRule="auto"/>
        <w:ind w:firstLine="480" w:firstLineChars="200"/>
        <w:rPr>
          <w:color w:val="000000" w:themeColor="text1"/>
          <w:sz w:val="24"/>
          <w14:textFill>
            <w14:solidFill>
              <w14:schemeClr w14:val="tx1"/>
            </w14:solidFill>
          </w14:textFill>
        </w:rPr>
      </w:pPr>
      <w:r>
        <w:rPr>
          <w:rFonts w:hint="eastAsia" w:ascii="宋体" w:hAnsi="宋体"/>
          <w:sz w:val="24"/>
        </w:rPr>
        <w:t>6.关于企业从业人员的认定，供应商应该真实填写（格式自拟）。</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供应商名称（盖章）：XXXXXXX有限公司</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 xml:space="preserve">法定代表人或授权代表（签字）：                </w:t>
      </w:r>
    </w:p>
    <w:p>
      <w:pPr>
        <w:autoSpaceDE w:val="0"/>
        <w:autoSpaceDN w:val="0"/>
        <w:adjustRightInd w:val="0"/>
        <w:spacing w:line="360" w:lineRule="auto"/>
        <w:jc w:val="left"/>
        <w:rPr>
          <w:rFonts w:ascii="宋体" w:hAnsi="宋体"/>
          <w:b/>
          <w:bCs/>
          <w:sz w:val="32"/>
        </w:rPr>
      </w:pPr>
      <w:r>
        <w:rPr>
          <w:rFonts w:hint="eastAsia" w:ascii="宋体" w:hAnsi="宋体" w:eastAsia="宋体" w:cs="Times New Roman"/>
          <w:sz w:val="24"/>
        </w:rPr>
        <w:t xml:space="preserve">                                         投标日期</w:t>
      </w:r>
      <w:r>
        <w:rPr>
          <w:rFonts w:hint="eastAsia"/>
          <w:sz w:val="24"/>
        </w:rPr>
        <w:t>：</w:t>
      </w:r>
    </w:p>
    <w:p>
      <w:pPr>
        <w:pStyle w:val="44"/>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4"/>
        <w:spacing w:line="360" w:lineRule="auto"/>
        <w:jc w:val="center"/>
        <w:rPr>
          <w:rFonts w:ascii="宋体" w:hAnsi="宋体"/>
          <w:b/>
          <w:spacing w:val="6"/>
          <w:sz w:val="28"/>
          <w:szCs w:val="28"/>
        </w:rPr>
      </w:pPr>
    </w:p>
    <w:p>
      <w:pPr>
        <w:pStyle w:val="44"/>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4"/>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4"/>
        <w:spacing w:line="360" w:lineRule="auto"/>
        <w:ind w:firstLine="504" w:firstLineChars="200"/>
        <w:rPr>
          <w:rFonts w:ascii="宋体" w:hAnsi="宋体"/>
          <w:color w:val="993300"/>
          <w:spacing w:val="6"/>
          <w:sz w:val="24"/>
        </w:rPr>
      </w:pPr>
    </w:p>
    <w:p>
      <w:pPr>
        <w:pStyle w:val="44"/>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w:t>
      </w:r>
    </w:p>
    <w:p>
      <w:pPr>
        <w:pStyle w:val="44"/>
        <w:tabs>
          <w:tab w:val="left" w:pos="4860"/>
        </w:tabs>
        <w:spacing w:line="360" w:lineRule="auto"/>
        <w:ind w:right="1560" w:firstLine="504" w:firstLineChars="200"/>
        <w:jc w:val="right"/>
        <w:rPr>
          <w:rFonts w:ascii="宋体" w:hAnsi="宋体"/>
          <w:spacing w:val="6"/>
          <w:sz w:val="24"/>
        </w:rPr>
      </w:pPr>
      <w:r>
        <w:rPr>
          <w:rFonts w:hint="eastAsia" w:ascii="宋体" w:hAnsi="宋体"/>
          <w:spacing w:val="6"/>
          <w:sz w:val="24"/>
        </w:rPr>
        <w:t xml:space="preserve">                    </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供应商名称（盖章）：XXXXXXX有限公司</w:t>
      </w:r>
    </w:p>
    <w:p>
      <w:pPr>
        <w:adjustRightInd w:val="0"/>
        <w:spacing w:before="240" w:beforeLines="100" w:after="120" w:afterLines="50"/>
        <w:ind w:right="480"/>
        <w:jc w:val="right"/>
        <w:rPr>
          <w:rFonts w:ascii="宋体" w:hAnsi="宋体" w:eastAsia="宋体" w:cs="Times New Roman"/>
          <w:sz w:val="24"/>
        </w:rPr>
      </w:pPr>
      <w:r>
        <w:rPr>
          <w:rFonts w:hint="eastAsia" w:ascii="宋体" w:hAnsi="宋体" w:eastAsia="宋体" w:cs="Times New Roman"/>
          <w:sz w:val="24"/>
        </w:rPr>
        <w:t xml:space="preserve">法定代表人或授权代表（签字）：                </w:t>
      </w:r>
    </w:p>
    <w:p>
      <w:pPr>
        <w:adjustRightInd w:val="0"/>
        <w:snapToGrid w:val="0"/>
        <w:spacing w:before="120" w:beforeLines="50" w:after="120" w:afterLines="50" w:line="360" w:lineRule="auto"/>
        <w:jc w:val="center"/>
        <w:rPr>
          <w:b/>
          <w:sz w:val="36"/>
          <w:szCs w:val="36"/>
        </w:rPr>
      </w:pPr>
      <w:r>
        <w:rPr>
          <w:rFonts w:hint="eastAsia" w:ascii="宋体" w:hAnsi="宋体" w:eastAsia="宋体" w:cs="Times New Roman"/>
          <w:sz w:val="24"/>
        </w:rPr>
        <w:t xml:space="preserve">                                    投标日期</w:t>
      </w:r>
      <w:r>
        <w:rPr>
          <w:rFonts w:hint="eastAsia"/>
          <w:sz w:val="24"/>
        </w:rPr>
        <w:t>：</w:t>
      </w: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p>
      <w:pPr>
        <w:adjustRightInd w:val="0"/>
        <w:snapToGrid w:val="0"/>
        <w:spacing w:before="120" w:beforeLines="50" w:after="120" w:afterLines="50" w:line="360" w:lineRule="auto"/>
        <w:jc w:val="center"/>
        <w:rPr>
          <w:b/>
          <w:sz w:val="36"/>
          <w:szCs w:val="36"/>
        </w:rPr>
      </w:pPr>
    </w:p>
    <w:bookmarkEnd w:id="45"/>
    <w:bookmarkEnd w:id="46"/>
    <w:bookmarkEnd w:id="47"/>
    <w:bookmarkEnd w:id="48"/>
    <w:bookmarkEnd w:id="49"/>
    <w:bookmarkEnd w:id="50"/>
    <w:bookmarkEnd w:id="51"/>
    <w:bookmarkEnd w:id="52"/>
    <w:bookmarkEnd w:id="53"/>
    <w:bookmarkEnd w:id="54"/>
    <w:bookmarkEnd w:id="55"/>
    <w:bookmarkEnd w:id="56"/>
    <w:p>
      <w:pPr>
        <w:autoSpaceDE w:val="0"/>
        <w:autoSpaceDN w:val="0"/>
        <w:adjustRightInd w:val="0"/>
        <w:spacing w:line="360" w:lineRule="auto"/>
        <w:jc w:val="left"/>
        <w:rPr>
          <w:rFonts w:ascii="宋体" w:hAnsi="宋体"/>
          <w:b/>
          <w:bCs/>
          <w:sz w:val="32"/>
        </w:rPr>
      </w:pPr>
    </w:p>
    <w:sectPr>
      <w:pgSz w:w="11907" w:h="16840"/>
      <w:pgMar w:top="1361"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4F985D-FDC1-4565-9CA9-9C5B319AD62A}"/>
  </w:font>
  <w:font w:name="黑体">
    <w:panose1 w:val="02010609060101010101"/>
    <w:charset w:val="86"/>
    <w:family w:val="auto"/>
    <w:pitch w:val="default"/>
    <w:sig w:usb0="800002BF" w:usb1="38CF7CFA" w:usb2="00000016" w:usb3="00000000" w:csb0="00040001" w:csb1="00000000"/>
    <w:embedRegular r:id="rId2" w:fontKey="{193E8649-5CB5-45F2-A318-50153877B0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8911063B-9D3B-402D-93C8-814D8A41B8ED}"/>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embedRegular r:id="rId4" w:fontKey="{53B426F3-0109-4E6E-9D9B-31BEA563A7E2}"/>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5" w:fontKey="{D1235B27-72AB-4178-AC5E-7D9CEF3D9F4F}"/>
  </w:font>
  <w:font w:name="仿宋">
    <w:panose1 w:val="02010609060101010101"/>
    <w:charset w:val="86"/>
    <w:family w:val="auto"/>
    <w:pitch w:val="default"/>
    <w:sig w:usb0="800002BF" w:usb1="38CF7CFA" w:usb2="00000016" w:usb3="00000000" w:csb0="00040001" w:csb1="00000000"/>
    <w:embedRegular r:id="rId6" w:fontKey="{4D503DF9-891D-4F73-A9D0-DF186364DC0E}"/>
  </w:font>
  <w:font w:name="楷体">
    <w:panose1 w:val="02010609060101010101"/>
    <w:charset w:val="86"/>
    <w:family w:val="modern"/>
    <w:pitch w:val="default"/>
    <w:sig w:usb0="800002BF" w:usb1="38CF7CFA" w:usb2="00000016" w:usb3="00000000" w:csb0="00040001" w:csb1="00000000"/>
    <w:embedRegular r:id="rId7" w:fontKey="{80C5A5CB-E1C9-4202-8601-4229836AE8D6}"/>
  </w:font>
  <w:font w:name="Segoe UI Emoji">
    <w:altName w:val="Segoe UI"/>
    <w:panose1 w:val="020B0502040204020203"/>
    <w:charset w:val="00"/>
    <w:family w:val="swiss"/>
    <w:pitch w:val="default"/>
    <w:sig w:usb0="00000000" w:usb1="00000000" w:usb2="00000000" w:usb3="00000000" w:csb0="00000001" w:csb1="00000000"/>
  </w:font>
  <w:font w:name="SimSun-Identity-H">
    <w:altName w:val="黑体"/>
    <w:panose1 w:val="00000000000000000000"/>
    <w:charset w:val="86"/>
    <w:family w:val="auto"/>
    <w:pitch w:val="default"/>
    <w:sig w:usb0="00000000" w:usb1="00000000" w:usb2="00000010" w:usb3="00000000" w:csb0="00040000" w:csb1="00000000"/>
    <w:embedRegular r:id="rId8" w:fontKey="{E6296684-5F01-4AF8-8FC7-2A781C6D7297}"/>
  </w:font>
  <w:font w:name="Helvetica">
    <w:altName w:val="Arial"/>
    <w:panose1 w:val="00000000000000000000"/>
    <w:charset w:val="00"/>
    <w:family w:val="auto"/>
    <w:pitch w:val="default"/>
    <w:sig w:usb0="00000000" w:usb1="00000000" w:usb2="00000000" w:usb3="00000000" w:csb0="0000019F" w:csb1="00000000"/>
    <w:embedRegular r:id="rId9" w:fontKey="{E668696B-7175-4C8B-A6F9-4E5BACD524A1}"/>
  </w:font>
  <w:font w:name="方正仿宋简体">
    <w:altName w:val="微软雅黑"/>
    <w:panose1 w:val="020B0604020202020204"/>
    <w:charset w:val="86"/>
    <w:family w:val="script"/>
    <w:pitch w:val="default"/>
    <w:sig w:usb0="00000000" w:usb1="00000000" w:usb2="00000010" w:usb3="00000000" w:csb0="00040000" w:csb1="00000000"/>
    <w:embedRegular r:id="rId10" w:fontKey="{D710223D-9C47-4E9E-92CF-8BDE59B54C21}"/>
  </w:font>
  <w:font w:name="Segoe UI">
    <w:panose1 w:val="020B0502040204020203"/>
    <w:charset w:val="00"/>
    <w:family w:val="auto"/>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posOffset>2609850</wp:posOffset>
              </wp:positionH>
              <wp:positionV relativeFrom="paragraph">
                <wp:posOffset>-1905</wp:posOffset>
              </wp:positionV>
              <wp:extent cx="257175" cy="228600"/>
              <wp:effectExtent l="0" t="0" r="9525" b="0"/>
              <wp:wrapNone/>
              <wp:docPr id="2" name="文本框 4"/>
              <wp:cNvGraphicFramePr/>
              <a:graphic xmlns:a="http://schemas.openxmlformats.org/drawingml/2006/main">
                <a:graphicData uri="http://schemas.microsoft.com/office/word/2010/wordprocessingShape">
                  <wps:wsp>
                    <wps:cNvSpPr txBox="1"/>
                    <wps:spPr>
                      <a:xfrm>
                        <a:off x="0" y="0"/>
                        <a:ext cx="257175" cy="228600"/>
                      </a:xfrm>
                      <a:prstGeom prst="rect">
                        <a:avLst/>
                      </a:prstGeom>
                      <a:noFill/>
                      <a:ln>
                        <a:noFill/>
                      </a:ln>
                    </wps:spPr>
                    <wps:txbx>
                      <w:txbxContent>
                        <w:p>
                          <w:pPr>
                            <w:pStyle w:val="17"/>
                          </w:pPr>
                          <w:r>
                            <w:fldChar w:fldCharType="begin"/>
                          </w:r>
                          <w:r>
                            <w:instrText xml:space="preserve"> PAGE  \* MERGEFORMAT </w:instrText>
                          </w:r>
                          <w:r>
                            <w:fldChar w:fldCharType="separate"/>
                          </w:r>
                          <w:r>
                            <w:t>38</w:t>
                          </w:r>
                          <w:r>
                            <w:fldChar w:fldCharType="end"/>
                          </w:r>
                        </w:p>
                      </w:txbxContent>
                    </wps:txbx>
                    <wps:bodyPr wrap="square" lIns="0" tIns="0" rIns="0" bIns="0" upright="1">
                      <a:noAutofit/>
                    </wps:bodyPr>
                  </wps:wsp>
                </a:graphicData>
              </a:graphic>
            </wp:anchor>
          </w:drawing>
        </mc:Choice>
        <mc:Fallback>
          <w:pict>
            <v:shape id="文本框 4" o:spid="_x0000_s1026" o:spt="202" type="#_x0000_t202" style="position:absolute;left:0pt;margin-left:205.5pt;margin-top:-0.15pt;height:18pt;width:20.25pt;mso-position-horizontal-relative:margin;z-index:251662336;mso-width-relative:page;mso-height-relative:page;" filled="f" stroked="f" coordsize="21600,21600" o:gfxdata="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jB6GtgAAAAIAQAADwAAAAAAAAABACAAAAAiAAAAZHJzL2Rvd25yZXYueG1sUEsBAhQAFAAA&#10;AAgAh07iQKEaahW2AQAASwMAAA4AAAAAAAAAAQAgAAAAJwEAAGRycy9lMm9Eb2MueG1sUEsFBgAA&#10;AAAGAAYAWQEAAE8FAAAAAA==&#10;">
              <v:fill on="f" focussize="0,0"/>
              <v:stroke on="f"/>
              <v:imagedata o:title=""/>
              <o:lock v:ext="edit" aspectratio="f"/>
              <v:textbox inset="0mm,0mm,0mm,0mm">
                <w:txbxContent>
                  <w:p>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7"/>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7"/>
      <w:tabs>
        <w:tab w:val="center" w:pos="4143"/>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Style w:val="29"/>
                              <w:rFonts w:ascii="宋体" w:hAnsi="宋体"/>
                              <w:sz w:val="21"/>
                              <w:szCs w:val="21"/>
                            </w:rPr>
                          </w:pPr>
                          <w:r>
                            <w:rPr>
                              <w:rStyle w:val="29"/>
                              <w:rFonts w:ascii="宋体" w:hAnsi="宋体"/>
                              <w:sz w:val="20"/>
                              <w:szCs w:val="20"/>
                            </w:rPr>
                            <w:fldChar w:fldCharType="begin"/>
                          </w:r>
                          <w:r>
                            <w:rPr>
                              <w:rStyle w:val="29"/>
                              <w:rFonts w:ascii="宋体" w:hAnsi="宋体"/>
                              <w:sz w:val="20"/>
                              <w:szCs w:val="20"/>
                            </w:rPr>
                            <w:instrText xml:space="preserve">PAGE  </w:instrText>
                          </w:r>
                          <w:r>
                            <w:rPr>
                              <w:rStyle w:val="29"/>
                              <w:rFonts w:ascii="宋体" w:hAnsi="宋体"/>
                              <w:sz w:val="20"/>
                              <w:szCs w:val="20"/>
                            </w:rPr>
                            <w:fldChar w:fldCharType="separate"/>
                          </w:r>
                          <w:r>
                            <w:rPr>
                              <w:rStyle w:val="29"/>
                              <w:rFonts w:ascii="宋体" w:hAnsi="宋体"/>
                              <w:sz w:val="20"/>
                              <w:szCs w:val="20"/>
                            </w:rPr>
                            <w:t>46</w:t>
                          </w:r>
                          <w:r>
                            <w:rPr>
                              <w:rStyle w:val="29"/>
                              <w:rFonts w:ascii="宋体" w:hAnsi="宋体"/>
                              <w:sz w:val="20"/>
                              <w:szCs w:val="20"/>
                            </w:rPr>
                            <w:fldChar w:fldCharType="end"/>
                          </w:r>
                          <w:r>
                            <w:rPr>
                              <w:rStyle w:val="29"/>
                              <w:rFonts w:hint="eastAsia" w:ascii="宋体" w:hAnsi="宋体"/>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17"/>
                      <w:rPr>
                        <w:rStyle w:val="29"/>
                        <w:rFonts w:ascii="宋体" w:hAnsi="宋体"/>
                        <w:sz w:val="21"/>
                        <w:szCs w:val="21"/>
                      </w:rPr>
                    </w:pPr>
                    <w:r>
                      <w:rPr>
                        <w:rStyle w:val="29"/>
                        <w:rFonts w:ascii="宋体" w:hAnsi="宋体"/>
                        <w:sz w:val="20"/>
                        <w:szCs w:val="20"/>
                      </w:rPr>
                      <w:fldChar w:fldCharType="begin"/>
                    </w:r>
                    <w:r>
                      <w:rPr>
                        <w:rStyle w:val="29"/>
                        <w:rFonts w:ascii="宋体" w:hAnsi="宋体"/>
                        <w:sz w:val="20"/>
                        <w:szCs w:val="20"/>
                      </w:rPr>
                      <w:instrText xml:space="preserve">PAGE  </w:instrText>
                    </w:r>
                    <w:r>
                      <w:rPr>
                        <w:rStyle w:val="29"/>
                        <w:rFonts w:ascii="宋体" w:hAnsi="宋体"/>
                        <w:sz w:val="20"/>
                        <w:szCs w:val="20"/>
                      </w:rPr>
                      <w:fldChar w:fldCharType="separate"/>
                    </w:r>
                    <w:r>
                      <w:rPr>
                        <w:rStyle w:val="29"/>
                        <w:rFonts w:ascii="宋体" w:hAnsi="宋体"/>
                        <w:sz w:val="20"/>
                        <w:szCs w:val="20"/>
                      </w:rPr>
                      <w:t>46</w:t>
                    </w:r>
                    <w:r>
                      <w:rPr>
                        <w:rStyle w:val="29"/>
                        <w:rFonts w:ascii="宋体" w:hAnsi="宋体"/>
                        <w:sz w:val="20"/>
                        <w:szCs w:val="20"/>
                      </w:rPr>
                      <w:fldChar w:fldCharType="end"/>
                    </w:r>
                    <w:r>
                      <w:rPr>
                        <w:rStyle w:val="29"/>
                        <w:rFonts w:hint="eastAsia" w:ascii="宋体" w:hAnsi="宋体"/>
                        <w:sz w:val="21"/>
                        <w:szCs w:val="21"/>
                      </w:rPr>
                      <w:t xml:space="preserve"> </w:t>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9"/>
        <w:rFonts w:ascii="宋体" w:hAnsi="宋体"/>
        <w:sz w:val="28"/>
        <w:szCs w:val="28"/>
      </w:rPr>
    </w:pPr>
    <w:r>
      <w:rPr>
        <w:rStyle w:val="29"/>
        <w:rFonts w:hint="eastAsia" w:ascii="宋体" w:hAnsi="宋体"/>
        <w:sz w:val="28"/>
        <w:szCs w:val="28"/>
      </w:rPr>
      <w:t xml:space="preserve">— </w:t>
    </w:r>
    <w:r>
      <w:rPr>
        <w:rStyle w:val="29"/>
        <w:rFonts w:ascii="宋体" w:hAnsi="宋体"/>
        <w:sz w:val="28"/>
        <w:szCs w:val="28"/>
      </w:rPr>
      <w:fldChar w:fldCharType="begin"/>
    </w:r>
    <w:r>
      <w:rPr>
        <w:rStyle w:val="29"/>
        <w:rFonts w:ascii="宋体" w:hAnsi="宋体"/>
        <w:sz w:val="28"/>
        <w:szCs w:val="28"/>
      </w:rPr>
      <w:instrText xml:space="preserve">PAGE  </w:instrText>
    </w:r>
    <w:r>
      <w:rPr>
        <w:rStyle w:val="29"/>
        <w:rFonts w:ascii="宋体" w:hAnsi="宋体"/>
        <w:sz w:val="28"/>
        <w:szCs w:val="28"/>
      </w:rPr>
      <w:fldChar w:fldCharType="separate"/>
    </w:r>
    <w:r>
      <w:rPr>
        <w:rStyle w:val="29"/>
        <w:rFonts w:ascii="宋体" w:hAnsi="宋体"/>
        <w:sz w:val="28"/>
        <w:szCs w:val="28"/>
      </w:rPr>
      <w:t>46</w:t>
    </w:r>
    <w:r>
      <w:rPr>
        <w:rStyle w:val="29"/>
        <w:rFonts w:ascii="宋体" w:hAnsi="宋体"/>
        <w:sz w:val="28"/>
        <w:szCs w:val="28"/>
      </w:rPr>
      <w:fldChar w:fldCharType="end"/>
    </w:r>
    <w:r>
      <w:rPr>
        <w:rStyle w:val="29"/>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4035"/>
        <w:tab w:val="left" w:pos="4710"/>
        <w:tab w:val="clear" w:pos="4153"/>
        <w:tab w:val="clear" w:pos="8306"/>
      </w:tabs>
      <w:jc w:val="both"/>
    </w:pPr>
    <w:r>
      <w:rPr>
        <w:rFonts w:ascii="楷体" w:hAnsi="楷体" w:eastAsia="楷体" w:cs="楷体"/>
        <w:sz w:val="24"/>
        <w:szCs w:val="24"/>
      </w:rPr>
      <w:t xml:space="preserve">     </w:t>
    </w:r>
    <w:r>
      <w:rPr>
        <w:rFonts w:ascii="楷体" w:hAnsi="楷体" w:eastAsia="楷体" w:cs="楷体"/>
        <w:sz w:val="24"/>
        <w:szCs w:val="24"/>
      </w:rPr>
      <w:tab/>
    </w:r>
    <w:r>
      <w:rPr>
        <w:rFonts w:ascii="楷体" w:hAnsi="楷体" w:eastAsia="楷体" w:cs="楷体"/>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FFA39"/>
    <w:multiLevelType w:val="singleLevel"/>
    <w:tmpl w:val="B4EFFA39"/>
    <w:lvl w:ilvl="0" w:tentative="0">
      <w:start w:val="2"/>
      <w:numFmt w:val="chineseCounting"/>
      <w:suff w:val="nothing"/>
      <w:lvlText w:val="（%1）"/>
      <w:lvlJc w:val="left"/>
      <w:rPr>
        <w:rFonts w:hint="eastAsia"/>
      </w:rPr>
    </w:lvl>
  </w:abstractNum>
  <w:abstractNum w:abstractNumId="1">
    <w:nsid w:val="E9B02FF9"/>
    <w:multiLevelType w:val="singleLevel"/>
    <w:tmpl w:val="E9B02FF9"/>
    <w:lvl w:ilvl="0" w:tentative="0">
      <w:start w:val="1"/>
      <w:numFmt w:val="chineseCounting"/>
      <w:suff w:val="nothing"/>
      <w:lvlText w:val="（%1）"/>
      <w:lvlJc w:val="left"/>
      <w:rPr>
        <w:rFonts w:hint="eastAsia"/>
      </w:rPr>
    </w:lvl>
  </w:abstractNum>
  <w:abstractNum w:abstractNumId="2">
    <w:nsid w:val="02745145"/>
    <w:multiLevelType w:val="multilevel"/>
    <w:tmpl w:val="02745145"/>
    <w:lvl w:ilvl="0" w:tentative="0">
      <w:start w:val="2"/>
      <w:numFmt w:val="japaneseCounting"/>
      <w:lvlText w:val="（%1）"/>
      <w:lvlJc w:val="left"/>
      <w:pPr>
        <w:ind w:left="1416" w:hanging="86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3C604A"/>
    <w:multiLevelType w:val="singleLevel"/>
    <w:tmpl w:val="183C604A"/>
    <w:lvl w:ilvl="0" w:tentative="0">
      <w:start w:val="1"/>
      <w:numFmt w:val="japaneseCounting"/>
      <w:lvlText w:val="%1、"/>
      <w:lvlJc w:val="left"/>
      <w:pPr>
        <w:tabs>
          <w:tab w:val="left" w:pos="622"/>
        </w:tabs>
        <w:ind w:left="622" w:hanging="480"/>
      </w:pPr>
    </w:lvl>
  </w:abstractNum>
  <w:abstractNum w:abstractNumId="4">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2C2980A5"/>
    <w:multiLevelType w:val="singleLevel"/>
    <w:tmpl w:val="2C2980A5"/>
    <w:lvl w:ilvl="0" w:tentative="0">
      <w:start w:val="4"/>
      <w:numFmt w:val="decimal"/>
      <w:suff w:val="nothing"/>
      <w:lvlText w:val="（%1）"/>
      <w:lvlJc w:val="left"/>
    </w:lvl>
  </w:abstractNum>
  <w:abstractNum w:abstractNumId="7">
    <w:nsid w:val="543A08E2"/>
    <w:multiLevelType w:val="multilevel"/>
    <w:tmpl w:val="543A08E2"/>
    <w:lvl w:ilvl="0" w:tentative="0">
      <w:start w:val="3"/>
      <w:numFmt w:val="decimal"/>
      <w:lvlText w:val="%1．"/>
      <w:lvlJc w:val="left"/>
      <w:pPr>
        <w:ind w:left="128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ACA09E"/>
    <w:multiLevelType w:val="singleLevel"/>
    <w:tmpl w:val="59ACA09E"/>
    <w:lvl w:ilvl="0" w:tentative="0">
      <w:start w:val="1"/>
      <w:numFmt w:val="chineseCounting"/>
      <w:suff w:val="space"/>
      <w:lvlText w:val="第%1章"/>
      <w:lvlJc w:val="left"/>
    </w:lvl>
  </w:abstractNum>
  <w:abstractNum w:abstractNumId="9">
    <w:nsid w:val="5A483BE4"/>
    <w:multiLevelType w:val="singleLevel"/>
    <w:tmpl w:val="5A483BE4"/>
    <w:lvl w:ilvl="0" w:tentative="0">
      <w:start w:val="1"/>
      <w:numFmt w:val="decimal"/>
      <w:suff w:val="space"/>
      <w:lvlText w:val="（%1）"/>
      <w:lvlJc w:val="left"/>
    </w:lvl>
  </w:abstractNum>
  <w:abstractNum w:abstractNumId="10">
    <w:nsid w:val="6B32DA8B"/>
    <w:multiLevelType w:val="singleLevel"/>
    <w:tmpl w:val="6B32DA8B"/>
    <w:lvl w:ilvl="0" w:tentative="0">
      <w:start w:val="4"/>
      <w:numFmt w:val="chineseCounting"/>
      <w:suff w:val="space"/>
      <w:lvlText w:val="第%1章"/>
      <w:lvlJc w:val="left"/>
      <w:rPr>
        <w:rFonts w:hint="eastAsia"/>
      </w:rPr>
    </w:lvl>
  </w:abstractNum>
  <w:abstractNum w:abstractNumId="11">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34"/>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8826A3E"/>
    <w:multiLevelType w:val="multilevel"/>
    <w:tmpl w:val="78826A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0"/>
  </w:num>
  <w:num w:numId="10">
    <w:abstractNumId w:val="1"/>
  </w:num>
  <w:num w:numId="11">
    <w:abstractNumId w:val="3"/>
    <w:lvlOverride w:ilvl="0">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TrueTypeFonts/>
  <w:saveSubsetFonts/>
  <w:bordersDoNotSurroundHeader w:val="1"/>
  <w:bordersDoNotSurroundFooter w:val="1"/>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025"/>
    <w:rsid w:val="000311C7"/>
    <w:rsid w:val="000505DE"/>
    <w:rsid w:val="00056173"/>
    <w:rsid w:val="000668F6"/>
    <w:rsid w:val="00082DF1"/>
    <w:rsid w:val="000B4006"/>
    <w:rsid w:val="000D5015"/>
    <w:rsid w:val="000E2636"/>
    <w:rsid w:val="00102740"/>
    <w:rsid w:val="00111EAD"/>
    <w:rsid w:val="001222C0"/>
    <w:rsid w:val="00135705"/>
    <w:rsid w:val="001400F5"/>
    <w:rsid w:val="00147B6A"/>
    <w:rsid w:val="00156404"/>
    <w:rsid w:val="0017344A"/>
    <w:rsid w:val="001840D6"/>
    <w:rsid w:val="001A6AD8"/>
    <w:rsid w:val="001C3307"/>
    <w:rsid w:val="001D2DE0"/>
    <w:rsid w:val="00217CF6"/>
    <w:rsid w:val="0024241C"/>
    <w:rsid w:val="00255BA1"/>
    <w:rsid w:val="0026482E"/>
    <w:rsid w:val="00281411"/>
    <w:rsid w:val="002825AC"/>
    <w:rsid w:val="002B3F15"/>
    <w:rsid w:val="002B5C7F"/>
    <w:rsid w:val="002C5840"/>
    <w:rsid w:val="002E6F8A"/>
    <w:rsid w:val="003026F4"/>
    <w:rsid w:val="0030590A"/>
    <w:rsid w:val="00313098"/>
    <w:rsid w:val="003131F6"/>
    <w:rsid w:val="00335447"/>
    <w:rsid w:val="0034727E"/>
    <w:rsid w:val="00353576"/>
    <w:rsid w:val="00364986"/>
    <w:rsid w:val="00371864"/>
    <w:rsid w:val="003A13DA"/>
    <w:rsid w:val="003A4340"/>
    <w:rsid w:val="003D530A"/>
    <w:rsid w:val="003E6338"/>
    <w:rsid w:val="003F650A"/>
    <w:rsid w:val="004077D6"/>
    <w:rsid w:val="00407DCC"/>
    <w:rsid w:val="00431863"/>
    <w:rsid w:val="004366F4"/>
    <w:rsid w:val="004379B9"/>
    <w:rsid w:val="004429BB"/>
    <w:rsid w:val="004710A3"/>
    <w:rsid w:val="00474293"/>
    <w:rsid w:val="00510C59"/>
    <w:rsid w:val="00512322"/>
    <w:rsid w:val="00525A81"/>
    <w:rsid w:val="00565207"/>
    <w:rsid w:val="0057296F"/>
    <w:rsid w:val="005808A8"/>
    <w:rsid w:val="005A1A4D"/>
    <w:rsid w:val="005C0417"/>
    <w:rsid w:val="005C1FDA"/>
    <w:rsid w:val="005D49B6"/>
    <w:rsid w:val="005D595F"/>
    <w:rsid w:val="006342E3"/>
    <w:rsid w:val="00656420"/>
    <w:rsid w:val="0066177B"/>
    <w:rsid w:val="00672FB9"/>
    <w:rsid w:val="006767F4"/>
    <w:rsid w:val="00695453"/>
    <w:rsid w:val="006A1194"/>
    <w:rsid w:val="006D0323"/>
    <w:rsid w:val="006D3DF5"/>
    <w:rsid w:val="006F55E1"/>
    <w:rsid w:val="00706EFF"/>
    <w:rsid w:val="007153E3"/>
    <w:rsid w:val="00715E0D"/>
    <w:rsid w:val="007473EF"/>
    <w:rsid w:val="00761025"/>
    <w:rsid w:val="00761530"/>
    <w:rsid w:val="0076644F"/>
    <w:rsid w:val="007853CF"/>
    <w:rsid w:val="007A1DBD"/>
    <w:rsid w:val="007B3FB2"/>
    <w:rsid w:val="007B4AC8"/>
    <w:rsid w:val="00897C93"/>
    <w:rsid w:val="008C3E9B"/>
    <w:rsid w:val="008F3A50"/>
    <w:rsid w:val="00906C62"/>
    <w:rsid w:val="00921D5B"/>
    <w:rsid w:val="00966D72"/>
    <w:rsid w:val="00977776"/>
    <w:rsid w:val="00984181"/>
    <w:rsid w:val="009A2F25"/>
    <w:rsid w:val="009E17E4"/>
    <w:rsid w:val="009E585B"/>
    <w:rsid w:val="009F4F9D"/>
    <w:rsid w:val="00A017BD"/>
    <w:rsid w:val="00A60B55"/>
    <w:rsid w:val="00A6695F"/>
    <w:rsid w:val="00AC1B08"/>
    <w:rsid w:val="00AC56FC"/>
    <w:rsid w:val="00AE19C2"/>
    <w:rsid w:val="00B040B1"/>
    <w:rsid w:val="00B4114E"/>
    <w:rsid w:val="00B60936"/>
    <w:rsid w:val="00B64EE0"/>
    <w:rsid w:val="00B71585"/>
    <w:rsid w:val="00B77FDB"/>
    <w:rsid w:val="00BA196B"/>
    <w:rsid w:val="00BA5B85"/>
    <w:rsid w:val="00BC3CEC"/>
    <w:rsid w:val="00BD5CAA"/>
    <w:rsid w:val="00C1046E"/>
    <w:rsid w:val="00C35AAA"/>
    <w:rsid w:val="00C536ED"/>
    <w:rsid w:val="00C565F1"/>
    <w:rsid w:val="00C76036"/>
    <w:rsid w:val="00CD01C9"/>
    <w:rsid w:val="00CE409C"/>
    <w:rsid w:val="00CE6D63"/>
    <w:rsid w:val="00D37995"/>
    <w:rsid w:val="00D45F56"/>
    <w:rsid w:val="00D81AD6"/>
    <w:rsid w:val="00D95564"/>
    <w:rsid w:val="00D959E5"/>
    <w:rsid w:val="00DA0A1F"/>
    <w:rsid w:val="00DB4214"/>
    <w:rsid w:val="00DC72FC"/>
    <w:rsid w:val="00DE2F08"/>
    <w:rsid w:val="00E2098D"/>
    <w:rsid w:val="00E36982"/>
    <w:rsid w:val="00E51BA5"/>
    <w:rsid w:val="00E712F1"/>
    <w:rsid w:val="00E76C82"/>
    <w:rsid w:val="00E95053"/>
    <w:rsid w:val="00EA0B52"/>
    <w:rsid w:val="00EB3121"/>
    <w:rsid w:val="00ED7062"/>
    <w:rsid w:val="00EE2ECE"/>
    <w:rsid w:val="00EF36DB"/>
    <w:rsid w:val="00EF446F"/>
    <w:rsid w:val="00F02A89"/>
    <w:rsid w:val="00F21420"/>
    <w:rsid w:val="00F236A3"/>
    <w:rsid w:val="00F44512"/>
    <w:rsid w:val="00FB2F21"/>
    <w:rsid w:val="00FE322E"/>
    <w:rsid w:val="00FE7440"/>
    <w:rsid w:val="00FF24AF"/>
    <w:rsid w:val="02DC57F2"/>
    <w:rsid w:val="045333A8"/>
    <w:rsid w:val="050B3F32"/>
    <w:rsid w:val="05910E93"/>
    <w:rsid w:val="066D795D"/>
    <w:rsid w:val="089D0824"/>
    <w:rsid w:val="09D75A53"/>
    <w:rsid w:val="0B7B0CA0"/>
    <w:rsid w:val="0CAF43BA"/>
    <w:rsid w:val="0EC73BA6"/>
    <w:rsid w:val="0FB42C2B"/>
    <w:rsid w:val="10184A66"/>
    <w:rsid w:val="10757FE0"/>
    <w:rsid w:val="10D92370"/>
    <w:rsid w:val="125E2277"/>
    <w:rsid w:val="15EC0376"/>
    <w:rsid w:val="16492A0B"/>
    <w:rsid w:val="16945392"/>
    <w:rsid w:val="17847D67"/>
    <w:rsid w:val="17CF27BA"/>
    <w:rsid w:val="17D86181"/>
    <w:rsid w:val="18EA58F0"/>
    <w:rsid w:val="1C924486"/>
    <w:rsid w:val="21310C69"/>
    <w:rsid w:val="21313661"/>
    <w:rsid w:val="215F32FB"/>
    <w:rsid w:val="227409AE"/>
    <w:rsid w:val="231A353C"/>
    <w:rsid w:val="24A45556"/>
    <w:rsid w:val="253C7C79"/>
    <w:rsid w:val="26623995"/>
    <w:rsid w:val="27A25E6A"/>
    <w:rsid w:val="27C07350"/>
    <w:rsid w:val="2AB527E7"/>
    <w:rsid w:val="2BF8563A"/>
    <w:rsid w:val="2D095BC8"/>
    <w:rsid w:val="2DA25210"/>
    <w:rsid w:val="2E2D36D4"/>
    <w:rsid w:val="2E6F4439"/>
    <w:rsid w:val="2F435E59"/>
    <w:rsid w:val="2FB131B5"/>
    <w:rsid w:val="2FF74301"/>
    <w:rsid w:val="30326268"/>
    <w:rsid w:val="326E5BF1"/>
    <w:rsid w:val="32774426"/>
    <w:rsid w:val="342C4E6E"/>
    <w:rsid w:val="36CF0877"/>
    <w:rsid w:val="38006F1B"/>
    <w:rsid w:val="38F628FB"/>
    <w:rsid w:val="3B5D72F7"/>
    <w:rsid w:val="3C5D58F3"/>
    <w:rsid w:val="3F0C2BE9"/>
    <w:rsid w:val="416433C8"/>
    <w:rsid w:val="436D5A1B"/>
    <w:rsid w:val="43701A6A"/>
    <w:rsid w:val="47D3059D"/>
    <w:rsid w:val="49931025"/>
    <w:rsid w:val="4996479E"/>
    <w:rsid w:val="49F21B4E"/>
    <w:rsid w:val="4B790E18"/>
    <w:rsid w:val="4C29672A"/>
    <w:rsid w:val="4CD24D8D"/>
    <w:rsid w:val="4D764E4A"/>
    <w:rsid w:val="4E9770B0"/>
    <w:rsid w:val="4F5E0C2D"/>
    <w:rsid w:val="4F9666B0"/>
    <w:rsid w:val="531757F8"/>
    <w:rsid w:val="537160FA"/>
    <w:rsid w:val="53C12448"/>
    <w:rsid w:val="53D134DA"/>
    <w:rsid w:val="560C66D4"/>
    <w:rsid w:val="562D035D"/>
    <w:rsid w:val="565A374F"/>
    <w:rsid w:val="57D4621F"/>
    <w:rsid w:val="57FD6CDE"/>
    <w:rsid w:val="59536FED"/>
    <w:rsid w:val="5985748E"/>
    <w:rsid w:val="59B6670F"/>
    <w:rsid w:val="5EA5085F"/>
    <w:rsid w:val="5F6C3A11"/>
    <w:rsid w:val="60271646"/>
    <w:rsid w:val="615A32BB"/>
    <w:rsid w:val="61820773"/>
    <w:rsid w:val="634039D9"/>
    <w:rsid w:val="644D5093"/>
    <w:rsid w:val="648236FF"/>
    <w:rsid w:val="64851186"/>
    <w:rsid w:val="666C267A"/>
    <w:rsid w:val="66914DBB"/>
    <w:rsid w:val="6B7D67F9"/>
    <w:rsid w:val="6C6F5453"/>
    <w:rsid w:val="6C922C2B"/>
    <w:rsid w:val="6CCE6FB7"/>
    <w:rsid w:val="6EEB2E09"/>
    <w:rsid w:val="6FA30ABE"/>
    <w:rsid w:val="708042AA"/>
    <w:rsid w:val="714E2678"/>
    <w:rsid w:val="718C597D"/>
    <w:rsid w:val="71F5512E"/>
    <w:rsid w:val="72420550"/>
    <w:rsid w:val="72DD655B"/>
    <w:rsid w:val="77300A34"/>
    <w:rsid w:val="7758385C"/>
    <w:rsid w:val="77630F9C"/>
    <w:rsid w:val="77D45BC8"/>
    <w:rsid w:val="78A44534"/>
    <w:rsid w:val="78DE142B"/>
    <w:rsid w:val="790D66ED"/>
    <w:rsid w:val="7AF174AB"/>
    <w:rsid w:val="7B8F438C"/>
    <w:rsid w:val="7C695253"/>
    <w:rsid w:val="7E344782"/>
    <w:rsid w:val="7E4D02B8"/>
    <w:rsid w:val="7F2A2F4B"/>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0"/>
    <w:qFormat/>
    <w:uiPriority w:val="99"/>
    <w:pPr>
      <w:keepNext/>
      <w:keepLines/>
      <w:spacing w:before="100" w:beforeAutospacing="1" w:after="100" w:afterAutospacing="1" w:line="360" w:lineRule="auto"/>
      <w:jc w:val="center"/>
      <w:outlineLvl w:val="0"/>
    </w:pPr>
    <w:rPr>
      <w:rFonts w:ascii="Times New Roman" w:hAnsi="Times New Roman" w:eastAsia="方正小标宋简体" w:cs="Times New Roman"/>
      <w:kern w:val="44"/>
      <w:sz w:val="32"/>
      <w:szCs w:val="32"/>
    </w:rPr>
  </w:style>
  <w:style w:type="paragraph" w:styleId="5">
    <w:name w:val="heading 2"/>
    <w:basedOn w:val="1"/>
    <w:next w:val="1"/>
    <w:link w:val="69"/>
    <w:unhideWhenUsed/>
    <w:qFormat/>
    <w:uiPriority w:val="9"/>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link w:val="70"/>
    <w:qFormat/>
    <w:uiPriority w:val="99"/>
    <w:pPr>
      <w:tabs>
        <w:tab w:val="left" w:pos="851"/>
      </w:tabs>
      <w:autoSpaceDE w:val="0"/>
      <w:autoSpaceDN w:val="0"/>
      <w:adjustRightInd w:val="0"/>
      <w:snapToGrid w:val="0"/>
      <w:spacing w:line="360" w:lineRule="auto"/>
      <w:outlineLvl w:val="2"/>
    </w:pPr>
    <w:rPr>
      <w:rFonts w:ascii="宋体" w:cs="宋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link w:val="71"/>
    <w:qFormat/>
    <w:uiPriority w:val="99"/>
    <w:pPr>
      <w:spacing w:line="380" w:lineRule="exact"/>
      <w:ind w:firstLine="480"/>
    </w:pPr>
    <w:rPr>
      <w:rFonts w:eastAsia="方正书宋简体"/>
      <w:kern w:val="0"/>
      <w:sz w:val="24"/>
      <w:szCs w:val="20"/>
    </w:rPr>
  </w:style>
  <w:style w:type="paragraph" w:styleId="7">
    <w:name w:val="Normal Indent"/>
    <w:basedOn w:val="1"/>
    <w:link w:val="73"/>
    <w:qFormat/>
    <w:uiPriority w:val="99"/>
    <w:pPr>
      <w:ind w:firstLine="420"/>
    </w:pPr>
    <w:rPr>
      <w:szCs w:val="20"/>
    </w:r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Document Map"/>
    <w:basedOn w:val="1"/>
    <w:link w:val="51"/>
    <w:qFormat/>
    <w:uiPriority w:val="99"/>
    <w:pPr>
      <w:spacing w:before="100" w:beforeAutospacing="1" w:after="100" w:afterAutospacing="1" w:line="360" w:lineRule="auto"/>
    </w:pPr>
    <w:rPr>
      <w:rFonts w:ascii="宋体" w:hAnsi="Times New Roman" w:eastAsia="宋体" w:cs="宋体"/>
      <w:kern w:val="0"/>
      <w:sz w:val="18"/>
      <w:szCs w:val="18"/>
    </w:rPr>
  </w:style>
  <w:style w:type="paragraph" w:styleId="10">
    <w:name w:val="annotation text"/>
    <w:basedOn w:val="1"/>
    <w:link w:val="55"/>
    <w:qFormat/>
    <w:uiPriority w:val="99"/>
    <w:pPr>
      <w:jc w:val="left"/>
    </w:pPr>
  </w:style>
  <w:style w:type="paragraph" w:styleId="11">
    <w:name w:val="Body Text"/>
    <w:basedOn w:val="1"/>
    <w:link w:val="49"/>
    <w:qFormat/>
    <w:uiPriority w:val="99"/>
    <w:pPr>
      <w:spacing w:line="380" w:lineRule="exact"/>
    </w:pPr>
    <w:rPr>
      <w:sz w:val="24"/>
    </w:rPr>
  </w:style>
  <w:style w:type="paragraph" w:styleId="12">
    <w:name w:val="toc 3"/>
    <w:basedOn w:val="1"/>
    <w:next w:val="1"/>
    <w:qFormat/>
    <w:uiPriority w:val="99"/>
    <w:pPr>
      <w:widowControl/>
      <w:tabs>
        <w:tab w:val="right" w:leader="dot" w:pos="9061"/>
      </w:tabs>
      <w:spacing w:line="300" w:lineRule="exact"/>
      <w:ind w:left="442"/>
      <w:jc w:val="left"/>
    </w:pPr>
    <w:rPr>
      <w:rFonts w:ascii="仿宋_GB2312" w:hAnsi="Calibri" w:eastAsia="仿宋_GB2312" w:cs="仿宋_GB2312"/>
      <w:kern w:val="0"/>
      <w:sz w:val="24"/>
    </w:rPr>
  </w:style>
  <w:style w:type="paragraph" w:styleId="13">
    <w:name w:val="Plain Text"/>
    <w:basedOn w:val="1"/>
    <w:link w:val="39"/>
    <w:qFormat/>
    <w:uiPriority w:val="99"/>
    <w:rPr>
      <w:rFonts w:ascii="宋体" w:hAnsi="Courier New"/>
      <w:szCs w:val="20"/>
    </w:rPr>
  </w:style>
  <w:style w:type="paragraph" w:styleId="14">
    <w:name w:val="Date"/>
    <w:basedOn w:val="1"/>
    <w:next w:val="1"/>
    <w:link w:val="52"/>
    <w:qFormat/>
    <w:uiPriority w:val="99"/>
    <w:pPr>
      <w:spacing w:before="100" w:beforeAutospacing="1" w:after="100" w:afterAutospacing="1" w:line="360" w:lineRule="auto"/>
      <w:ind w:left="100" w:leftChars="2500"/>
    </w:pPr>
    <w:rPr>
      <w:rFonts w:ascii="Calibri" w:hAnsi="Calibri" w:eastAsia="宋体" w:cs="Calibri"/>
      <w:szCs w:val="21"/>
    </w:rPr>
  </w:style>
  <w:style w:type="paragraph" w:styleId="15">
    <w:name w:val="Body Text Indent 2"/>
    <w:basedOn w:val="1"/>
    <w:link w:val="40"/>
    <w:qFormat/>
    <w:uiPriority w:val="0"/>
    <w:pPr>
      <w:spacing w:after="120" w:line="480" w:lineRule="auto"/>
      <w:ind w:left="420" w:leftChars="200"/>
    </w:pPr>
  </w:style>
  <w:style w:type="paragraph" w:styleId="16">
    <w:name w:val="Balloon Text"/>
    <w:basedOn w:val="1"/>
    <w:link w:val="53"/>
    <w:qFormat/>
    <w:uiPriority w:val="99"/>
    <w:pPr>
      <w:spacing w:before="100" w:beforeAutospacing="1" w:after="100" w:afterAutospacing="1" w:line="360" w:lineRule="auto"/>
    </w:pPr>
    <w:rPr>
      <w:rFonts w:ascii="Times New Roman" w:hAnsi="Times New Roman" w:eastAsia="宋体" w:cs="Times New Roman"/>
      <w:kern w:val="0"/>
      <w:sz w:val="18"/>
      <w:szCs w:val="18"/>
    </w:rPr>
  </w:style>
  <w:style w:type="paragraph" w:styleId="17">
    <w:name w:val="footer"/>
    <w:basedOn w:val="1"/>
    <w:link w:val="38"/>
    <w:qFormat/>
    <w:uiPriority w:val="99"/>
    <w:pPr>
      <w:tabs>
        <w:tab w:val="center" w:pos="4153"/>
        <w:tab w:val="right" w:pos="8306"/>
      </w:tabs>
      <w:snapToGrid w:val="0"/>
      <w:jc w:val="left"/>
    </w:pPr>
    <w:rPr>
      <w:sz w:val="18"/>
      <w:szCs w:val="18"/>
    </w:rPr>
  </w:style>
  <w:style w:type="paragraph" w:styleId="18">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widowControl/>
      <w:tabs>
        <w:tab w:val="right" w:leader="dot" w:pos="9061"/>
      </w:tabs>
      <w:spacing w:before="100" w:beforeLines="100" w:after="100" w:afterLines="50"/>
      <w:jc w:val="center"/>
    </w:pPr>
    <w:rPr>
      <w:rFonts w:ascii="黑体" w:hAnsi="黑体" w:eastAsia="黑体" w:cs="黑体"/>
      <w:kern w:val="0"/>
      <w:sz w:val="30"/>
      <w:szCs w:val="30"/>
    </w:rPr>
  </w:style>
  <w:style w:type="paragraph" w:styleId="20">
    <w:name w:val="Body Text Indent 3"/>
    <w:basedOn w:val="1"/>
    <w:link w:val="54"/>
    <w:qFormat/>
    <w:uiPriority w:val="99"/>
    <w:pPr>
      <w:spacing w:before="100" w:beforeAutospacing="1" w:after="120" w:afterAutospacing="1" w:line="360" w:lineRule="auto"/>
      <w:ind w:left="420" w:leftChars="200"/>
    </w:pPr>
    <w:rPr>
      <w:rFonts w:ascii="Times New Roman" w:hAnsi="Times New Roman" w:eastAsia="宋体" w:cs="Times New Roman"/>
      <w:kern w:val="0"/>
      <w:sz w:val="16"/>
      <w:szCs w:val="16"/>
    </w:rPr>
  </w:style>
  <w:style w:type="paragraph" w:styleId="21">
    <w:name w:val="toc 2"/>
    <w:basedOn w:val="1"/>
    <w:next w:val="1"/>
    <w:qFormat/>
    <w:uiPriority w:val="99"/>
    <w:pPr>
      <w:widowControl/>
      <w:tabs>
        <w:tab w:val="right" w:leader="dot" w:pos="9061"/>
      </w:tabs>
      <w:spacing w:before="100" w:beforeLines="50" w:after="100" w:afterLines="50" w:line="300" w:lineRule="exact"/>
      <w:ind w:left="221"/>
      <w:jc w:val="left"/>
    </w:pPr>
    <w:rPr>
      <w:rFonts w:ascii="黑体" w:hAnsi="黑体" w:eastAsia="黑体" w:cs="黑体"/>
      <w:kern w:val="0"/>
      <w:sz w:val="24"/>
    </w:rPr>
  </w:style>
  <w:style w:type="paragraph" w:styleId="22">
    <w:name w:val="Normal (Web)"/>
    <w:basedOn w:val="1"/>
    <w:qFormat/>
    <w:uiPriority w:val="99"/>
    <w:rPr>
      <w:sz w:val="24"/>
    </w:rPr>
  </w:style>
  <w:style w:type="paragraph" w:styleId="23">
    <w:name w:val="Title"/>
    <w:basedOn w:val="1"/>
    <w:next w:val="1"/>
    <w:link w:val="72"/>
    <w:qFormat/>
    <w:uiPriority w:val="99"/>
    <w:pPr>
      <w:spacing w:before="240" w:after="60"/>
      <w:jc w:val="center"/>
      <w:outlineLvl w:val="0"/>
    </w:pPr>
    <w:rPr>
      <w:rFonts w:ascii="Cambria" w:hAnsi="Cambria"/>
      <w:b/>
      <w:bCs/>
      <w:sz w:val="32"/>
      <w:szCs w:val="32"/>
    </w:rPr>
  </w:style>
  <w:style w:type="paragraph" w:styleId="24">
    <w:name w:val="annotation subject"/>
    <w:basedOn w:val="10"/>
    <w:next w:val="10"/>
    <w:link w:val="56"/>
    <w:qFormat/>
    <w:uiPriority w:val="99"/>
    <w:pPr>
      <w:spacing w:before="100" w:beforeAutospacing="1" w:after="100" w:afterAutospacing="1" w:line="360" w:lineRule="auto"/>
    </w:pPr>
    <w:rPr>
      <w:rFonts w:ascii="Times New Roman" w:hAnsi="Times New Roman" w:eastAsia="宋体" w:cs="Times New Roman"/>
      <w:b/>
      <w:bCs/>
      <w:kern w:val="0"/>
      <w:sz w:val="20"/>
      <w:szCs w:val="20"/>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99"/>
    <w:rPr>
      <w:b/>
      <w:bCs/>
    </w:rPr>
  </w:style>
  <w:style w:type="character" w:styleId="29">
    <w:name w:val="page number"/>
    <w:basedOn w:val="27"/>
    <w:qFormat/>
    <w:uiPriority w:val="99"/>
  </w:style>
  <w:style w:type="character" w:styleId="30">
    <w:name w:val="Hyperlink"/>
    <w:basedOn w:val="27"/>
    <w:qFormat/>
    <w:uiPriority w:val="99"/>
    <w:rPr>
      <w:color w:val="333333"/>
      <w:u w:val="none"/>
    </w:rPr>
  </w:style>
  <w:style w:type="character" w:styleId="31">
    <w:name w:val="annotation reference"/>
    <w:qFormat/>
    <w:uiPriority w:val="99"/>
    <w:rPr>
      <w:sz w:val="21"/>
      <w:szCs w:val="21"/>
    </w:rPr>
  </w:style>
  <w:style w:type="paragraph" w:customStyle="1" w:styleId="32">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33">
    <w:name w:val="样式3"/>
    <w:basedOn w:val="13"/>
    <w:qFormat/>
    <w:uiPriority w:val="0"/>
    <w:pPr>
      <w:spacing w:line="0" w:lineRule="atLeast"/>
      <w:outlineLvl w:val="0"/>
    </w:pPr>
    <w:rPr>
      <w:sz w:val="28"/>
    </w:rPr>
  </w:style>
  <w:style w:type="paragraph" w:customStyle="1" w:styleId="34">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5">
    <w:name w:val="正文_1_1"/>
    <w:qFormat/>
    <w:uiPriority w:val="0"/>
    <w:rPr>
      <w:rFonts w:eastAsia="宋体" w:asciiTheme="minorHAnsi" w:hAnsiTheme="minorHAnsi" w:cstheme="minorBidi"/>
      <w:sz w:val="24"/>
      <w:szCs w:val="24"/>
      <w:lang w:val="en-US" w:eastAsia="zh-CN" w:bidi="ar-SA"/>
    </w:rPr>
  </w:style>
  <w:style w:type="paragraph" w:customStyle="1" w:styleId="36">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37">
    <w:name w:val="页眉 字符"/>
    <w:basedOn w:val="27"/>
    <w:link w:val="18"/>
    <w:qFormat/>
    <w:uiPriority w:val="99"/>
    <w:rPr>
      <w:kern w:val="2"/>
      <w:sz w:val="18"/>
      <w:szCs w:val="18"/>
    </w:rPr>
  </w:style>
  <w:style w:type="character" w:customStyle="1" w:styleId="38">
    <w:name w:val="页脚 字符"/>
    <w:basedOn w:val="27"/>
    <w:link w:val="17"/>
    <w:qFormat/>
    <w:uiPriority w:val="99"/>
    <w:rPr>
      <w:kern w:val="2"/>
      <w:sz w:val="18"/>
      <w:szCs w:val="18"/>
    </w:rPr>
  </w:style>
  <w:style w:type="character" w:customStyle="1" w:styleId="39">
    <w:name w:val="纯文本 字符"/>
    <w:basedOn w:val="27"/>
    <w:link w:val="13"/>
    <w:qFormat/>
    <w:uiPriority w:val="99"/>
    <w:rPr>
      <w:rFonts w:ascii="宋体" w:hAnsi="Courier New"/>
      <w:kern w:val="2"/>
      <w:sz w:val="21"/>
    </w:rPr>
  </w:style>
  <w:style w:type="character" w:customStyle="1" w:styleId="40">
    <w:name w:val="正文文本缩进 2 字符"/>
    <w:basedOn w:val="27"/>
    <w:link w:val="15"/>
    <w:qFormat/>
    <w:uiPriority w:val="0"/>
    <w:rPr>
      <w:kern w:val="2"/>
      <w:sz w:val="21"/>
      <w:szCs w:val="24"/>
    </w:rPr>
  </w:style>
  <w:style w:type="paragraph" w:customStyle="1" w:styleId="41">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42">
    <w:name w:val="p0"/>
    <w:basedOn w:val="1"/>
    <w:qFormat/>
    <w:uiPriority w:val="0"/>
    <w:pPr>
      <w:widowControl/>
    </w:pPr>
    <w:rPr>
      <w:kern w:val="0"/>
      <w:szCs w:val="21"/>
    </w:rPr>
  </w:style>
  <w:style w:type="paragraph" w:customStyle="1" w:styleId="43">
    <w:name w:val="msolistparagraph"/>
    <w:basedOn w:val="1"/>
    <w:qFormat/>
    <w:uiPriority w:val="0"/>
    <w:pPr>
      <w:ind w:firstLine="420" w:firstLineChars="200"/>
    </w:pPr>
    <w:rPr>
      <w:rFonts w:ascii="Calibri" w:hAnsi="Calibri" w:eastAsia="宋体" w:cs="Times New Roman"/>
      <w:szCs w:val="21"/>
    </w:rPr>
  </w:style>
  <w:style w:type="paragraph" w:customStyle="1" w:styleId="44">
    <w:name w:val="Normal_22"/>
    <w:qFormat/>
    <w:uiPriority w:val="0"/>
    <w:rPr>
      <w:rFonts w:ascii="Times New Roman" w:hAnsi="Times New Roman" w:eastAsia="宋体" w:cs="Times New Roman"/>
      <w:sz w:val="21"/>
      <w:lang w:val="en-US" w:eastAsia="zh-CN" w:bidi="ar-SA"/>
    </w:rPr>
  </w:style>
  <w:style w:type="character" w:customStyle="1" w:styleId="45">
    <w:name w:val="p141"/>
    <w:qFormat/>
    <w:uiPriority w:val="0"/>
    <w:rPr>
      <w:sz w:val="21"/>
      <w:szCs w:val="21"/>
    </w:rPr>
  </w:style>
  <w:style w:type="paragraph" w:customStyle="1" w:styleId="46">
    <w:name w:val="纯文本_0_0"/>
    <w:basedOn w:val="47"/>
    <w:unhideWhenUsed/>
    <w:qFormat/>
    <w:uiPriority w:val="0"/>
    <w:pPr>
      <w:widowControl/>
      <w:jc w:val="left"/>
    </w:pPr>
    <w:rPr>
      <w:rFonts w:ascii="宋体" w:hAnsi="Courier New"/>
      <w:kern w:val="0"/>
      <w:sz w:val="20"/>
      <w:szCs w:val="21"/>
    </w:rPr>
  </w:style>
  <w:style w:type="paragraph" w:customStyle="1" w:styleId="4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列出段落11"/>
    <w:basedOn w:val="1"/>
    <w:qFormat/>
    <w:uiPriority w:val="99"/>
    <w:pPr>
      <w:ind w:firstLine="420" w:firstLineChars="200"/>
    </w:pPr>
  </w:style>
  <w:style w:type="character" w:customStyle="1" w:styleId="49">
    <w:name w:val="正文文本 字符"/>
    <w:basedOn w:val="27"/>
    <w:link w:val="11"/>
    <w:qFormat/>
    <w:uiPriority w:val="99"/>
    <w:rPr>
      <w:rFonts w:asciiTheme="minorHAnsi" w:hAnsiTheme="minorHAnsi" w:eastAsiaTheme="minorEastAsia" w:cstheme="minorBidi"/>
      <w:kern w:val="2"/>
      <w:sz w:val="24"/>
      <w:szCs w:val="24"/>
    </w:rPr>
  </w:style>
  <w:style w:type="character" w:customStyle="1" w:styleId="50">
    <w:name w:val="标题 1 字符"/>
    <w:basedOn w:val="27"/>
    <w:link w:val="4"/>
    <w:qFormat/>
    <w:uiPriority w:val="99"/>
    <w:rPr>
      <w:rFonts w:eastAsia="方正小标宋简体"/>
      <w:kern w:val="44"/>
      <w:sz w:val="32"/>
      <w:szCs w:val="32"/>
    </w:rPr>
  </w:style>
  <w:style w:type="character" w:customStyle="1" w:styleId="51">
    <w:name w:val="文档结构图 字符"/>
    <w:basedOn w:val="27"/>
    <w:link w:val="9"/>
    <w:qFormat/>
    <w:uiPriority w:val="99"/>
    <w:rPr>
      <w:rFonts w:ascii="宋体" w:cs="宋体"/>
      <w:sz w:val="18"/>
      <w:szCs w:val="18"/>
    </w:rPr>
  </w:style>
  <w:style w:type="character" w:customStyle="1" w:styleId="52">
    <w:name w:val="日期 字符"/>
    <w:basedOn w:val="27"/>
    <w:link w:val="14"/>
    <w:qFormat/>
    <w:uiPriority w:val="99"/>
    <w:rPr>
      <w:rFonts w:ascii="Calibri" w:hAnsi="Calibri" w:cs="Calibri"/>
      <w:kern w:val="2"/>
      <w:sz w:val="21"/>
      <w:szCs w:val="21"/>
    </w:rPr>
  </w:style>
  <w:style w:type="character" w:customStyle="1" w:styleId="53">
    <w:name w:val="批注框文本 字符"/>
    <w:basedOn w:val="27"/>
    <w:link w:val="16"/>
    <w:qFormat/>
    <w:uiPriority w:val="99"/>
    <w:rPr>
      <w:sz w:val="18"/>
      <w:szCs w:val="18"/>
    </w:rPr>
  </w:style>
  <w:style w:type="character" w:customStyle="1" w:styleId="54">
    <w:name w:val="正文文本缩进 3 字符"/>
    <w:basedOn w:val="27"/>
    <w:link w:val="20"/>
    <w:qFormat/>
    <w:uiPriority w:val="99"/>
    <w:rPr>
      <w:sz w:val="16"/>
      <w:szCs w:val="16"/>
    </w:rPr>
  </w:style>
  <w:style w:type="character" w:customStyle="1" w:styleId="55">
    <w:name w:val="批注文字 字符"/>
    <w:basedOn w:val="27"/>
    <w:link w:val="10"/>
    <w:qFormat/>
    <w:uiPriority w:val="99"/>
    <w:rPr>
      <w:rFonts w:asciiTheme="minorHAnsi" w:hAnsiTheme="minorHAnsi" w:eastAsiaTheme="minorEastAsia" w:cstheme="minorBidi"/>
      <w:kern w:val="2"/>
      <w:sz w:val="21"/>
      <w:szCs w:val="24"/>
    </w:rPr>
  </w:style>
  <w:style w:type="character" w:customStyle="1" w:styleId="56">
    <w:name w:val="批注主题 字符"/>
    <w:basedOn w:val="55"/>
    <w:link w:val="24"/>
    <w:qFormat/>
    <w:uiPriority w:val="99"/>
    <w:rPr>
      <w:rFonts w:asciiTheme="minorHAnsi" w:hAnsiTheme="minorHAnsi" w:eastAsiaTheme="minorEastAsia" w:cstheme="minorBidi"/>
      <w:b/>
      <w:bCs/>
      <w:kern w:val="2"/>
      <w:sz w:val="21"/>
      <w:szCs w:val="24"/>
    </w:rPr>
  </w:style>
  <w:style w:type="paragraph" w:customStyle="1" w:styleId="57">
    <w:name w:val="列出段落1"/>
    <w:basedOn w:val="1"/>
    <w:qFormat/>
    <w:uiPriority w:val="99"/>
    <w:pPr>
      <w:spacing w:before="100" w:beforeAutospacing="1" w:after="100" w:afterAutospacing="1" w:line="360" w:lineRule="auto"/>
      <w:ind w:firstLine="420" w:firstLineChars="200"/>
    </w:pPr>
    <w:rPr>
      <w:rFonts w:ascii="Times New Roman" w:hAnsi="Times New Roman" w:eastAsia="宋体" w:cs="Times New Roman"/>
      <w:szCs w:val="21"/>
    </w:rPr>
  </w:style>
  <w:style w:type="paragraph" w:customStyle="1" w:styleId="58">
    <w:name w:val="Char1 Char Char Char Char Char Char"/>
    <w:basedOn w:val="1"/>
    <w:qFormat/>
    <w:uiPriority w:val="99"/>
    <w:pPr>
      <w:widowControl/>
      <w:spacing w:before="100" w:beforeAutospacing="1" w:after="160" w:afterAutospacing="1" w:line="240" w:lineRule="exact"/>
      <w:jc w:val="left"/>
    </w:pPr>
    <w:rPr>
      <w:rFonts w:ascii="Verdana" w:hAnsi="Verdana" w:eastAsia="宋体" w:cs="Verdana"/>
      <w:kern w:val="0"/>
      <w:sz w:val="20"/>
      <w:szCs w:val="20"/>
      <w:lang w:eastAsia="en-US"/>
    </w:rPr>
  </w:style>
  <w:style w:type="paragraph" w:customStyle="1" w:styleId="59">
    <w:name w:val="Char1"/>
    <w:basedOn w:val="1"/>
    <w:qFormat/>
    <w:uiPriority w:val="99"/>
    <w:pPr>
      <w:widowControl/>
      <w:snapToGrid w:val="0"/>
      <w:spacing w:before="100" w:beforeAutospacing="1" w:after="100" w:afterAutospacing="1" w:line="360" w:lineRule="auto"/>
      <w:ind w:left="-3" w:right="-28" w:rightChars="-10"/>
    </w:pPr>
    <w:rPr>
      <w:rFonts w:ascii="Tahoma" w:hAnsi="Tahoma" w:eastAsia="宋体" w:cs="Tahoma"/>
      <w:sz w:val="24"/>
    </w:rPr>
  </w:style>
  <w:style w:type="paragraph" w:customStyle="1" w:styleId="60">
    <w:name w:val="样式 标题 5 + 右侧:  -0.18 字符"/>
    <w:basedOn w:val="1"/>
    <w:qFormat/>
    <w:uiPriority w:val="99"/>
    <w:pPr>
      <w:tabs>
        <w:tab w:val="left" w:pos="1008"/>
      </w:tabs>
      <w:spacing w:before="100" w:beforeAutospacing="1" w:after="100" w:afterAutospacing="1" w:line="360" w:lineRule="auto"/>
      <w:ind w:left="2108" w:hanging="420"/>
    </w:pPr>
    <w:rPr>
      <w:rFonts w:ascii="Times New Roman" w:hAnsi="Times New Roman" w:eastAsia="宋体" w:cs="Times New Roman"/>
      <w:szCs w:val="21"/>
    </w:rPr>
  </w:style>
  <w:style w:type="paragraph" w:customStyle="1" w:styleId="61">
    <w:name w:val="TOC 标题1"/>
    <w:basedOn w:val="4"/>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62">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1"/>
      <w:lang w:val="en-US" w:eastAsia="zh-CN" w:bidi="ar-SA"/>
    </w:rPr>
  </w:style>
  <w:style w:type="paragraph" w:customStyle="1" w:styleId="63">
    <w:name w:val="TOC 标题11"/>
    <w:basedOn w:val="4"/>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64">
    <w:name w:val="样式 标题 2 + Times New Roman 四号 非加粗 段前: 5 磅 段后: 0 磅 行距: 固定值 20..."/>
    <w:basedOn w:val="5"/>
    <w:qFormat/>
    <w:uiPriority w:val="99"/>
    <w:pPr>
      <w:numPr>
        <w:ilvl w:val="0"/>
        <w:numId w:val="0"/>
      </w:numPr>
      <w:spacing w:before="100" w:after="0" w:line="400" w:lineRule="exact"/>
      <w:jc w:val="both"/>
    </w:pPr>
    <w:rPr>
      <w:rFonts w:ascii="Times New Roman" w:hAnsi="Times New Roman" w:eastAsia="黑体" w:cs="Times New Roman"/>
      <w:sz w:val="28"/>
      <w:szCs w:val="28"/>
    </w:rPr>
  </w:style>
  <w:style w:type="paragraph" w:customStyle="1" w:styleId="65">
    <w:name w:val="列出段落2"/>
    <w:basedOn w:val="1"/>
    <w:qFormat/>
    <w:uiPriority w:val="99"/>
    <w:pPr>
      <w:spacing w:before="100" w:beforeAutospacing="1" w:after="100" w:afterAutospacing="1" w:line="360" w:lineRule="auto"/>
      <w:ind w:firstLine="420" w:firstLineChars="200"/>
    </w:pPr>
    <w:rPr>
      <w:rFonts w:ascii="Times New Roman" w:hAnsi="Times New Roman" w:eastAsia="宋体" w:cs="Times New Roman"/>
      <w:szCs w:val="21"/>
    </w:rPr>
  </w:style>
  <w:style w:type="paragraph" w:customStyle="1" w:styleId="66">
    <w:name w:val="Char"/>
    <w:basedOn w:val="1"/>
    <w:qFormat/>
    <w:uiPriority w:val="99"/>
    <w:rPr>
      <w:rFonts w:ascii="Times New Roman" w:hAnsi="Times New Roman" w:eastAsia="宋体" w:cs="Times New Roman"/>
      <w:szCs w:val="21"/>
    </w:rPr>
  </w:style>
  <w:style w:type="paragraph" w:customStyle="1" w:styleId="67">
    <w:name w:val="列出段落3"/>
    <w:basedOn w:val="1"/>
    <w:qFormat/>
    <w:uiPriority w:val="99"/>
    <w:pPr>
      <w:spacing w:before="100" w:beforeAutospacing="1" w:after="100" w:afterAutospacing="1" w:line="360" w:lineRule="auto"/>
      <w:ind w:firstLine="420" w:firstLineChars="200"/>
    </w:pPr>
    <w:rPr>
      <w:rFonts w:ascii="Times New Roman" w:hAnsi="Times New Roman" w:eastAsia="宋体" w:cs="Times New Roman"/>
      <w:szCs w:val="21"/>
    </w:rPr>
  </w:style>
  <w:style w:type="paragraph" w:customStyle="1" w:styleId="68">
    <w:name w:val="_Style 2"/>
    <w:basedOn w:val="1"/>
    <w:qFormat/>
    <w:uiPriority w:val="99"/>
    <w:pPr>
      <w:spacing w:before="100" w:beforeAutospacing="1" w:after="100" w:afterAutospacing="1" w:line="360" w:lineRule="auto"/>
      <w:ind w:firstLine="420" w:firstLineChars="200"/>
    </w:pPr>
    <w:rPr>
      <w:rFonts w:ascii="Times New Roman" w:hAnsi="Times New Roman" w:eastAsia="宋体" w:cs="Times New Roman"/>
      <w:szCs w:val="21"/>
    </w:rPr>
  </w:style>
  <w:style w:type="character" w:customStyle="1" w:styleId="69">
    <w:name w:val="标题 2 字符"/>
    <w:link w:val="5"/>
    <w:qFormat/>
    <w:locked/>
    <w:uiPriority w:val="9"/>
    <w:rPr>
      <w:rFonts w:ascii="CG Times" w:hAnsi="CG Times" w:cs="宋体" w:eastAsiaTheme="minorEastAsia"/>
      <w:kern w:val="2"/>
      <w:sz w:val="30"/>
    </w:rPr>
  </w:style>
  <w:style w:type="character" w:customStyle="1" w:styleId="70">
    <w:name w:val="标题 3 字符"/>
    <w:link w:val="6"/>
    <w:qFormat/>
    <w:locked/>
    <w:uiPriority w:val="99"/>
    <w:rPr>
      <w:rFonts w:ascii="宋体" w:cs="宋体" w:hAnsiTheme="minorHAnsi" w:eastAsiaTheme="minorEastAsia"/>
      <w:kern w:val="2"/>
      <w:sz w:val="21"/>
      <w:szCs w:val="24"/>
    </w:rPr>
  </w:style>
  <w:style w:type="character" w:customStyle="1" w:styleId="71">
    <w:name w:val="正文文本缩进 字符"/>
    <w:link w:val="3"/>
    <w:qFormat/>
    <w:locked/>
    <w:uiPriority w:val="99"/>
    <w:rPr>
      <w:rFonts w:eastAsia="方正书宋简体" w:asciiTheme="minorHAnsi" w:hAnsiTheme="minorHAnsi" w:cstheme="minorBidi"/>
      <w:sz w:val="24"/>
    </w:rPr>
  </w:style>
  <w:style w:type="character" w:customStyle="1" w:styleId="72">
    <w:name w:val="标题 字符"/>
    <w:link w:val="23"/>
    <w:qFormat/>
    <w:locked/>
    <w:uiPriority w:val="99"/>
    <w:rPr>
      <w:rFonts w:ascii="Cambria" w:hAnsi="Cambria" w:eastAsiaTheme="minorEastAsia" w:cstheme="minorBidi"/>
      <w:b/>
      <w:bCs/>
      <w:kern w:val="2"/>
      <w:sz w:val="32"/>
      <w:szCs w:val="32"/>
    </w:rPr>
  </w:style>
  <w:style w:type="character" w:customStyle="1" w:styleId="73">
    <w:name w:val="正文缩进 字符"/>
    <w:link w:val="7"/>
    <w:qFormat/>
    <w:locked/>
    <w:uiPriority w:val="99"/>
    <w:rPr>
      <w:rFonts w:asciiTheme="minorHAnsi" w:hAnsiTheme="minorHAnsi" w:eastAsiaTheme="minorEastAsia" w:cstheme="minorBidi"/>
      <w:kern w:val="2"/>
      <w:sz w:val="21"/>
    </w:rPr>
  </w:style>
  <w:style w:type="character" w:customStyle="1" w:styleId="74">
    <w:name w:val="标题 Char1"/>
    <w:qFormat/>
    <w:uiPriority w:val="99"/>
    <w:rPr>
      <w:rFonts w:ascii="Cambria" w:hAnsi="Cambria" w:eastAsia="宋体" w:cs="Cambria"/>
      <w:b/>
      <w:bCs/>
      <w:sz w:val="32"/>
      <w:szCs w:val="32"/>
    </w:rPr>
  </w:style>
  <w:style w:type="character" w:customStyle="1" w:styleId="75">
    <w:name w:val="Char Char"/>
    <w:qFormat/>
    <w:uiPriority w:val="99"/>
    <w:rPr>
      <w:rFonts w:ascii="Cambria" w:hAnsi="Cambria" w:eastAsia="宋体" w:cs="Cambria"/>
      <w:b/>
      <w:bCs/>
      <w:sz w:val="32"/>
      <w:szCs w:val="32"/>
    </w:rPr>
  </w:style>
  <w:style w:type="character" w:customStyle="1" w:styleId="76">
    <w:name w:val="表正文 Char2"/>
    <w:qFormat/>
    <w:uiPriority w:val="99"/>
    <w:rPr>
      <w:rFonts w:ascii="Times New Roman" w:hAnsi="Times New Roman" w:eastAsia="宋体" w:cs="Times New Roman"/>
      <w:kern w:val="0"/>
      <w:sz w:val="24"/>
      <w:szCs w:val="24"/>
    </w:rPr>
  </w:style>
  <w:style w:type="character" w:customStyle="1" w:styleId="77">
    <w:name w:val="font61"/>
    <w:qFormat/>
    <w:uiPriority w:val="99"/>
    <w:rPr>
      <w:rFonts w:ascii="宋体" w:hAnsi="宋体" w:eastAsia="宋体" w:cs="宋体"/>
      <w:color w:val="000000"/>
      <w:sz w:val="20"/>
      <w:szCs w:val="20"/>
      <w:u w:val="none"/>
    </w:rPr>
  </w:style>
  <w:style w:type="character" w:customStyle="1" w:styleId="78">
    <w:name w:val="font11"/>
    <w:basedOn w:val="27"/>
    <w:qFormat/>
    <w:uiPriority w:val="99"/>
    <w:rPr>
      <w:rFonts w:ascii="宋体" w:hAnsi="宋体" w:eastAsia="宋体" w:cs="宋体"/>
      <w:color w:val="000000"/>
      <w:sz w:val="20"/>
      <w:szCs w:val="20"/>
      <w:u w:val="none"/>
    </w:rPr>
  </w:style>
  <w:style w:type="character" w:customStyle="1" w:styleId="79">
    <w:name w:val="font41"/>
    <w:qFormat/>
    <w:uiPriority w:val="99"/>
    <w:rPr>
      <w:rFonts w:ascii="宋体" w:hAnsi="宋体" w:eastAsia="宋体" w:cs="宋体"/>
      <w:color w:val="000000"/>
      <w:sz w:val="20"/>
      <w:szCs w:val="20"/>
      <w:u w:val="none"/>
    </w:rPr>
  </w:style>
  <w:style w:type="character" w:customStyle="1" w:styleId="80">
    <w:name w:val="font01"/>
    <w:basedOn w:val="27"/>
    <w:qFormat/>
    <w:uiPriority w:val="99"/>
    <w:rPr>
      <w:rFonts w:ascii="宋体" w:hAnsi="宋体" w:eastAsia="宋体" w:cs="宋体"/>
      <w:b/>
      <w:bCs/>
      <w:color w:val="000000"/>
      <w:sz w:val="20"/>
      <w:szCs w:val="20"/>
      <w:u w:val="none"/>
    </w:rPr>
  </w:style>
  <w:style w:type="character" w:customStyle="1" w:styleId="81">
    <w:name w:val="font31"/>
    <w:basedOn w:val="27"/>
    <w:qFormat/>
    <w:uiPriority w:val="99"/>
    <w:rPr>
      <w:rFonts w:ascii="宋体" w:hAnsi="宋体" w:eastAsia="宋体" w:cs="宋体"/>
      <w:color w:val="000000"/>
      <w:sz w:val="20"/>
      <w:szCs w:val="20"/>
      <w:u w:val="none"/>
    </w:rPr>
  </w:style>
  <w:style w:type="character" w:customStyle="1" w:styleId="82">
    <w:name w:val="未处理的提及1"/>
    <w:semiHidden/>
    <w:unhideWhenUsed/>
    <w:qFormat/>
    <w:uiPriority w:val="99"/>
    <w:rPr>
      <w:color w:val="605E5C"/>
      <w:shd w:val="clear" w:color="auto" w:fill="E1DFDD"/>
    </w:rPr>
  </w:style>
  <w:style w:type="character" w:customStyle="1" w:styleId="83">
    <w:name w:val="明显强调1"/>
    <w:qFormat/>
    <w:uiPriority w:val="21"/>
    <w:rPr>
      <w:i/>
      <w:iCs/>
      <w:color w:val="4F81BD"/>
    </w:rPr>
  </w:style>
  <w:style w:type="character" w:customStyle="1" w:styleId="84">
    <w:name w:val="font181"/>
    <w:basedOn w:val="27"/>
    <w:qFormat/>
    <w:uiPriority w:val="0"/>
    <w:rPr>
      <w:rFonts w:hint="eastAsia" w:ascii="宋体" w:hAnsi="宋体" w:eastAsia="宋体" w:cs="宋体"/>
      <w:b/>
      <w:color w:val="000000"/>
      <w:sz w:val="36"/>
      <w:szCs w:val="36"/>
      <w:u w:val="none"/>
    </w:rPr>
  </w:style>
  <w:style w:type="character" w:customStyle="1" w:styleId="85">
    <w:name w:val="font111"/>
    <w:basedOn w:val="27"/>
    <w:qFormat/>
    <w:uiPriority w:val="0"/>
    <w:rPr>
      <w:rFonts w:hint="eastAsia" w:ascii="仿宋" w:hAnsi="仿宋" w:eastAsia="仿宋" w:cs="仿宋"/>
      <w:color w:val="000000"/>
      <w:sz w:val="24"/>
      <w:szCs w:val="24"/>
      <w:u w:val="none"/>
    </w:rPr>
  </w:style>
  <w:style w:type="character" w:customStyle="1" w:styleId="86">
    <w:name w:val="font201"/>
    <w:basedOn w:val="27"/>
    <w:qFormat/>
    <w:uiPriority w:val="0"/>
    <w:rPr>
      <w:rFonts w:ascii="宋体" w:hAnsi="宋体" w:eastAsia="宋体" w:cs="宋体"/>
      <w:color w:val="000000"/>
      <w:sz w:val="24"/>
      <w:szCs w:val="24"/>
      <w:u w:val="none"/>
    </w:rPr>
  </w:style>
  <w:style w:type="character" w:customStyle="1" w:styleId="87">
    <w:name w:val="font191"/>
    <w:basedOn w:val="27"/>
    <w:qFormat/>
    <w:uiPriority w:val="0"/>
    <w:rPr>
      <w:rFonts w:ascii="Arial" w:hAnsi="Arial" w:cs="Arial"/>
      <w:color w:val="000000"/>
      <w:sz w:val="24"/>
      <w:szCs w:val="24"/>
      <w:u w:val="none"/>
    </w:rPr>
  </w:style>
  <w:style w:type="character" w:customStyle="1" w:styleId="88">
    <w:name w:val="font101"/>
    <w:basedOn w:val="27"/>
    <w:qFormat/>
    <w:uiPriority w:val="0"/>
    <w:rPr>
      <w:rFonts w:hint="eastAsia" w:ascii="仿宋" w:hAnsi="仿宋" w:eastAsia="仿宋" w:cs="仿宋"/>
      <w:color w:val="FF0000"/>
      <w:sz w:val="24"/>
      <w:szCs w:val="24"/>
      <w:u w:val="none"/>
    </w:rPr>
  </w:style>
  <w:style w:type="character" w:customStyle="1" w:styleId="89">
    <w:name w:val="font71"/>
    <w:basedOn w:val="27"/>
    <w:qFormat/>
    <w:uiPriority w:val="0"/>
    <w:rPr>
      <w:rFonts w:hint="eastAsia" w:ascii="仿宋" w:hAnsi="仿宋" w:eastAsia="仿宋" w:cs="仿宋"/>
      <w:color w:val="000000"/>
      <w:sz w:val="24"/>
      <w:szCs w:val="24"/>
      <w:u w:val="none"/>
    </w:rPr>
  </w:style>
  <w:style w:type="character" w:customStyle="1" w:styleId="90">
    <w:name w:val="font171"/>
    <w:basedOn w:val="27"/>
    <w:qFormat/>
    <w:uiPriority w:val="0"/>
    <w:rPr>
      <w:rFonts w:hint="default" w:ascii="Arial" w:hAnsi="Arial" w:cs="Arial"/>
      <w:color w:val="000000"/>
      <w:sz w:val="24"/>
      <w:szCs w:val="24"/>
      <w:u w:val="none"/>
    </w:rPr>
  </w:style>
  <w:style w:type="character" w:customStyle="1" w:styleId="91">
    <w:name w:val="font122"/>
    <w:basedOn w:val="27"/>
    <w:qFormat/>
    <w:uiPriority w:val="0"/>
    <w:rPr>
      <w:rFonts w:hint="eastAsia" w:ascii="宋体" w:hAnsi="宋体" w:eastAsia="宋体" w:cs="宋体"/>
      <w:color w:val="000000"/>
      <w:sz w:val="24"/>
      <w:szCs w:val="24"/>
      <w:u w:val="none"/>
    </w:rPr>
  </w:style>
  <w:style w:type="character" w:customStyle="1" w:styleId="92">
    <w:name w:val="font81"/>
    <w:basedOn w:val="27"/>
    <w:qFormat/>
    <w:uiPriority w:val="0"/>
    <w:rPr>
      <w:rFonts w:ascii="宋体" w:hAnsi="宋体" w:eastAsia="宋体" w:cs="宋体"/>
      <w:color w:val="000000"/>
      <w:sz w:val="24"/>
      <w:szCs w:val="24"/>
      <w:u w:val="none"/>
    </w:rPr>
  </w:style>
  <w:style w:type="character" w:customStyle="1" w:styleId="93">
    <w:name w:val="font121"/>
    <w:basedOn w:val="27"/>
    <w:qFormat/>
    <w:uiPriority w:val="0"/>
    <w:rPr>
      <w:rFonts w:ascii="Arial" w:hAnsi="Arial" w:cs="Arial"/>
      <w:color w:val="000000"/>
      <w:sz w:val="24"/>
      <w:szCs w:val="24"/>
      <w:u w:val="none"/>
    </w:rPr>
  </w:style>
  <w:style w:type="character" w:customStyle="1" w:styleId="94">
    <w:name w:val="font131"/>
    <w:basedOn w:val="27"/>
    <w:qFormat/>
    <w:uiPriority w:val="0"/>
    <w:rPr>
      <w:rFonts w:hint="eastAsia" w:ascii="宋体" w:hAnsi="宋体" w:eastAsia="宋体" w:cs="宋体"/>
      <w:b/>
      <w:color w:val="000000"/>
      <w:sz w:val="36"/>
      <w:szCs w:val="36"/>
      <w:u w:val="none"/>
    </w:rPr>
  </w:style>
  <w:style w:type="character" w:customStyle="1" w:styleId="95">
    <w:name w:val="font141"/>
    <w:basedOn w:val="27"/>
    <w:qFormat/>
    <w:uiPriority w:val="0"/>
    <w:rPr>
      <w:rFonts w:ascii="宋体" w:hAnsi="宋体" w:eastAsia="宋体" w:cs="宋体"/>
      <w:color w:val="000000"/>
      <w:sz w:val="24"/>
      <w:szCs w:val="24"/>
      <w:u w:val="none"/>
    </w:rPr>
  </w:style>
  <w:style w:type="paragraph" w:customStyle="1" w:styleId="96">
    <w:name w:val="No Spacing"/>
    <w:qFormat/>
    <w:uiPriority w:val="0"/>
    <w:pPr>
      <w:widowControl w:val="0"/>
      <w:jc w:val="both"/>
    </w:pPr>
    <w:rPr>
      <w:rFonts w:ascii="Calibri" w:hAnsi="Calibri" w:eastAsiaTheme="minorEastAsia" w:cstheme="minorBidi"/>
      <w:kern w:val="2"/>
      <w:sz w:val="21"/>
      <w:szCs w:val="22"/>
      <w:lang w:val="en-US" w:eastAsia="zh-CN" w:bidi="ar-SA"/>
    </w:rPr>
  </w:style>
  <w:style w:type="paragraph" w:styleId="9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72A05-53A5-4B44-9E87-548160D82A8F}">
  <ds:schemaRefs/>
</ds:datastoreItem>
</file>

<file path=docProps/app.xml><?xml version="1.0" encoding="utf-8"?>
<Properties xmlns="http://schemas.openxmlformats.org/officeDocument/2006/extended-properties" xmlns:vt="http://schemas.openxmlformats.org/officeDocument/2006/docPropsVTypes">
  <Template>Normal</Template>
  <Pages>81</Pages>
  <Words>9481</Words>
  <Characters>54047</Characters>
  <Lines>450</Lines>
  <Paragraphs>126</Paragraphs>
  <TotalTime>98</TotalTime>
  <ScaleCrop>false</ScaleCrop>
  <LinksUpToDate>false</LinksUpToDate>
  <CharactersWithSpaces>63402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2020-03-30T07:20:00Z</dcterms:created>
  <dc:creator>Administrator</dc:creator>
  <cp:lastModifiedBy>丁丁猫</cp:lastModifiedBy>
  <cp:lastPrinted>2020-08-24T05:53:00Z</cp:lastPrinted>
  <dcterms:modified xsi:type="dcterms:W3CDTF">2020-08-27T08:53:17Z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