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ascii="黑体" w:hAnsi="宋体" w:eastAsia="黑体"/>
          <w:b/>
          <w:color w:val="000000"/>
          <w:spacing w:val="-4"/>
          <w:sz w:val="44"/>
          <w:szCs w:val="44"/>
        </w:rPr>
      </w:pPr>
    </w:p>
    <w:p>
      <w:pPr>
        <w:pStyle w:val="2"/>
        <w:spacing w:line="700" w:lineRule="exact"/>
        <w:rPr>
          <w:rFonts w:ascii="黑体" w:hAnsi="宋体" w:eastAsia="黑体"/>
          <w:b/>
          <w:color w:val="000000"/>
          <w:spacing w:val="-4"/>
          <w:sz w:val="44"/>
          <w:szCs w:val="44"/>
        </w:rPr>
      </w:pPr>
    </w:p>
    <w:p>
      <w:pPr>
        <w:pStyle w:val="2"/>
        <w:spacing w:line="700" w:lineRule="exact"/>
        <w:rPr>
          <w:rFonts w:ascii="黑体" w:hAnsi="宋体" w:eastAsia="黑体"/>
          <w:b/>
          <w:color w:val="000000"/>
          <w:spacing w:val="-4"/>
          <w:sz w:val="44"/>
          <w:szCs w:val="44"/>
        </w:rPr>
      </w:pP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2"/>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360" w:lineRule="auto"/>
        <w:ind w:firstLine="1265" w:firstLineChars="450"/>
        <w:rPr>
          <w:rFonts w:asciiTheme="minorEastAsia" w:hAnsiTheme="minorEastAsia" w:cstheme="minorEastAsia"/>
          <w:b/>
          <w:color w:val="000000"/>
          <w:sz w:val="28"/>
          <w:szCs w:val="28"/>
        </w:rPr>
      </w:pPr>
    </w:p>
    <w:p>
      <w:pPr>
        <w:pStyle w:val="2"/>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560" w:lineRule="exact"/>
        <w:ind w:left="1964" w:leftChars="266"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铜仁一中初级中学篮球场建设项目</w:t>
      </w:r>
      <w:r>
        <w:rPr>
          <w:rFonts w:hint="eastAsia" w:asciiTheme="minorEastAsia" w:hAnsiTheme="minorEastAsia" w:cstheme="minorEastAsia"/>
          <w:b/>
          <w:color w:val="000000"/>
          <w:sz w:val="28"/>
          <w:szCs w:val="28"/>
          <w:lang w:val="en-US" w:eastAsia="zh-CN"/>
        </w:rPr>
        <w:t xml:space="preserve"> </w:t>
      </w:r>
    </w:p>
    <w:p>
      <w:pPr>
        <w:pStyle w:val="2"/>
        <w:spacing w:line="560" w:lineRule="exact"/>
        <w:ind w:firstLine="562" w:firstLineChars="200"/>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TRZFCG-2020-088</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招标方式：竞争性谈判  </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项目类别：</w:t>
      </w:r>
      <w:r>
        <w:rPr>
          <w:rFonts w:hint="eastAsia" w:asciiTheme="minorEastAsia" w:hAnsiTheme="minorEastAsia" w:cstheme="minorEastAsia"/>
          <w:b/>
          <w:color w:val="000000"/>
          <w:sz w:val="28"/>
          <w:szCs w:val="28"/>
          <w:lang w:eastAsia="zh-CN"/>
        </w:rPr>
        <w:t>工程</w:t>
      </w:r>
      <w:r>
        <w:rPr>
          <w:rFonts w:hint="eastAsia" w:asciiTheme="minorEastAsia" w:hAnsiTheme="minorEastAsia" w:cstheme="minorEastAsia"/>
          <w:b/>
          <w:color w:val="000000"/>
          <w:sz w:val="28"/>
          <w:szCs w:val="28"/>
        </w:rPr>
        <w:t>类</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2"/>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2"/>
        </w:numPr>
        <w:spacing w:line="360" w:lineRule="auto"/>
        <w:rPr>
          <w:rFonts w:ascii="宋体" w:hAnsi="宋体"/>
          <w:b/>
          <w:sz w:val="28"/>
          <w:szCs w:val="28"/>
        </w:rPr>
      </w:pPr>
      <w:r>
        <w:rPr>
          <w:rFonts w:hint="eastAsia" w:ascii="宋体" w:hAnsi="宋体"/>
          <w:b/>
          <w:sz w:val="28"/>
          <w:szCs w:val="28"/>
        </w:rPr>
        <w:t>谈判公告</w:t>
      </w:r>
    </w:p>
    <w:p>
      <w:pPr>
        <w:numPr>
          <w:ilvl w:val="0"/>
          <w:numId w:val="2"/>
        </w:numPr>
        <w:spacing w:line="360" w:lineRule="auto"/>
        <w:rPr>
          <w:rFonts w:ascii="宋体" w:hAnsi="宋体"/>
          <w:b/>
          <w:sz w:val="28"/>
          <w:szCs w:val="28"/>
        </w:rPr>
      </w:pPr>
      <w:r>
        <w:rPr>
          <w:rFonts w:hint="eastAsia" w:ascii="宋体" w:hAnsi="宋体"/>
          <w:b/>
          <w:sz w:val="28"/>
          <w:szCs w:val="28"/>
        </w:rPr>
        <w:t>谈判供应商须知</w:t>
      </w:r>
    </w:p>
    <w:p>
      <w:pPr>
        <w:spacing w:line="360" w:lineRule="auto"/>
        <w:rPr>
          <w:rFonts w:ascii="宋体" w:hAnsi="宋体"/>
          <w:b/>
          <w:sz w:val="28"/>
          <w:szCs w:val="28"/>
        </w:rPr>
      </w:pPr>
      <w:r>
        <w:rPr>
          <w:rFonts w:hint="eastAsia" w:ascii="宋体" w:hAnsi="宋体"/>
          <w:b/>
          <w:sz w:val="28"/>
          <w:szCs w:val="28"/>
        </w:rPr>
        <w:t>第三章  谈判供应商须知正文部分</w:t>
      </w:r>
    </w:p>
    <w:p>
      <w:pPr>
        <w:numPr>
          <w:ilvl w:val="0"/>
          <w:numId w:val="2"/>
        </w:numPr>
        <w:spacing w:line="360" w:lineRule="auto"/>
        <w:rPr>
          <w:rFonts w:ascii="宋体" w:hAnsi="宋体"/>
          <w:b/>
          <w:sz w:val="28"/>
          <w:szCs w:val="28"/>
        </w:rPr>
      </w:pPr>
      <w:r>
        <w:rPr>
          <w:rFonts w:hint="eastAsia" w:ascii="宋体" w:hAnsi="宋体"/>
          <w:b/>
          <w:bCs/>
          <w:sz w:val="28"/>
          <w:szCs w:val="28"/>
        </w:rPr>
        <w:t>谈判内容及要求</w:t>
      </w:r>
    </w:p>
    <w:p>
      <w:pPr>
        <w:numPr>
          <w:ilvl w:val="0"/>
          <w:numId w:val="2"/>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2"/>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tabs>
          <w:tab w:val="left" w:pos="2419"/>
        </w:tabs>
        <w:spacing w:line="360" w:lineRule="auto"/>
        <w:jc w:val="left"/>
        <w:rPr>
          <w:rFonts w:ascii="宋体" w:hAnsi="宋体"/>
          <w:b/>
          <w:sz w:val="36"/>
          <w:szCs w:val="36"/>
        </w:rPr>
      </w:pPr>
      <w:r>
        <w:rPr>
          <w:rFonts w:hint="eastAsia" w:ascii="宋体" w:hAnsi="宋体"/>
          <w:b/>
          <w:sz w:val="36"/>
          <w:szCs w:val="36"/>
        </w:rPr>
        <w:tab/>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rPr>
          <w:rFonts w:ascii="宋体" w:hAnsi="宋体"/>
          <w:b/>
          <w:color w:val="000000"/>
          <w:sz w:val="36"/>
          <w:szCs w:val="36"/>
        </w:rPr>
      </w:pPr>
    </w:p>
    <w:p>
      <w:pPr>
        <w:jc w:val="center"/>
        <w:rPr>
          <w:color w:val="000000"/>
          <w:sz w:val="36"/>
          <w:szCs w:val="36"/>
        </w:rPr>
      </w:pPr>
      <w:r>
        <w:rPr>
          <w:rFonts w:hint="eastAsia" w:ascii="宋体" w:hAnsi="宋体"/>
          <w:b/>
          <w:color w:val="000000"/>
          <w:sz w:val="36"/>
          <w:szCs w:val="36"/>
        </w:rPr>
        <w:t>第一章  谈判公告</w:t>
      </w:r>
    </w:p>
    <w:p>
      <w:pPr>
        <w:pStyle w:val="2"/>
        <w:keepNext w:val="0"/>
        <w:keepLines w:val="0"/>
        <w:pageBreakBefore w:val="0"/>
        <w:numPr>
          <w:ilvl w:val="0"/>
          <w:numId w:val="0"/>
        </w:numPr>
        <w:kinsoku/>
        <w:wordWrap/>
        <w:overflowPunct/>
        <w:topLinePunct w:val="0"/>
        <w:autoSpaceDE/>
        <w:autoSpaceDN/>
        <w:bidi w:val="0"/>
        <w:spacing w:line="520" w:lineRule="exact"/>
        <w:ind w:right="0" w:rightChars="0"/>
        <w:textAlignment w:val="auto"/>
        <w:rPr>
          <w:rFonts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lang w:eastAsia="zh-CN"/>
        </w:rPr>
        <w:t>铜仁一中初级中学</w:t>
      </w:r>
      <w:r>
        <w:rPr>
          <w:rFonts w:hint="eastAsia" w:hAnsi="宋体"/>
          <w:color w:val="000000"/>
          <w:sz w:val="24"/>
          <w:szCs w:val="24"/>
        </w:rPr>
        <w:t>委托，对</w:t>
      </w:r>
      <w:r>
        <w:rPr>
          <w:rFonts w:hint="eastAsia" w:asciiTheme="minorEastAsia" w:hAnsiTheme="minorEastAsia" w:cstheme="minorEastAsia"/>
          <w:b/>
          <w:color w:val="000000"/>
          <w:sz w:val="28"/>
          <w:szCs w:val="28"/>
          <w:lang w:eastAsia="zh-CN"/>
        </w:rPr>
        <w:t>铜仁一中初级中学篮球场建设项目</w:t>
      </w:r>
      <w:r>
        <w:rPr>
          <w:rFonts w:hint="eastAsia" w:hAnsi="宋体"/>
          <w:color w:val="000000"/>
          <w:sz w:val="24"/>
          <w:szCs w:val="24"/>
        </w:rPr>
        <w:t>采用竞争性谈判的方式进行采购，欢迎具备投标资质条件的供货商参加投标。</w:t>
      </w:r>
    </w:p>
    <w:p>
      <w:pPr>
        <w:pStyle w:val="2"/>
        <w:keepNext w:val="0"/>
        <w:keepLines w:val="0"/>
        <w:pageBreakBefore w:val="0"/>
        <w:numPr>
          <w:ilvl w:val="0"/>
          <w:numId w:val="3"/>
        </w:numPr>
        <w:kinsoku/>
        <w:wordWrap/>
        <w:overflowPunct/>
        <w:topLinePunct w:val="0"/>
        <w:autoSpaceDE/>
        <w:autoSpaceDN/>
        <w:bidi w:val="0"/>
        <w:spacing w:line="520" w:lineRule="exact"/>
        <w:ind w:right="0" w:rightChars="0" w:firstLine="482" w:firstLineChars="200"/>
        <w:textAlignment w:val="auto"/>
        <w:rPr>
          <w:rFonts w:hint="eastAsia" w:asciiTheme="minorEastAsia" w:hAnsiTheme="minorEastAsia" w:cstheme="minorEastAsia"/>
          <w:b/>
          <w:color w:val="000000"/>
          <w:sz w:val="28"/>
          <w:szCs w:val="28"/>
        </w:rPr>
      </w:pPr>
      <w:r>
        <w:rPr>
          <w:rFonts w:hint="eastAsia" w:hAnsi="宋体"/>
          <w:b/>
          <w:color w:val="000000"/>
          <w:sz w:val="24"/>
          <w:szCs w:val="24"/>
        </w:rPr>
        <w:t>项目名称：</w:t>
      </w:r>
      <w:r>
        <w:rPr>
          <w:rFonts w:hint="eastAsia" w:asciiTheme="minorEastAsia" w:hAnsiTheme="minorEastAsia" w:cstheme="minorEastAsia"/>
          <w:b/>
          <w:color w:val="000000"/>
          <w:sz w:val="28"/>
          <w:szCs w:val="28"/>
          <w:lang w:eastAsia="zh-CN"/>
        </w:rPr>
        <w:t>铜仁一中初级中学篮球场建设项目</w:t>
      </w:r>
      <w:r>
        <w:rPr>
          <w:rFonts w:hint="eastAsia" w:asciiTheme="minorEastAsia" w:hAnsiTheme="minorEastAsia" w:cstheme="minorEastAsia"/>
          <w:b/>
          <w:color w:val="000000"/>
          <w:sz w:val="28"/>
          <w:szCs w:val="28"/>
          <w:lang w:val="en-US" w:eastAsia="zh-CN"/>
        </w:rPr>
        <w:t xml:space="preserve"> </w:t>
      </w:r>
    </w:p>
    <w:p>
      <w:pPr>
        <w:pStyle w:val="2"/>
        <w:keepNext w:val="0"/>
        <w:keepLines w:val="0"/>
        <w:pageBreakBefore w:val="0"/>
        <w:kinsoku/>
        <w:wordWrap/>
        <w:overflowPunct/>
        <w:topLinePunct w:val="0"/>
        <w:autoSpaceDE/>
        <w:autoSpaceDN/>
        <w:bidi w:val="0"/>
        <w:spacing w:line="520" w:lineRule="exact"/>
        <w:ind w:right="0" w:rightChars="0"/>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w:t>
      </w:r>
      <w:r>
        <w:rPr>
          <w:rFonts w:hint="eastAsia" w:hAnsi="宋体"/>
          <w:b/>
          <w:color w:val="000000"/>
          <w:sz w:val="24"/>
          <w:szCs w:val="24"/>
          <w:lang w:val="en-US" w:eastAsia="zh-CN"/>
        </w:rPr>
        <w:t>2、</w:t>
      </w:r>
      <w:r>
        <w:rPr>
          <w:rFonts w:hint="eastAsia" w:hAnsi="宋体"/>
          <w:b/>
          <w:color w:val="000000"/>
          <w:sz w:val="24"/>
          <w:szCs w:val="24"/>
        </w:rPr>
        <w:t>项目编号：</w:t>
      </w:r>
      <w:r>
        <w:rPr>
          <w:rFonts w:hint="eastAsia" w:hAnsi="宋体"/>
          <w:b/>
          <w:color w:val="000000"/>
          <w:sz w:val="24"/>
          <w:szCs w:val="24"/>
          <w:lang w:eastAsia="zh-CN"/>
        </w:rPr>
        <w:t>TRZFCG-2020-088</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s="宋体"/>
          <w:color w:val="000000"/>
          <w:sz w:val="24"/>
          <w:szCs w:val="24"/>
          <w:shd w:val="clear" w:color="auto" w:fill="FFFFFF"/>
        </w:rPr>
        <w:t>2020年</w:t>
      </w:r>
      <w:r>
        <w:rPr>
          <w:rFonts w:hint="eastAsia" w:ascii="宋体" w:hAnsi="宋体" w:cs="宋体"/>
          <w:color w:val="000000"/>
          <w:sz w:val="24"/>
          <w:szCs w:val="24"/>
          <w:shd w:val="clear" w:color="auto" w:fill="FFFFFF"/>
          <w:lang w:val="en-US" w:eastAsia="zh-CN"/>
        </w:rPr>
        <w:t>8</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 xml:space="preserve">19 </w:t>
      </w:r>
      <w:r>
        <w:rPr>
          <w:rFonts w:hint="eastAsia" w:ascii="宋体" w:hAnsi="宋体" w:cs="宋体"/>
          <w:color w:val="000000"/>
          <w:sz w:val="24"/>
          <w:szCs w:val="24"/>
          <w:shd w:val="clear" w:color="auto" w:fill="FFFFFF"/>
        </w:rPr>
        <w:t>日</w:t>
      </w:r>
      <w:r>
        <w:rPr>
          <w:rFonts w:hint="eastAsia" w:ascii="宋体" w:hAnsi="宋体" w:cs="宋体"/>
          <w:color w:val="000000"/>
          <w:sz w:val="24"/>
          <w:szCs w:val="24"/>
          <w:shd w:val="clear" w:color="auto" w:fill="FFFFFF"/>
          <w:lang w:val="en-US" w:eastAsia="zh-CN"/>
        </w:rPr>
        <w:t>09:00</w:t>
      </w:r>
      <w:r>
        <w:rPr>
          <w:rFonts w:hint="eastAsia" w:ascii="宋体" w:hAnsi="宋体" w:cs="宋体"/>
          <w:color w:val="000000"/>
          <w:sz w:val="24"/>
          <w:szCs w:val="24"/>
          <w:shd w:val="clear" w:color="auto" w:fill="FFFFFF"/>
        </w:rPr>
        <w:t>至2020年</w:t>
      </w:r>
      <w:r>
        <w:rPr>
          <w:rFonts w:hint="eastAsia" w:ascii="宋体" w:hAnsi="宋体" w:cs="宋体"/>
          <w:color w:val="000000"/>
          <w:sz w:val="24"/>
          <w:szCs w:val="24"/>
          <w:shd w:val="clear" w:color="auto" w:fill="FFFFFF"/>
          <w:lang w:val="en-US" w:eastAsia="zh-CN"/>
        </w:rPr>
        <w:t xml:space="preserve"> 8</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 xml:space="preserve"> 21</w:t>
      </w:r>
      <w:r>
        <w:rPr>
          <w:rFonts w:hint="eastAsia" w:ascii="宋体" w:hAnsi="宋体" w:cs="宋体"/>
          <w:color w:val="000000"/>
          <w:sz w:val="24"/>
          <w:szCs w:val="24"/>
          <w:shd w:val="clear" w:color="auto" w:fill="FFFFFF"/>
        </w:rPr>
        <w:t>日17：00</w:t>
      </w:r>
    </w:p>
    <w:p>
      <w:pPr>
        <w:keepNext w:val="0"/>
        <w:keepLines w:val="0"/>
        <w:pageBreakBefore w:val="0"/>
        <w:kinsoku/>
        <w:wordWrap/>
        <w:overflowPunct/>
        <w:topLinePunct w:val="0"/>
        <w:autoSpaceDE/>
        <w:autoSpaceDN/>
        <w:bidi w:val="0"/>
        <w:spacing w:line="520" w:lineRule="exact"/>
        <w:ind w:right="0" w:rightChars="0" w:firstLine="472" w:firstLineChars="196"/>
        <w:textAlignment w:val="auto"/>
        <w:rPr>
          <w:rFonts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铜仁市公共资源交易中心官方网址（jyzx.trs.gov.cn）</w:t>
      </w:r>
    </w:p>
    <w:p>
      <w:pPr>
        <w:keepNext w:val="0"/>
        <w:keepLines w:val="0"/>
        <w:pageBreakBefore w:val="0"/>
        <w:kinsoku/>
        <w:wordWrap/>
        <w:overflowPunct/>
        <w:topLinePunct w:val="0"/>
        <w:autoSpaceDE/>
        <w:autoSpaceDN/>
        <w:bidi w:val="0"/>
        <w:spacing w:line="520" w:lineRule="exact"/>
        <w:ind w:right="0" w:rightChars="0" w:firstLine="472" w:firstLineChars="196"/>
        <w:textAlignment w:val="auto"/>
        <w:rPr>
          <w:rFonts w:ascii="宋体" w:hAnsi="宋体"/>
          <w:b/>
          <w:color w:val="000000"/>
          <w:sz w:val="24"/>
        </w:rPr>
      </w:pPr>
      <w:r>
        <w:rPr>
          <w:rFonts w:hint="eastAsia" w:ascii="宋体" w:hAnsi="宋体"/>
          <w:b/>
          <w:color w:val="000000"/>
          <w:sz w:val="24"/>
        </w:rPr>
        <w:t>5、投标有效期：投标截止日算起，30天。</w:t>
      </w:r>
    </w:p>
    <w:p>
      <w:pPr>
        <w:pStyle w:val="2"/>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2"/>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lang w:eastAsia="zh-CN"/>
        </w:rPr>
        <w:t>领取</w:t>
      </w:r>
      <w:r>
        <w:rPr>
          <w:rFonts w:hint="eastAsia"/>
          <w:b/>
          <w:color w:val="000000"/>
          <w:sz w:val="24"/>
          <w:szCs w:val="24"/>
        </w:rPr>
        <w:t>招标文件地点及联系方式</w:t>
      </w:r>
    </w:p>
    <w:p>
      <w:pPr>
        <w:pStyle w:val="2"/>
        <w:keepNext w:val="0"/>
        <w:keepLines w:val="0"/>
        <w:pageBreakBefore w:val="0"/>
        <w:kinsoku/>
        <w:wordWrap/>
        <w:overflowPunct/>
        <w:topLinePunct w:val="0"/>
        <w:autoSpaceDE/>
        <w:autoSpaceDN/>
        <w:bidi w:val="0"/>
        <w:spacing w:line="520" w:lineRule="exact"/>
        <w:ind w:right="0" w:rightChars="0" w:firstLine="840" w:firstLineChars="350"/>
        <w:textAlignment w:val="auto"/>
        <w:rPr>
          <w:color w:val="000000"/>
          <w:sz w:val="24"/>
          <w:szCs w:val="24"/>
        </w:rPr>
      </w:pPr>
      <w:r>
        <w:rPr>
          <w:rFonts w:hint="eastAsia"/>
          <w:color w:val="000000"/>
          <w:sz w:val="24"/>
          <w:szCs w:val="24"/>
        </w:rPr>
        <w:t>地址：铜仁市公共资源交易中心官方网址</w:t>
      </w:r>
      <w:r>
        <w:rPr>
          <w:rFonts w:hint="eastAsia" w:hAnsi="宋体"/>
          <w:color w:val="000000"/>
          <w:sz w:val="24"/>
        </w:rPr>
        <w:t>（jyzx.trs.gov.cn）</w:t>
      </w:r>
    </w:p>
    <w:p>
      <w:pPr>
        <w:pStyle w:val="2"/>
        <w:keepNext w:val="0"/>
        <w:keepLines w:val="0"/>
        <w:pageBreakBefore w:val="0"/>
        <w:kinsoku/>
        <w:wordWrap/>
        <w:overflowPunct/>
        <w:topLinePunct w:val="0"/>
        <w:autoSpaceDE/>
        <w:autoSpaceDN/>
        <w:bidi w:val="0"/>
        <w:spacing w:line="520" w:lineRule="exact"/>
        <w:ind w:right="0" w:rightChars="0" w:firstLine="840" w:firstLineChars="350"/>
        <w:textAlignment w:val="auto"/>
        <w:rPr>
          <w:color w:val="000000"/>
          <w:sz w:val="24"/>
          <w:szCs w:val="24"/>
        </w:rPr>
      </w:pPr>
      <w:r>
        <w:rPr>
          <w:rFonts w:hint="eastAsia" w:hAnsi="宋体"/>
          <w:color w:val="000000"/>
          <w:sz w:val="24"/>
        </w:rPr>
        <w:t>联系电话：</w:t>
      </w:r>
      <w:r>
        <w:rPr>
          <w:rFonts w:hint="eastAsia" w:hAnsi="宋体" w:cs="宋体"/>
          <w:color w:val="000000"/>
          <w:sz w:val="24"/>
          <w:szCs w:val="24"/>
          <w:shd w:val="clear" w:color="auto" w:fill="FFFFFF"/>
        </w:rPr>
        <w:t>0856-391292</w:t>
      </w:r>
      <w:r>
        <w:rPr>
          <w:rFonts w:hint="eastAsia" w:hAnsi="宋体" w:cs="宋体"/>
          <w:color w:val="000000"/>
          <w:sz w:val="24"/>
          <w:szCs w:val="24"/>
          <w:shd w:val="clear" w:color="auto" w:fill="FFFFFF"/>
          <w:lang w:val="en-US" w:eastAsia="zh-CN"/>
        </w:rPr>
        <w:t>2</w:t>
      </w:r>
      <w:r>
        <w:rPr>
          <w:rFonts w:hint="eastAsia" w:hAnsi="宋体" w:cs="宋体"/>
          <w:color w:val="000000"/>
          <w:sz w:val="24"/>
          <w:szCs w:val="24"/>
          <w:shd w:val="clear" w:color="auto" w:fill="FFFFFF"/>
        </w:rPr>
        <w:t xml:space="preserve"> </w:t>
      </w:r>
    </w:p>
    <w:p>
      <w:pPr>
        <w:pStyle w:val="2"/>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 xml:space="preserve"> </w:t>
      </w:r>
      <w:r>
        <w:rPr>
          <w:rFonts w:hint="eastAsia" w:hAnsi="宋体"/>
          <w:b/>
          <w:color w:val="000000"/>
          <w:sz w:val="24"/>
          <w:szCs w:val="24"/>
        </w:rPr>
        <w:t>：</w:t>
      </w:r>
      <w:r>
        <w:rPr>
          <w:rFonts w:hint="eastAsia" w:hAnsi="宋体"/>
          <w:color w:val="000000"/>
          <w:sz w:val="24"/>
          <w:szCs w:val="24"/>
        </w:rPr>
        <w:t>人民币0元/套</w:t>
      </w:r>
    </w:p>
    <w:p>
      <w:pPr>
        <w:pStyle w:val="2"/>
        <w:keepNext w:val="0"/>
        <w:keepLines w:val="0"/>
        <w:pageBreakBefore w:val="0"/>
        <w:kinsoku/>
        <w:wordWrap/>
        <w:overflowPunct/>
        <w:topLinePunct w:val="0"/>
        <w:autoSpaceDE/>
        <w:autoSpaceDN/>
        <w:bidi w:val="0"/>
        <w:spacing w:line="520" w:lineRule="exact"/>
        <w:ind w:right="0" w:rightChars="0"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9、开评标时须提供的资质资料：</w:t>
      </w:r>
    </w:p>
    <w:p>
      <w:pPr>
        <w:pStyle w:val="2"/>
        <w:keepNext w:val="0"/>
        <w:keepLines w:val="0"/>
        <w:pageBreakBefore w:val="0"/>
        <w:kinsoku/>
        <w:wordWrap/>
        <w:overflowPunct/>
        <w:topLinePunct w:val="0"/>
        <w:autoSpaceDE/>
        <w:autoSpaceDN/>
        <w:bidi w:val="0"/>
        <w:spacing w:line="520" w:lineRule="exact"/>
        <w:ind w:right="0" w:rightChars="0" w:firstLine="600" w:firstLineChars="250"/>
        <w:jc w:val="left"/>
        <w:textAlignment w:val="auto"/>
        <w:rPr>
          <w:rFonts w:hAnsi="宋体"/>
          <w:color w:val="000000"/>
          <w:sz w:val="24"/>
          <w:szCs w:val="24"/>
        </w:rPr>
      </w:pPr>
      <w:r>
        <w:rPr>
          <w:rFonts w:hint="eastAsia" w:hAnsi="宋体"/>
          <w:color w:val="000000"/>
          <w:sz w:val="24"/>
          <w:szCs w:val="24"/>
        </w:rPr>
        <w:t>（1）工商营业执照副本（复印件</w:t>
      </w:r>
      <w:r>
        <w:rPr>
          <w:rFonts w:hint="eastAsia" w:hAnsi="宋体"/>
          <w:color w:val="000000"/>
          <w:sz w:val="24"/>
          <w:szCs w:val="24"/>
          <w:lang w:eastAsia="zh-CN"/>
        </w:rPr>
        <w:t>加盖公章</w:t>
      </w:r>
      <w:r>
        <w:rPr>
          <w:rFonts w:hint="eastAsia" w:hAnsi="宋体"/>
          <w:color w:val="000000"/>
          <w:sz w:val="24"/>
          <w:szCs w:val="24"/>
        </w:rPr>
        <w:t>）；</w:t>
      </w:r>
    </w:p>
    <w:p>
      <w:pPr>
        <w:pStyle w:val="2"/>
        <w:keepNext w:val="0"/>
        <w:keepLines w:val="0"/>
        <w:pageBreakBefore w:val="0"/>
        <w:kinsoku/>
        <w:wordWrap/>
        <w:overflowPunct/>
        <w:topLinePunct w:val="0"/>
        <w:autoSpaceDE/>
        <w:autoSpaceDN/>
        <w:bidi w:val="0"/>
        <w:spacing w:line="520" w:lineRule="exact"/>
        <w:ind w:right="0" w:rightChars="0"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2"/>
        <w:keepNext w:val="0"/>
        <w:keepLines w:val="0"/>
        <w:pageBreakBefore w:val="0"/>
        <w:kinsoku/>
        <w:wordWrap/>
        <w:overflowPunct/>
        <w:topLinePunct w:val="0"/>
        <w:autoSpaceDE/>
        <w:autoSpaceDN/>
        <w:bidi w:val="0"/>
        <w:spacing w:line="520" w:lineRule="exact"/>
        <w:ind w:right="0" w:rightChars="0"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2"/>
        <w:keepNext w:val="0"/>
        <w:keepLines w:val="0"/>
        <w:pageBreakBefore w:val="0"/>
        <w:kinsoku/>
        <w:wordWrap/>
        <w:overflowPunct/>
        <w:topLinePunct w:val="0"/>
        <w:autoSpaceDE/>
        <w:autoSpaceDN/>
        <w:bidi w:val="0"/>
        <w:spacing w:line="520" w:lineRule="exact"/>
        <w:ind w:right="0" w:rightChars="0" w:firstLine="720" w:firstLineChars="300"/>
        <w:jc w:val="left"/>
        <w:textAlignment w:val="auto"/>
        <w:rPr>
          <w:rFonts w:hAnsi="宋体"/>
          <w:color w:val="000000"/>
          <w:sz w:val="24"/>
          <w:szCs w:val="24"/>
        </w:rPr>
      </w:pPr>
      <w:r>
        <w:rPr>
          <w:rFonts w:hint="eastAsia" w:hAnsi="宋体"/>
          <w:color w:val="FF0000"/>
          <w:sz w:val="24"/>
          <w:szCs w:val="24"/>
        </w:rPr>
        <w:t>（注：三证合一的只提工商供营业执照副本）</w:t>
      </w:r>
    </w:p>
    <w:p>
      <w:pPr>
        <w:pStyle w:val="2"/>
        <w:keepNext w:val="0"/>
        <w:keepLines w:val="0"/>
        <w:pageBreakBefore w:val="0"/>
        <w:kinsoku/>
        <w:wordWrap/>
        <w:overflowPunct/>
        <w:topLinePunct w:val="0"/>
        <w:autoSpaceDE/>
        <w:autoSpaceDN/>
        <w:bidi w:val="0"/>
        <w:spacing w:line="520" w:lineRule="exact"/>
        <w:ind w:right="0" w:rightChars="0"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2"/>
        <w:keepNext w:val="0"/>
        <w:keepLines w:val="0"/>
        <w:pageBreakBefore w:val="0"/>
        <w:kinsoku/>
        <w:wordWrap/>
        <w:overflowPunct/>
        <w:topLinePunct w:val="0"/>
        <w:autoSpaceDE/>
        <w:autoSpaceDN/>
        <w:bidi w:val="0"/>
        <w:spacing w:line="520" w:lineRule="exact"/>
        <w:ind w:right="0" w:rightChars="0" w:firstLine="590" w:firstLineChars="246"/>
        <w:textAlignment w:val="auto"/>
        <w:rPr>
          <w:rFonts w:hint="eastAsia"/>
          <w:color w:val="FF0000"/>
          <w:sz w:val="24"/>
        </w:rPr>
      </w:pPr>
      <w:r>
        <w:rPr>
          <w:rFonts w:hint="eastAsia" w:hAnsi="宋体" w:cs="宋体"/>
          <w:bCs/>
          <w:color w:val="000000"/>
          <w:sz w:val="24"/>
          <w:szCs w:val="24"/>
        </w:rPr>
        <w:t>（5）</w:t>
      </w:r>
      <w:r>
        <w:rPr>
          <w:rFonts w:hint="eastAsia"/>
          <w:color w:val="FF0000"/>
          <w:sz w:val="24"/>
        </w:rPr>
        <w:t>“信用中国”网站（</w:t>
      </w:r>
      <w:r>
        <w:fldChar w:fldCharType="begin"/>
      </w:r>
      <w:r>
        <w:instrText xml:space="preserve"> HYPERLINK "http://www.creditchina.gov.cn/" </w:instrText>
      </w:r>
      <w:r>
        <w:fldChar w:fldCharType="separate"/>
      </w:r>
      <w:r>
        <w:rPr>
          <w:rFonts w:hint="eastAsia"/>
          <w:color w:val="FF0000"/>
          <w:sz w:val="24"/>
        </w:rPr>
        <w:t>www.creditchina.gov.cn</w:t>
      </w:r>
      <w:r>
        <w:rPr>
          <w:rFonts w:hint="eastAsia"/>
          <w:color w:val="FF0000"/>
          <w:sz w:val="24"/>
        </w:rPr>
        <w:fldChar w:fldCharType="end"/>
      </w:r>
      <w:r>
        <w:rPr>
          <w:rFonts w:hint="eastAsia"/>
          <w:color w:val="FF0000"/>
          <w:sz w:val="24"/>
        </w:rPr>
        <w:t>）</w:t>
      </w:r>
      <w:r>
        <w:rPr>
          <w:rFonts w:hint="eastAsia"/>
          <w:color w:val="FF0000"/>
          <w:sz w:val="24"/>
          <w:lang w:eastAsia="zh-CN"/>
        </w:rPr>
        <w:t>和</w:t>
      </w:r>
      <w:r>
        <w:rPr>
          <w:rFonts w:hint="eastAsia"/>
          <w:color w:val="FF0000"/>
          <w:sz w:val="24"/>
        </w:rPr>
        <w:t>政府采购严重违法失信行为记录名单（</w:t>
      </w:r>
      <w:r>
        <w:fldChar w:fldCharType="begin"/>
      </w:r>
      <w:r>
        <w:instrText xml:space="preserve"> HYPERLINK "http://www.ccgp.gov.cn/search/cr/" </w:instrText>
      </w:r>
      <w:r>
        <w:fldChar w:fldCharType="separate"/>
      </w:r>
      <w:r>
        <w:rPr>
          <w:rFonts w:hint="eastAsia"/>
          <w:color w:val="FF0000"/>
          <w:sz w:val="24"/>
        </w:rPr>
        <w:t>http://www.ccgp.gov.cn/search/cr/</w:t>
      </w:r>
      <w:r>
        <w:rPr>
          <w:rFonts w:hint="eastAsia"/>
          <w:color w:val="FF0000"/>
          <w:sz w:val="24"/>
        </w:rPr>
        <w:fldChar w:fldCharType="end"/>
      </w:r>
      <w:r>
        <w:rPr>
          <w:rFonts w:hint="eastAsia"/>
          <w:color w:val="FF0000"/>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2"/>
        <w:keepNext w:val="0"/>
        <w:keepLines w:val="0"/>
        <w:pageBreakBefore w:val="0"/>
        <w:kinsoku/>
        <w:wordWrap/>
        <w:overflowPunct/>
        <w:topLinePunct w:val="0"/>
        <w:autoSpaceDE/>
        <w:autoSpaceDN/>
        <w:bidi w:val="0"/>
        <w:spacing w:line="520" w:lineRule="exact"/>
        <w:ind w:right="0" w:rightChars="0" w:firstLine="590" w:firstLineChars="246"/>
        <w:textAlignment w:val="auto"/>
        <w:rPr>
          <w:rFonts w:hint="eastAsia"/>
          <w:color w:val="FF0000"/>
          <w:sz w:val="24"/>
          <w:lang w:eastAsia="zh-CN"/>
        </w:rPr>
      </w:pPr>
      <w:r>
        <w:rPr>
          <w:rFonts w:hint="eastAsia"/>
          <w:color w:val="FF0000"/>
          <w:sz w:val="24"/>
          <w:lang w:eastAsia="zh-CN"/>
        </w:rPr>
        <w:t>（</w:t>
      </w:r>
      <w:r>
        <w:rPr>
          <w:rFonts w:hint="eastAsia"/>
          <w:color w:val="FF0000"/>
          <w:sz w:val="24"/>
          <w:lang w:val="en-US" w:eastAsia="zh-CN"/>
        </w:rPr>
        <w:t>6</w:t>
      </w:r>
      <w:r>
        <w:rPr>
          <w:rFonts w:hint="eastAsia"/>
          <w:color w:val="FF0000"/>
          <w:sz w:val="24"/>
          <w:lang w:eastAsia="zh-CN"/>
        </w:rPr>
        <w:t>）特殊要求：供应商需具备市政公用工程叁级及以上资质及有效的安全生产许可证</w:t>
      </w:r>
    </w:p>
    <w:p>
      <w:pPr>
        <w:pStyle w:val="2"/>
        <w:keepNext w:val="0"/>
        <w:keepLines w:val="0"/>
        <w:pageBreakBefore w:val="0"/>
        <w:kinsoku/>
        <w:wordWrap/>
        <w:overflowPunct/>
        <w:topLinePunct w:val="0"/>
        <w:autoSpaceDE/>
        <w:autoSpaceDN/>
        <w:bidi w:val="0"/>
        <w:spacing w:line="520" w:lineRule="exact"/>
        <w:ind w:left="0" w:leftChars="0" w:right="0" w:rightChars="0" w:firstLine="0" w:firstLineChars="0"/>
        <w:jc w:val="left"/>
        <w:textAlignment w:val="auto"/>
        <w:rPr>
          <w:rFonts w:hAnsi="宋体"/>
          <w:b/>
          <w:color w:val="000000"/>
          <w:sz w:val="24"/>
          <w:szCs w:val="24"/>
        </w:rPr>
      </w:pPr>
      <w:r>
        <w:rPr>
          <w:rFonts w:hint="eastAsia" w:hAnsi="宋体"/>
          <w:b/>
          <w:color w:val="000000"/>
          <w:sz w:val="24"/>
          <w:szCs w:val="24"/>
          <w:lang w:val="en-US" w:eastAsia="zh-CN"/>
        </w:rPr>
        <w:t xml:space="preserve">    </w:t>
      </w:r>
      <w:r>
        <w:rPr>
          <w:rFonts w:hint="eastAsia" w:hAnsi="宋体"/>
          <w:b/>
          <w:color w:val="000000"/>
          <w:sz w:val="24"/>
          <w:szCs w:val="24"/>
        </w:rPr>
        <w:t>10、投标保证金：</w:t>
      </w:r>
      <w:r>
        <w:rPr>
          <w:rFonts w:hint="eastAsia" w:hAnsi="宋体"/>
          <w:b/>
          <w:color w:val="000000"/>
          <w:sz w:val="24"/>
          <w:szCs w:val="24"/>
          <w:lang w:val="en-US" w:eastAsia="zh-CN"/>
        </w:rPr>
        <w:t>2</w:t>
      </w:r>
      <w:r>
        <w:rPr>
          <w:rFonts w:hint="eastAsia" w:hAnsi="宋体"/>
          <w:b/>
          <w:color w:val="000000"/>
          <w:sz w:val="24"/>
          <w:szCs w:val="24"/>
        </w:rPr>
        <w:t>000元人民币；</w:t>
      </w:r>
    </w:p>
    <w:p>
      <w:pPr>
        <w:keepNext w:val="0"/>
        <w:keepLines w:val="0"/>
        <w:pageBreakBefore w:val="0"/>
        <w:widowControl/>
        <w:kinsoku/>
        <w:wordWrap/>
        <w:overflowPunct/>
        <w:topLinePunct w:val="0"/>
        <w:autoSpaceDE/>
        <w:autoSpaceDN/>
        <w:bidi w:val="0"/>
        <w:spacing w:line="520" w:lineRule="exact"/>
        <w:ind w:right="0" w:rightChars="0"/>
        <w:jc w:val="left"/>
        <w:textAlignment w:val="auto"/>
      </w:pPr>
      <w:r>
        <w:rPr>
          <w:rFonts w:hint="eastAsia" w:ascii="宋体" w:hAnsi="宋体" w:eastAsia="宋体" w:cs="宋体"/>
          <w:color w:val="FF0000"/>
          <w:sz w:val="24"/>
          <w:szCs w:val="24"/>
          <w:shd w:val="clear" w:color="auto" w:fill="FFFFFF"/>
          <w:lang w:val="en-US" w:eastAsia="zh-CN"/>
        </w:rPr>
        <w:t xml:space="preserve">    </w:t>
      </w:r>
      <w:r>
        <w:rPr>
          <w:rFonts w:hint="eastAsia" w:ascii="宋体" w:hAnsi="宋体" w:eastAsia="宋体" w:cs="宋体"/>
          <w:color w:val="FF0000"/>
          <w:sz w:val="24"/>
          <w:szCs w:val="24"/>
          <w:shd w:val="clear" w:color="auto" w:fill="FFFFFF"/>
        </w:rPr>
        <w:t>投标保证金交纳方式:</w:t>
      </w:r>
      <w:r>
        <w:rPr>
          <w:rFonts w:ascii="宋体" w:hAnsi="宋体" w:eastAsia="宋体" w:cs="宋体"/>
          <w:sz w:val="24"/>
          <w:szCs w:val="24"/>
        </w:rPr>
        <w:t>采用银行转账、电汇形式提交具体缴退流程见铜仁市公共资源交易中心网站（</w:t>
      </w:r>
      <w:r>
        <w:rPr>
          <w:rFonts w:ascii="宋体" w:hAnsi="宋体" w:eastAsia="宋体" w:cs="宋体"/>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或者采用《投标保证金保函》（电子保函）提交（具体操作方式见铜仁市公共资源交易中心首页——办事指南——政府采购——常见问题解答——《投标电子保函申请操作步骤》）</w:t>
      </w:r>
    </w:p>
    <w:p>
      <w:pPr>
        <w:pStyle w:val="2"/>
        <w:keepNext w:val="0"/>
        <w:keepLines w:val="0"/>
        <w:pageBreakBefore w:val="0"/>
        <w:kinsoku/>
        <w:wordWrap/>
        <w:overflowPunct/>
        <w:topLinePunct w:val="0"/>
        <w:autoSpaceDE/>
        <w:autoSpaceDN/>
        <w:bidi w:val="0"/>
        <w:spacing w:line="520" w:lineRule="exact"/>
        <w:ind w:right="0" w:rightChars="0" w:firstLine="481"/>
        <w:jc w:val="left"/>
        <w:textAlignment w:val="auto"/>
        <w:rPr>
          <w:rFonts w:hAnsi="宋体" w:eastAsia="宋体" w:cs="宋体"/>
          <w:color w:val="FF0000"/>
          <w:sz w:val="24"/>
          <w:szCs w:val="24"/>
          <w:shd w:val="clear" w:color="auto" w:fill="FFFFFF"/>
        </w:rPr>
      </w:pPr>
      <w:r>
        <w:rPr>
          <w:rFonts w:hint="eastAsia" w:hAnsi="宋体" w:cs="宋体"/>
          <w:color w:val="000000"/>
          <w:sz w:val="24"/>
          <w:szCs w:val="24"/>
          <w:shd w:val="clear" w:color="auto" w:fill="FFFFFF"/>
        </w:rPr>
        <w:t>开户银行及帐号</w:t>
      </w:r>
    </w:p>
    <w:p>
      <w:pPr>
        <w:pStyle w:val="2"/>
        <w:keepNext w:val="0"/>
        <w:keepLines w:val="0"/>
        <w:pageBreakBefore w:val="0"/>
        <w:kinsoku/>
        <w:wordWrap/>
        <w:overflowPunct/>
        <w:topLinePunct w:val="0"/>
        <w:autoSpaceDE/>
        <w:autoSpaceDN/>
        <w:bidi w:val="0"/>
        <w:spacing w:line="520" w:lineRule="exact"/>
        <w:ind w:right="0" w:rightChars="0"/>
        <w:jc w:val="left"/>
        <w:textAlignment w:val="auto"/>
        <w:rPr>
          <w:rFonts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帐    号：0601001500000296</w:t>
      </w:r>
    </w:p>
    <w:p>
      <w:pPr>
        <w:keepNext w:val="0"/>
        <w:keepLines w:val="0"/>
        <w:pageBreakBefore w:val="0"/>
        <w:numPr>
          <w:ilvl w:val="0"/>
          <w:numId w:val="0"/>
        </w:numPr>
        <w:kinsoku/>
        <w:wordWrap/>
        <w:overflowPunct/>
        <w:topLinePunct w:val="0"/>
        <w:autoSpaceDE/>
        <w:autoSpaceDN/>
        <w:bidi w:val="0"/>
        <w:spacing w:line="520" w:lineRule="exact"/>
        <w:ind w:right="0" w:rightChars="0"/>
        <w:textAlignment w:val="auto"/>
        <w:rPr>
          <w:rFonts w:hint="eastAsia" w:ascii="宋体" w:hAnsi="宋体"/>
          <w:color w:val="000000"/>
          <w:sz w:val="24"/>
          <w:lang w:val="en-US" w:eastAsia="zh-CN"/>
        </w:rPr>
      </w:pPr>
      <w:r>
        <w:rPr>
          <w:rFonts w:hint="eastAsia" w:ascii="宋体" w:hAnsi="宋体"/>
          <w:b/>
          <w:bCs/>
          <w:color w:val="000000"/>
          <w:sz w:val="24"/>
          <w:lang w:val="en-US" w:eastAsia="zh-CN"/>
        </w:rPr>
        <w:t xml:space="preserve">    11、</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color w:val="000000"/>
          <w:sz w:val="24"/>
          <w:lang w:val="en-US" w:eastAsia="zh-CN"/>
        </w:rPr>
        <w:t>497131.00元（最高限价：497131.00元）</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b/>
          <w:color w:val="000000"/>
          <w:sz w:val="24"/>
        </w:rPr>
        <w:t>12、 谈判时间：</w:t>
      </w:r>
      <w:r>
        <w:rPr>
          <w:rFonts w:hint="eastAsia" w:ascii="宋体" w:hAnsi="宋体" w:cs="宋体"/>
          <w:color w:val="000000"/>
          <w:sz w:val="24"/>
          <w:szCs w:val="24"/>
          <w:shd w:val="clear" w:color="auto" w:fill="FFFFFF"/>
        </w:rPr>
        <w:t>2020年</w:t>
      </w:r>
      <w:r>
        <w:rPr>
          <w:rFonts w:hint="eastAsia" w:ascii="宋体" w:hAnsi="宋体" w:cs="宋体"/>
          <w:color w:val="000000"/>
          <w:sz w:val="24"/>
          <w:szCs w:val="24"/>
          <w:shd w:val="clear" w:color="auto" w:fill="FFFFFF"/>
          <w:lang w:val="en-US" w:eastAsia="zh-CN"/>
        </w:rPr>
        <w:t>8</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 xml:space="preserve"> 25 </w:t>
      </w:r>
      <w:r>
        <w:rPr>
          <w:rFonts w:hint="eastAsia" w:ascii="宋体" w:hAnsi="宋体" w:cs="宋体"/>
          <w:color w:val="000000"/>
          <w:sz w:val="24"/>
          <w:szCs w:val="24"/>
          <w:shd w:val="clear" w:color="auto" w:fill="FFFFFF"/>
        </w:rPr>
        <w:t>日1</w:t>
      </w:r>
      <w:r>
        <w:rPr>
          <w:rFonts w:hint="eastAsia" w:ascii="宋体" w:hAnsi="宋体" w:cs="宋体"/>
          <w:color w:val="000000"/>
          <w:sz w:val="24"/>
          <w:szCs w:val="24"/>
          <w:shd w:val="clear" w:color="auto" w:fill="FFFFFF"/>
          <w:lang w:val="en-US" w:eastAsia="zh-CN"/>
        </w:rPr>
        <w:t>0</w:t>
      </w:r>
      <w:r>
        <w:rPr>
          <w:rFonts w:hint="eastAsia" w:ascii="宋体" w:hAnsi="宋体" w:cs="宋体"/>
          <w:color w:val="000000"/>
          <w:sz w:val="24"/>
          <w:szCs w:val="24"/>
          <w:shd w:val="clear" w:color="auto" w:fill="FFFFFF"/>
        </w:rPr>
        <w:t>：00时</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bCs/>
          <w:color w:val="000000"/>
          <w:sz w:val="24"/>
        </w:rPr>
      </w:pPr>
      <w:r>
        <w:rPr>
          <w:rFonts w:hint="eastAsia" w:ascii="宋体" w:hAnsi="宋体"/>
          <w:bCs/>
          <w:color w:val="000000"/>
          <w:sz w:val="24"/>
          <w:lang w:val="en-US" w:eastAsia="zh-CN"/>
        </w:rPr>
        <w:t xml:space="preserve">    </w:t>
      </w: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20" w:lineRule="exact"/>
        <w:ind w:right="0" w:rightChars="0" w:firstLine="960" w:firstLineChars="400"/>
        <w:textAlignment w:val="auto"/>
        <w:rPr>
          <w:rFonts w:ascii="宋体" w:hAnsi="宋体"/>
          <w:color w:val="000000"/>
          <w:sz w:val="24"/>
        </w:rPr>
      </w:pPr>
      <w:r>
        <w:rPr>
          <w:rFonts w:hint="eastAsia" w:ascii="宋体" w:hAnsi="宋体"/>
          <w:color w:val="000000"/>
          <w:sz w:val="24"/>
        </w:rPr>
        <w:t>联系电话：</w:t>
      </w:r>
      <w:r>
        <w:rPr>
          <w:rFonts w:hint="eastAsia" w:ascii="宋体" w:hAnsi="宋体" w:cs="宋体"/>
          <w:color w:val="000000"/>
          <w:sz w:val="24"/>
          <w:szCs w:val="24"/>
          <w:shd w:val="clear" w:color="auto" w:fill="FFFFFF"/>
        </w:rPr>
        <w:t>0856-</w:t>
      </w:r>
      <w:r>
        <w:rPr>
          <w:rFonts w:hint="eastAsia" w:ascii="宋体" w:hAnsi="宋体" w:cs="宋体"/>
          <w:color w:val="000000"/>
          <w:sz w:val="24"/>
          <w:szCs w:val="24"/>
          <w:shd w:val="clear" w:color="auto" w:fill="FFFFFF"/>
          <w:lang w:eastAsia="zh-CN"/>
        </w:rPr>
        <w:t>3912922</w:t>
      </w:r>
      <w:r>
        <w:rPr>
          <w:rFonts w:hint="eastAsia" w:ascii="宋体" w:hAnsi="宋体" w:cs="宋体"/>
          <w:color w:val="000000"/>
          <w:sz w:val="24"/>
          <w:szCs w:val="24"/>
          <w:shd w:val="clear" w:color="auto" w:fill="FFFFFF"/>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20" w:lineRule="exact"/>
        <w:ind w:right="0" w:rightChars="0" w:firstLine="960" w:firstLineChars="400"/>
        <w:textAlignment w:val="auto"/>
        <w:rPr>
          <w:rFonts w:ascii="宋体" w:hAnsi="宋体"/>
          <w:sz w:val="24"/>
        </w:rPr>
      </w:pPr>
      <w:r>
        <w:rPr>
          <w:rFonts w:hint="eastAsia" w:ascii="宋体" w:hAnsi="宋体"/>
          <w:sz w:val="24"/>
        </w:rPr>
        <w:t>联 系 人：</w:t>
      </w:r>
      <w:r>
        <w:rPr>
          <w:rFonts w:hint="eastAsia" w:ascii="宋体" w:hAnsi="宋体"/>
          <w:sz w:val="24"/>
          <w:lang w:eastAsia="zh-CN"/>
        </w:rPr>
        <w:t>杨玄</w:t>
      </w:r>
      <w:r>
        <w:rPr>
          <w:rFonts w:hint="eastAsia" w:ascii="宋体" w:hAnsi="宋体"/>
          <w:sz w:val="24"/>
        </w:rPr>
        <w:t xml:space="preserve">    </w:t>
      </w:r>
    </w:p>
    <w:p>
      <w:pPr>
        <w:keepNext w:val="0"/>
        <w:keepLines w:val="0"/>
        <w:pageBreakBefore w:val="0"/>
        <w:numPr>
          <w:ilvl w:val="0"/>
          <w:numId w:val="0"/>
        </w:numPr>
        <w:kinsoku/>
        <w:wordWrap/>
        <w:overflowPunct/>
        <w:topLinePunct w:val="0"/>
        <w:autoSpaceDE/>
        <w:autoSpaceDN/>
        <w:bidi w:val="0"/>
        <w:spacing w:line="520" w:lineRule="exact"/>
        <w:ind w:left="-9" w:leftChars="0" w:right="0" w:rightChars="0" w:firstLine="9" w:firstLineChars="0"/>
        <w:textAlignment w:val="auto"/>
        <w:rPr>
          <w:rFonts w:ascii="宋体" w:hAnsi="宋体"/>
          <w:sz w:val="24"/>
        </w:rPr>
      </w:pPr>
      <w:r>
        <w:rPr>
          <w:rFonts w:hint="eastAsia" w:ascii="宋体" w:hAnsi="宋体"/>
          <w:sz w:val="24"/>
          <w:lang w:val="en-US" w:eastAsia="zh-CN"/>
        </w:rPr>
        <w:t xml:space="preserve">    14、</w:t>
      </w:r>
      <w:r>
        <w:rPr>
          <w:rFonts w:hint="eastAsia" w:ascii="宋体" w:hAnsi="宋体"/>
          <w:sz w:val="24"/>
        </w:rPr>
        <w:t>采购人地点及联系方式</w:t>
      </w:r>
      <w:r>
        <w:rPr>
          <w:rFonts w:hint="eastAsia" w:ascii="宋体" w:hAnsi="宋体"/>
          <w:sz w:val="24"/>
        </w:rPr>
        <w:br w:type="textWrapping"/>
      </w:r>
      <w:r>
        <w:rPr>
          <w:rFonts w:hint="eastAsia" w:ascii="宋体" w:hAnsi="宋体"/>
          <w:sz w:val="24"/>
          <w:lang w:val="en-US" w:eastAsia="zh-CN"/>
        </w:rPr>
        <w:t xml:space="preserve">        </w:t>
      </w:r>
      <w:r>
        <w:rPr>
          <w:rFonts w:hint="eastAsia" w:ascii="宋体" w:hAnsi="宋体"/>
          <w:sz w:val="24"/>
        </w:rPr>
        <w:t>联系地址:</w:t>
      </w:r>
      <w:r>
        <w:rPr>
          <w:rFonts w:hint="eastAsia" w:ascii="宋体" w:hAnsi="宋体"/>
          <w:sz w:val="24"/>
          <w:lang w:eastAsia="zh-CN"/>
        </w:rPr>
        <w:t>铜仁一中初级中学</w:t>
      </w:r>
    </w:p>
    <w:p>
      <w:pPr>
        <w:keepNext w:val="0"/>
        <w:keepLines w:val="0"/>
        <w:pageBreakBefore w:val="0"/>
        <w:kinsoku/>
        <w:wordWrap/>
        <w:overflowPunct/>
        <w:topLinePunct w:val="0"/>
        <w:autoSpaceDE/>
        <w:autoSpaceDN/>
        <w:bidi w:val="0"/>
        <w:spacing w:line="520" w:lineRule="exact"/>
        <w:ind w:right="0" w:rightChars="0"/>
        <w:textAlignment w:val="auto"/>
        <w:rPr>
          <w:rFonts w:hint="eastAsia" w:ascii="宋体" w:hAnsi="宋体"/>
          <w:sz w:val="24"/>
          <w:lang w:val="en-US" w:eastAsia="zh-CN"/>
        </w:rPr>
      </w:pPr>
      <w:r>
        <w:rPr>
          <w:rFonts w:hint="eastAsia" w:ascii="宋体" w:hAnsi="宋体" w:eastAsia="宋体" w:cs="宋体"/>
          <w:color w:val="333333"/>
          <w:sz w:val="28"/>
          <w:szCs w:val="28"/>
          <w:shd w:val="clear" w:color="auto" w:fill="FFFFFF"/>
          <w:lang w:val="en-US" w:eastAsia="zh-CN"/>
        </w:rPr>
        <w:t xml:space="preserve">     </w:t>
      </w:r>
      <w:r>
        <w:rPr>
          <w:rFonts w:hint="eastAsia" w:ascii="宋体" w:hAnsi="宋体"/>
          <w:sz w:val="24"/>
          <w:lang w:val="en-US" w:eastAsia="zh-CN"/>
        </w:rPr>
        <w:t xml:space="preserve">  项目联系人: 王老师</w:t>
      </w:r>
      <w:r>
        <w:rPr>
          <w:rFonts w:hint="eastAsia" w:ascii="宋体" w:hAnsi="宋体"/>
          <w:sz w:val="24"/>
          <w:lang w:val="en-US" w:eastAsia="zh-CN"/>
        </w:rPr>
        <w:tab/>
      </w:r>
    </w:p>
    <w:p>
      <w:pPr>
        <w:keepNext w:val="0"/>
        <w:keepLines w:val="0"/>
        <w:pageBreakBefore w:val="0"/>
        <w:kinsoku/>
        <w:wordWrap/>
        <w:overflowPunct/>
        <w:topLinePunct w:val="0"/>
        <w:autoSpaceDE/>
        <w:autoSpaceDN/>
        <w:bidi w:val="0"/>
        <w:spacing w:line="520" w:lineRule="exact"/>
        <w:ind w:right="0" w:rightChars="0"/>
        <w:textAlignment w:val="auto"/>
        <w:rPr>
          <w:rFonts w:hint="default" w:ascii="宋体" w:hAnsi="宋体"/>
          <w:sz w:val="24"/>
          <w:lang w:val="en-US" w:eastAsia="zh-CN"/>
        </w:rPr>
      </w:pPr>
      <w:r>
        <w:rPr>
          <w:rFonts w:hint="eastAsia" w:ascii="宋体" w:hAnsi="宋体"/>
          <w:sz w:val="24"/>
          <w:lang w:val="en-US" w:eastAsia="zh-CN"/>
        </w:rPr>
        <w:t xml:space="preserve">       联系电话:13312456199</w:t>
      </w:r>
    </w:p>
    <w:p>
      <w:pPr>
        <w:keepNext w:val="0"/>
        <w:keepLines w:val="0"/>
        <w:pageBreakBefore w:val="0"/>
        <w:kinsoku/>
        <w:wordWrap/>
        <w:overflowPunct/>
        <w:topLinePunct w:val="0"/>
        <w:autoSpaceDE/>
        <w:autoSpaceDN/>
        <w:bidi w:val="0"/>
        <w:spacing w:line="520" w:lineRule="exact"/>
        <w:ind w:left="-391" w:leftChars="-186" w:right="0" w:rightChars="0" w:firstLine="480" w:firstLineChars="200"/>
        <w:textAlignment w:val="auto"/>
        <w:rPr>
          <w:rFonts w:ascii="宋体" w:hAnsi="宋体"/>
          <w:color w:val="FF0000"/>
          <w:sz w:val="24"/>
        </w:rPr>
      </w:pPr>
      <w:r>
        <w:rPr>
          <w:rFonts w:hint="eastAsia" w:ascii="宋体" w:hAnsi="宋体"/>
          <w:color w:val="FF0000"/>
          <w:sz w:val="24"/>
          <w:lang w:val="en-US" w:eastAsia="zh-CN"/>
        </w:rPr>
        <w:t xml:space="preserve">    </w:t>
      </w:r>
      <w:r>
        <w:rPr>
          <w:rFonts w:hint="eastAsia" w:ascii="宋体" w:hAnsi="宋体"/>
          <w:color w:val="FF0000"/>
          <w:sz w:val="24"/>
        </w:rPr>
        <w:t>15、电子投标技术支持电话：08563960513（固话），18352864732。</w:t>
      </w:r>
      <w:r>
        <w:rPr>
          <w:rFonts w:hint="eastAsia" w:ascii="宋体" w:hAnsi="宋体"/>
          <w:color w:val="FF0000"/>
          <w:sz w:val="24"/>
        </w:rPr>
        <w:br w:type="textWrapping"/>
      </w: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FF0000"/>
          <w:sz w:val="24"/>
        </w:rPr>
        <w:t xml:space="preserve"> 16、（财务科）保证金热线：0856-3910364</w:t>
      </w:r>
      <w:r>
        <w:rPr>
          <w:rFonts w:hint="eastAsia" w:ascii="宋体" w:hAnsi="宋体"/>
          <w:color w:val="FF0000"/>
          <w:sz w:val="24"/>
        </w:rPr>
        <w:br w:type="textWrapping"/>
      </w: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FF0000"/>
          <w:sz w:val="24"/>
        </w:rPr>
        <w:t xml:space="preserve"> 17、CA数字证书及电子签章：0856-3912912、3912276</w:t>
      </w:r>
      <w:r>
        <w:rPr>
          <w:rFonts w:hint="eastAsia" w:ascii="宋体" w:hAnsi="宋体"/>
          <w:color w:val="FF0000"/>
          <w:sz w:val="24"/>
        </w:rPr>
        <w:br w:type="textWrapping"/>
      </w:r>
      <w:r>
        <w:rPr>
          <w:rFonts w:hint="eastAsia" w:ascii="宋体" w:hAnsi="宋体"/>
          <w:color w:val="FF0000"/>
          <w:sz w:val="24"/>
        </w:rPr>
        <w:t xml:space="preserve">   </w:t>
      </w:r>
    </w:p>
    <w:p>
      <w:pPr>
        <w:pStyle w:val="8"/>
        <w:keepNext w:val="0"/>
        <w:keepLines w:val="0"/>
        <w:pageBreakBefore w:val="0"/>
        <w:kinsoku/>
        <w:wordWrap/>
        <w:overflowPunct/>
        <w:topLinePunct w:val="0"/>
        <w:autoSpaceDE/>
        <w:autoSpaceDN/>
        <w:bidi w:val="0"/>
        <w:spacing w:line="520" w:lineRule="exact"/>
        <w:ind w:right="0" w:rightChars="0"/>
        <w:textAlignment w:val="auto"/>
        <w:rPr>
          <w:rFonts w:asciiTheme="minorEastAsia" w:hAnsiTheme="minorEastAsia" w:cstheme="minorEastAsia"/>
          <w:color w:val="FF0000"/>
          <w:sz w:val="24"/>
          <w:szCs w:val="24"/>
        </w:rPr>
      </w:pPr>
      <w:r>
        <w:rPr>
          <w:rFonts w:hint="eastAsia" w:asciiTheme="majorEastAsia" w:hAnsiTheme="majorEastAsia" w:eastAsiaTheme="majorEastAsia" w:cstheme="majorEastAsia"/>
          <w:b/>
          <w:bCs/>
          <w:color w:val="FF0000"/>
          <w:sz w:val="24"/>
          <w:szCs w:val="24"/>
        </w:rPr>
        <w:t>注：</w:t>
      </w:r>
      <w:r>
        <w:rPr>
          <w:rFonts w:hint="eastAsia" w:asciiTheme="majorEastAsia" w:hAnsiTheme="majorEastAsia" w:eastAsiaTheme="majorEastAsia" w:cstheme="majorEastAsia"/>
          <w:color w:val="FF0000"/>
          <w:sz w:val="24"/>
          <w:szCs w:val="24"/>
        </w:rPr>
        <w:t>投标人应随时登录贵州省政府采</w:t>
      </w:r>
      <w:r>
        <w:rPr>
          <w:rFonts w:hint="eastAsia" w:asciiTheme="majorEastAsia" w:hAnsiTheme="majorEastAsia" w:eastAsiaTheme="majorEastAsia" w:cstheme="majorEastAsia"/>
          <w:color w:val="FF0000"/>
          <w:sz w:val="24"/>
          <w:szCs w:val="24"/>
          <w:lang w:eastAsia="zh-CN"/>
        </w:rPr>
        <w:t>购网</w:t>
      </w:r>
      <w:r>
        <w:rPr>
          <w:rFonts w:hint="eastAsia" w:asciiTheme="minorEastAsia" w:hAnsiTheme="minorEastAsia" w:cstheme="minorEastAsia"/>
          <w:color w:val="FF0000"/>
          <w:sz w:val="24"/>
          <w:szCs w:val="24"/>
        </w:rPr>
        <w:t>（http://www.ccgp-guizhou.gov.cn/）或铜仁市公共资源交易中心网（jyzx.trs.gov.cn）“政府采购信息发布平台”查看、处理采购人发出的文件澄清、补充、更正公告等通知内容，如因投标人未及时上网查询导致的后果，由投标人自己承担。</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宋体" w:hAnsi="宋体"/>
          <w:b/>
          <w:bCs/>
          <w:sz w:val="24"/>
        </w:rPr>
      </w:pPr>
    </w:p>
    <w:p>
      <w:pPr>
        <w:keepNext w:val="0"/>
        <w:keepLines w:val="0"/>
        <w:pageBreakBefore w:val="0"/>
        <w:kinsoku/>
        <w:wordWrap/>
        <w:overflowPunct/>
        <w:topLinePunct w:val="0"/>
        <w:autoSpaceDE/>
        <w:autoSpaceDN/>
        <w:bidi w:val="0"/>
        <w:spacing w:line="520" w:lineRule="exact"/>
        <w:ind w:right="0" w:rightChars="0"/>
        <w:jc w:val="center"/>
        <w:textAlignment w:val="auto"/>
        <w:outlineLvl w:val="0"/>
        <w:rPr>
          <w:rFonts w:ascii="宋体" w:hAnsi="宋体"/>
          <w:b/>
          <w:bCs/>
          <w:sz w:val="30"/>
          <w:szCs w:val="30"/>
        </w:rPr>
      </w:pPr>
      <w:r>
        <w:rPr>
          <w:rFonts w:hint="eastAsia" w:ascii="宋体" w:hAnsi="宋体" w:eastAsia="宋体" w:cs="宋体"/>
          <w:sz w:val="24"/>
          <w:szCs w:val="24"/>
        </w:rPr>
        <w:t>2020年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int="eastAsia" w:hAnsi="宋体"/>
          <w:b/>
          <w:sz w:val="36"/>
        </w:rPr>
      </w:pPr>
    </w:p>
    <w:p>
      <w:pPr>
        <w:pStyle w:val="26"/>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22"/>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440" w:lineRule="exact"/>
              <w:rPr>
                <w:rFonts w:hint="eastAsia" w:asciiTheme="minorEastAsia" w:hAnsiTheme="minorEastAsia" w:cstheme="minorEastAsia"/>
                <w:b/>
                <w:color w:val="000000"/>
                <w:sz w:val="28"/>
                <w:szCs w:val="28"/>
              </w:rPr>
            </w:pPr>
            <w:r>
              <w:rPr>
                <w:rFonts w:hint="eastAsia" w:ascii="宋体" w:hAnsi="宋体"/>
                <w:sz w:val="24"/>
              </w:rPr>
              <w:t>项目名称：</w:t>
            </w:r>
            <w:r>
              <w:rPr>
                <w:rFonts w:hint="eastAsia" w:asciiTheme="minorEastAsia" w:hAnsiTheme="minorEastAsia" w:cstheme="minorEastAsia"/>
                <w:b/>
                <w:color w:val="000000"/>
                <w:sz w:val="28"/>
                <w:szCs w:val="28"/>
                <w:lang w:eastAsia="zh-CN"/>
              </w:rPr>
              <w:t>铜仁一中初级中学篮球场建设项目</w:t>
            </w:r>
          </w:p>
          <w:p>
            <w:pPr>
              <w:spacing w:line="400" w:lineRule="exact"/>
              <w:rPr>
                <w:rFonts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铜仁一中初级中学</w:t>
            </w:r>
            <w:r>
              <w:rPr>
                <w:rFonts w:hint="eastAsia" w:ascii="宋体" w:hAnsi="宋体"/>
                <w:sz w:val="24"/>
                <w:u w:val="single"/>
              </w:rPr>
              <w:t xml:space="preserve">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铜仁一中初级中学</w:t>
            </w:r>
            <w:r>
              <w:rPr>
                <w:rFonts w:hint="eastAsia" w:ascii="宋体" w:hAnsi="宋体"/>
                <w:sz w:val="24"/>
                <w:u w:val="single"/>
              </w:rPr>
              <w:t xml:space="preserve">   </w:t>
            </w:r>
            <w:r>
              <w:rPr>
                <w:rFonts w:hint="eastAsia" w:ascii="宋体" w:hAnsi="宋体"/>
                <w:sz w:val="24"/>
              </w:rPr>
              <w:t xml:space="preserve"> </w:t>
            </w:r>
          </w:p>
          <w:p>
            <w:pPr>
              <w:pStyle w:val="2"/>
              <w:numPr>
                <w:ilvl w:val="0"/>
                <w:numId w:val="0"/>
              </w:numPr>
              <w:spacing w:line="440" w:lineRule="exact"/>
              <w:rPr>
                <w:rFonts w:hint="eastAsia" w:asciiTheme="minorEastAsia" w:hAnsiTheme="minorEastAsia" w:cstheme="minorEastAsia"/>
                <w:b/>
                <w:color w:val="000000"/>
                <w:sz w:val="28"/>
                <w:szCs w:val="28"/>
              </w:rPr>
            </w:pPr>
            <w:r>
              <w:rPr>
                <w:rFonts w:hint="eastAsia" w:ascii="宋体" w:hAnsi="宋体"/>
                <w:sz w:val="24"/>
              </w:rPr>
              <w:t>项目内容：</w:t>
            </w:r>
            <w:r>
              <w:rPr>
                <w:rFonts w:hint="eastAsia" w:asciiTheme="minorEastAsia" w:hAnsiTheme="minorEastAsia" w:cstheme="minorEastAsia"/>
                <w:b/>
                <w:color w:val="000000"/>
                <w:sz w:val="28"/>
                <w:szCs w:val="28"/>
                <w:lang w:eastAsia="zh-CN"/>
              </w:rPr>
              <w:t>铜仁一中初级中学篮球场建设项目</w:t>
            </w:r>
          </w:p>
          <w:p>
            <w:pPr>
              <w:spacing w:line="400" w:lineRule="exact"/>
              <w:rPr>
                <w:rFonts w:ascii="宋体" w:hAnsi="宋体"/>
                <w:sz w:val="24"/>
                <w:u w:val="single"/>
              </w:rPr>
            </w:pPr>
            <w:r>
              <w:rPr>
                <w:rFonts w:hint="eastAsia" w:ascii="宋体" w:hAnsi="宋体"/>
                <w:sz w:val="24"/>
              </w:rPr>
              <w:t xml:space="preserve">项目编号： </w:t>
            </w:r>
            <w:r>
              <w:rPr>
                <w:rFonts w:hint="eastAsia" w:ascii="宋体" w:hAnsi="宋体"/>
                <w:sz w:val="24"/>
                <w:lang w:eastAsia="zh-CN"/>
              </w:rPr>
              <w:t>TRZFCG-2020-088</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lang w:val="en-US" w:eastAsia="zh-CN"/>
              </w:rPr>
              <w:t>49.7131</w:t>
            </w:r>
            <w:r>
              <w:rPr>
                <w:rFonts w:hint="eastAsia" w:ascii="宋体" w:hAnsi="宋体"/>
                <w:color w:val="000000"/>
                <w:sz w:val="24"/>
                <w:lang w:val="en-US" w:eastAsia="zh-CN"/>
              </w:rPr>
              <w:t>万元（最高限价：49.7131万元）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r>
              <w:rPr>
                <w:rFonts w:hint="eastAsia" w:hAnsi="宋体"/>
                <w:color w:val="000000"/>
                <w:sz w:val="24"/>
                <w:szCs w:val="24"/>
              </w:rPr>
              <w:t>铜仁市公共资源交易中心</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 w:val="24"/>
              </w:rPr>
            </w:pPr>
            <w:r>
              <w:rPr>
                <w:rFonts w:ascii="Arial" w:cs="Arial"/>
                <w:sz w:val="24"/>
              </w:rPr>
              <w:t>谈判保证金：响应文件应附有人民币</w:t>
            </w:r>
            <w:r>
              <w:rPr>
                <w:rFonts w:hint="eastAsia" w:ascii="Arial" w:cs="Arial"/>
                <w:sz w:val="24"/>
              </w:rPr>
              <w:t>：</w:t>
            </w:r>
            <w:r>
              <w:rPr>
                <w:rFonts w:hint="eastAsia" w:hAnsi="宋体"/>
                <w:b/>
                <w:color w:val="000000"/>
                <w:sz w:val="24"/>
                <w:szCs w:val="24"/>
                <w:lang w:val="en-US" w:eastAsia="zh-CN"/>
              </w:rPr>
              <w:t>2</w:t>
            </w:r>
            <w:r>
              <w:rPr>
                <w:rFonts w:hint="eastAsia" w:hAnsi="宋体"/>
                <w:b/>
                <w:color w:val="000000"/>
                <w:sz w:val="24"/>
                <w:szCs w:val="24"/>
              </w:rPr>
              <w:t>000元人民币</w:t>
            </w:r>
            <w:r>
              <w:rPr>
                <w:rFonts w:ascii="Arial" w:cs="Arial"/>
                <w:sz w:val="24"/>
              </w:rPr>
              <w:t>整的谈判保证金，</w:t>
            </w:r>
            <w:r>
              <w:rPr>
                <w:rFonts w:hint="eastAsia" w:ascii="Arial" w:hAnsi="Arial" w:cs="Arial"/>
                <w:sz w:val="24"/>
              </w:rPr>
              <w:t>保证金必须从供应商账户支付且在响应文件提交截止时间前到账，</w:t>
            </w:r>
            <w:r>
              <w:rPr>
                <w:rFonts w:ascii="Arial" w:cs="Arial"/>
                <w:sz w:val="24"/>
              </w:rPr>
              <w:t>为方便谈判保证金的收、退结算，请在</w:t>
            </w:r>
            <w:r>
              <w:rPr>
                <w:rFonts w:hint="eastAsia" w:ascii="Arial" w:cs="Arial"/>
                <w:sz w:val="24"/>
              </w:rPr>
              <w:t>网上</w:t>
            </w:r>
            <w:r>
              <w:rPr>
                <w:rFonts w:ascii="Arial" w:cs="Arial"/>
                <w:sz w:val="24"/>
              </w:rPr>
              <w:t>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lang w:val="en-US" w:eastAsia="zh-CN"/>
              </w:rPr>
            </w:pPr>
            <w:r>
              <w:rPr>
                <w:rFonts w:hint="eastAsia" w:ascii="宋体" w:hAnsi="宋体"/>
                <w:sz w:val="24"/>
                <w:lang w:val="en-US" w:eastAsia="zh-CN"/>
              </w:rPr>
              <w:t>9</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hint="eastAsia" w:ascii="宋体" w:hAnsi="宋体"/>
          <w:b/>
          <w:bCs/>
          <w:sz w:val="24"/>
        </w:rPr>
      </w:pPr>
      <w:r>
        <w:rPr>
          <w:rFonts w:hint="eastAsia" w:ascii="宋体" w:hAnsi="宋体"/>
          <w:b/>
          <w:bCs/>
          <w:sz w:val="24"/>
        </w:rPr>
        <w:br w:type="page"/>
      </w:r>
    </w:p>
    <w:p>
      <w:pPr>
        <w:spacing w:line="400" w:lineRule="exact"/>
        <w:jc w:val="center"/>
        <w:rPr>
          <w:rFonts w:ascii="宋体" w:hAnsi="宋体"/>
          <w:b/>
          <w:bCs/>
          <w:sz w:val="32"/>
          <w:u w:val="single"/>
        </w:rPr>
      </w:pP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7"/>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ind w:firstLine="480" w:firstLineChars="200"/>
              <w:rPr>
                <w:rFonts w:ascii="宋体" w:hAnsi="宋体" w:cs="宋体"/>
                <w:sz w:val="24"/>
                <w:szCs w:val="24"/>
              </w:rPr>
            </w:pPr>
            <w:r>
              <w:rPr>
                <w:rFonts w:hint="eastAsia" w:ascii="宋体" w:hAnsi="宋体" w:cs="宋体"/>
                <w:sz w:val="24"/>
                <w:szCs w:val="24"/>
              </w:rPr>
              <w:t>(六)法律、行政法规规定的其他条件。</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30 </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谈判供应商对关键性条款存在任何负偏离或不满足将导致报价无效。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22"/>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60" w:beforeLines="25" w:after="60"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60" w:beforeLines="25" w:after="60" w:afterLines="25" w:line="400" w:lineRule="exact"/>
              <w:ind w:left="-65" w:leftChars="-31" w:firstLine="475" w:firstLineChars="205"/>
              <w:rPr>
                <w:rFonts w:ascii="宋体" w:hAnsi="宋体" w:cs="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spacing w:before="60" w:beforeLines="25" w:after="60" w:afterLines="25" w:line="400" w:lineRule="exact"/>
              <w:ind w:left="-65" w:leftChars="-31" w:firstLine="491" w:firstLineChars="205"/>
              <w:rPr>
                <w:rFonts w:ascii="宋体" w:hAnsi="宋体"/>
                <w:color w:val="000000"/>
                <w:spacing w:val="-4"/>
                <w:sz w:val="24"/>
              </w:rPr>
            </w:pPr>
            <w:r>
              <w:rPr>
                <w:rFonts w:hint="eastAsia" w:ascii="宋体" w:hAnsi="宋体"/>
                <w:sz w:val="24"/>
              </w:rPr>
              <w:t>②</w:t>
            </w: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60" w:beforeLines="25" w:after="60"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line="400" w:lineRule="exact"/>
              <w:ind w:firstLine="464"/>
              <w:rPr>
                <w:rFonts w:ascii="宋体" w:hAnsi="宋体" w:cs="宋体"/>
                <w:sz w:val="24"/>
              </w:rPr>
            </w:pPr>
            <w:r>
              <w:rPr>
                <w:rFonts w:hint="eastAsia" w:ascii="宋体" w:hAnsi="宋体"/>
                <w:color w:val="000000"/>
                <w:spacing w:val="-4"/>
                <w:sz w:val="24"/>
              </w:rPr>
              <w:t>①</w:t>
            </w:r>
            <w:r>
              <w:rPr>
                <w:rFonts w:hint="eastAsia" w:ascii="宋体" w:hAnsi="宋体" w:cs="宋体"/>
                <w:sz w:val="24"/>
              </w:rPr>
              <w:t>履约保证金：按约定比例的50%支付</w:t>
            </w:r>
            <w:r>
              <w:rPr>
                <w:rFonts w:hint="eastAsia" w:ascii="宋体" w:hAnsi="宋体"/>
                <w:sz w:val="24"/>
              </w:rPr>
              <w:t>（如果有的话）</w:t>
            </w:r>
          </w:p>
          <w:p>
            <w:pPr>
              <w:spacing w:before="60" w:beforeLines="25" w:after="60" w:afterLines="25" w:line="400" w:lineRule="exact"/>
              <w:ind w:firstLine="464" w:firstLineChars="200"/>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22"/>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tcPr>
                <w:p>
                  <w:pPr>
                    <w:spacing w:line="400" w:lineRule="exact"/>
                    <w:rPr>
                      <w:rFonts w:ascii="宋体" w:hAnsi="宋体"/>
                      <w:sz w:val="24"/>
                    </w:rPr>
                  </w:pPr>
                </w:p>
              </w:tc>
            </w:tr>
          </w:tbl>
          <w:p>
            <w:pPr>
              <w:spacing w:before="60" w:beforeLines="25" w:after="60" w:afterLines="25" w:line="400" w:lineRule="exact"/>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r>
        <w:rPr>
          <w:rFonts w:hAnsi="宋体"/>
          <w:b/>
          <w:sz w:val="32"/>
          <w:szCs w:val="32"/>
        </w:rPr>
        <w:br w:type="page"/>
      </w:r>
    </w:p>
    <w:p>
      <w:pPr>
        <w:pStyle w:val="2"/>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2"/>
        <w:spacing w:line="400" w:lineRule="exact"/>
        <w:jc w:val="center"/>
        <w:rPr>
          <w:rFonts w:hAnsi="宋体"/>
          <w:b/>
          <w:sz w:val="24"/>
        </w:rPr>
      </w:pPr>
      <w:r>
        <w:rPr>
          <w:rFonts w:hint="eastAsia" w:hAnsi="宋体"/>
          <w:b/>
          <w:sz w:val="24"/>
        </w:rPr>
        <w:t>一、</w:t>
      </w:r>
      <w:r>
        <w:rPr>
          <w:rFonts w:hAnsi="宋体"/>
          <w:b/>
          <w:sz w:val="24"/>
        </w:rPr>
        <w:t>说明</w:t>
      </w:r>
    </w:p>
    <w:p>
      <w:pPr>
        <w:pStyle w:val="2"/>
        <w:spacing w:line="400" w:lineRule="exact"/>
        <w:jc w:val="left"/>
        <w:rPr>
          <w:rFonts w:hAnsi="宋体"/>
          <w:b/>
          <w:sz w:val="24"/>
        </w:rPr>
      </w:pPr>
      <w:r>
        <w:rPr>
          <w:rFonts w:hAnsi="宋体"/>
          <w:b/>
          <w:sz w:val="24"/>
        </w:rPr>
        <w:t>1.适用范围</w:t>
      </w:r>
    </w:p>
    <w:p>
      <w:pPr>
        <w:pStyle w:val="2"/>
        <w:spacing w:line="400" w:lineRule="exact"/>
        <w:ind w:firstLine="480" w:firstLineChars="200"/>
        <w:jc w:val="left"/>
        <w:rPr>
          <w:rFonts w:hAnsi="宋体"/>
          <w:sz w:val="24"/>
        </w:rPr>
      </w:pPr>
      <w:r>
        <w:rPr>
          <w:rFonts w:hAnsi="宋体"/>
          <w:sz w:val="24"/>
        </w:rPr>
        <w:t>1.1本谈判文件仅适用于邀请中所叙述项目的货物采购。</w:t>
      </w:r>
    </w:p>
    <w:p>
      <w:pPr>
        <w:pStyle w:val="2"/>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2"/>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2"/>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谈判响应供应商具备《中华人民共和国政府采购法》第二十二条第一款规定的条件，应提供以下材料：</w:t>
      </w:r>
    </w:p>
    <w:p>
      <w:pPr>
        <w:spacing w:line="400" w:lineRule="exact"/>
        <w:ind w:firstLine="480"/>
        <w:rPr>
          <w:rFonts w:ascii="宋体" w:hAnsi="宋体"/>
          <w:sz w:val="24"/>
        </w:rPr>
      </w:pPr>
      <w:r>
        <w:rPr>
          <w:rFonts w:hint="eastAsia" w:ascii="宋体" w:hAnsi="宋体"/>
          <w:sz w:val="24"/>
        </w:rPr>
        <w:t>（1）法人或者其他组织的营业执照等证明文件，自然人的身份证明；</w:t>
      </w:r>
    </w:p>
    <w:p>
      <w:pPr>
        <w:spacing w:line="400" w:lineRule="exact"/>
        <w:ind w:firstLine="480"/>
        <w:rPr>
          <w:rFonts w:ascii="宋体" w:hAnsi="宋体"/>
          <w:sz w:val="24"/>
        </w:rPr>
      </w:pPr>
      <w:r>
        <w:rPr>
          <w:rFonts w:hint="eastAsia" w:ascii="宋体" w:hAnsi="宋体"/>
          <w:sz w:val="24"/>
        </w:rPr>
        <w:t>谈判响应供应商是法人或者其他组织的应提供营业执照等证明文件，谈判响应供应商是自然人的应提供有效的自然人身份证明。</w:t>
      </w:r>
    </w:p>
    <w:p>
      <w:pPr>
        <w:pStyle w:val="27"/>
        <w:spacing w:line="400" w:lineRule="exact"/>
        <w:ind w:firstLine="240" w:firstLineChars="100"/>
      </w:pPr>
      <w:r>
        <w:rPr>
          <w:rFonts w:hint="eastAsia"/>
        </w:rPr>
        <w:t>（2）最近一期（上一季度或年度）</w:t>
      </w:r>
      <w:r>
        <w:t>财务状况报告</w:t>
      </w:r>
      <w:r>
        <w:rPr>
          <w:rFonts w:hint="eastAsia"/>
        </w:rPr>
        <w:t>及</w:t>
      </w:r>
      <w:r>
        <w:t>相关材料</w:t>
      </w:r>
      <w:r>
        <w:rPr>
          <w:rFonts w:hint="eastAsia"/>
        </w:rPr>
        <w:t>；若谈判供应商因新注册成立等原因无法提供上述证明材料的，应在响应文件中提交如实的情况说明</w:t>
      </w:r>
      <w:r>
        <w:t>；</w:t>
      </w:r>
    </w:p>
    <w:p>
      <w:pPr>
        <w:pStyle w:val="27"/>
        <w:spacing w:line="400" w:lineRule="exact"/>
        <w:ind w:firstLine="240" w:firstLineChars="100"/>
      </w:pPr>
      <w:r>
        <w:rPr>
          <w:rFonts w:hint="eastAsia"/>
        </w:rPr>
        <w:t>或基本开户银行出具的资信证明。</w:t>
      </w:r>
    </w:p>
    <w:p>
      <w:pPr>
        <w:spacing w:line="400" w:lineRule="exact"/>
        <w:ind w:firstLine="480" w:firstLineChars="200"/>
        <w:rPr>
          <w:rFonts w:ascii="宋体" w:hAnsi="宋体"/>
          <w:sz w:val="24"/>
        </w:rPr>
      </w:pPr>
      <w:r>
        <w:rPr>
          <w:rFonts w:hint="eastAsia" w:ascii="宋体" w:hAnsi="宋体"/>
          <w:sz w:val="24"/>
        </w:rPr>
        <w:t>（4）参加政府采购活动前3年内在经营活动中没有重大违法记录的书面声明；</w:t>
      </w:r>
    </w:p>
    <w:p>
      <w:pPr>
        <w:spacing w:line="400" w:lineRule="exact"/>
        <w:ind w:firstLine="480" w:firstLineChars="200"/>
        <w:rPr>
          <w:rFonts w:ascii="宋体" w:hAnsi="宋体"/>
          <w:sz w:val="24"/>
        </w:rPr>
      </w:pPr>
      <w:r>
        <w:rPr>
          <w:rFonts w:hint="eastAsia" w:ascii="宋体" w:hAnsi="宋体"/>
          <w:sz w:val="24"/>
        </w:rPr>
        <w:t>（5）具备法律、行政法规规定的其他条件的证明材料。</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2"/>
        <w:spacing w:line="400" w:lineRule="exact"/>
        <w:jc w:val="left"/>
        <w:rPr>
          <w:rFonts w:hAnsi="宋体"/>
          <w:b/>
          <w:sz w:val="24"/>
        </w:rPr>
      </w:pPr>
      <w:r>
        <w:rPr>
          <w:rFonts w:hAnsi="宋体"/>
          <w:b/>
          <w:sz w:val="24"/>
        </w:rPr>
        <w:t>4.谈判费用</w:t>
      </w:r>
    </w:p>
    <w:p>
      <w:pPr>
        <w:pStyle w:val="2"/>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2"/>
        <w:spacing w:line="400" w:lineRule="exact"/>
        <w:jc w:val="left"/>
        <w:rPr>
          <w:rFonts w:hAnsi="宋体"/>
          <w:b/>
          <w:sz w:val="24"/>
        </w:rPr>
      </w:pPr>
      <w:r>
        <w:rPr>
          <w:rFonts w:hAnsi="宋体"/>
          <w:b/>
          <w:sz w:val="24"/>
        </w:rPr>
        <w:t>5.知识产权</w:t>
      </w:r>
    </w:p>
    <w:p>
      <w:pPr>
        <w:pStyle w:val="2"/>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0"/>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2"/>
        <w:spacing w:line="400" w:lineRule="exact"/>
        <w:jc w:val="left"/>
        <w:rPr>
          <w:rFonts w:hAnsi="宋体"/>
          <w:b/>
          <w:sz w:val="24"/>
        </w:rPr>
      </w:pPr>
      <w:r>
        <w:rPr>
          <w:rFonts w:hAnsi="宋体"/>
          <w:b/>
          <w:sz w:val="24"/>
        </w:rPr>
        <w:t>6.谈判文件的组成</w:t>
      </w:r>
    </w:p>
    <w:p>
      <w:pPr>
        <w:pStyle w:val="2"/>
        <w:spacing w:line="400" w:lineRule="exact"/>
        <w:ind w:firstLine="480" w:firstLineChars="200"/>
        <w:jc w:val="left"/>
        <w:rPr>
          <w:rFonts w:hAnsi="宋体"/>
          <w:sz w:val="24"/>
        </w:rPr>
      </w:pPr>
      <w:r>
        <w:rPr>
          <w:rFonts w:hAnsi="宋体"/>
          <w:sz w:val="24"/>
        </w:rPr>
        <w:t>6.1谈判文件用以阐明所需货物及服务、谈判程序和合同格式及条款。谈判文件由下述部分组成：</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w:t>
      </w:r>
      <w:r>
        <w:rPr>
          <w:rFonts w:hint="eastAsia" w:hAnsi="宋体"/>
          <w:sz w:val="24"/>
          <w:lang w:eastAsia="zh-CN"/>
        </w:rPr>
        <w:t>公告</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2"/>
        <w:spacing w:line="400" w:lineRule="exact"/>
        <w:ind w:firstLine="480" w:firstLineChars="200"/>
        <w:jc w:val="left"/>
        <w:rPr>
          <w:rFonts w:hAnsi="宋体"/>
          <w:sz w:val="24"/>
        </w:rPr>
      </w:pPr>
      <w:r>
        <w:rPr>
          <w:rFonts w:hint="eastAsia" w:hAnsi="宋体"/>
          <w:sz w:val="24"/>
        </w:rPr>
        <w:t>（3）谈判供应商须知正文部分</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lang w:val="en-US" w:eastAsia="zh-CN"/>
        </w:rPr>
        <w:t xml:space="preserve"> </w:t>
      </w: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2"/>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2"/>
        <w:spacing w:line="400" w:lineRule="exact"/>
        <w:ind w:firstLine="360" w:firstLineChars="150"/>
        <w:jc w:val="left"/>
        <w:rPr>
          <w:rFonts w:hAnsi="宋体"/>
          <w:sz w:val="24"/>
        </w:rPr>
      </w:pPr>
      <w:r>
        <w:rPr>
          <w:rFonts w:hint="eastAsia" w:hAnsi="宋体"/>
          <w:sz w:val="24"/>
          <w:lang w:val="en-US" w:eastAsia="zh-CN"/>
        </w:rPr>
        <w:t xml:space="preserve"> </w:t>
      </w:r>
      <w:r>
        <w:rPr>
          <w:rFonts w:hAnsi="宋体"/>
          <w:sz w:val="24"/>
        </w:rPr>
        <w:t>（</w:t>
      </w:r>
      <w:r>
        <w:rPr>
          <w:rFonts w:hint="eastAsia" w:hAnsi="宋体"/>
          <w:sz w:val="24"/>
        </w:rPr>
        <w:t>6</w:t>
      </w:r>
      <w:r>
        <w:rPr>
          <w:rFonts w:hAnsi="宋体"/>
          <w:sz w:val="24"/>
        </w:rPr>
        <w:t>）响应文件格式</w:t>
      </w:r>
    </w:p>
    <w:p>
      <w:pPr>
        <w:pStyle w:val="2"/>
        <w:spacing w:line="400" w:lineRule="exact"/>
        <w:jc w:val="left"/>
        <w:rPr>
          <w:rFonts w:hAnsi="宋体"/>
          <w:b/>
          <w:sz w:val="24"/>
        </w:rPr>
      </w:pPr>
      <w:r>
        <w:rPr>
          <w:rFonts w:hAnsi="宋体"/>
          <w:b/>
          <w:sz w:val="24"/>
        </w:rPr>
        <w:t>7.</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7.1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本谈判文件第7.2条规定的推迟响应截止时间情形不受本条约束。</w:t>
      </w:r>
    </w:p>
    <w:p>
      <w:pPr>
        <w:pStyle w:val="7"/>
        <w:snapToGrid w:val="0"/>
        <w:spacing w:line="400" w:lineRule="exact"/>
        <w:ind w:firstLineChars="175"/>
        <w:outlineLvl w:val="0"/>
        <w:rPr>
          <w:sz w:val="24"/>
        </w:rPr>
      </w:pPr>
      <w:r>
        <w:rPr>
          <w:rFonts w:hint="eastAsia"/>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2"/>
        <w:spacing w:line="400" w:lineRule="exact"/>
        <w:jc w:val="left"/>
        <w:rPr>
          <w:rFonts w:hAnsi="宋体"/>
          <w:b/>
          <w:sz w:val="24"/>
        </w:rPr>
      </w:pPr>
      <w:r>
        <w:rPr>
          <w:rFonts w:hAnsi="宋体"/>
          <w:b/>
          <w:sz w:val="24"/>
        </w:rPr>
        <w:t>8.要求</w:t>
      </w:r>
    </w:p>
    <w:p>
      <w:pPr>
        <w:pStyle w:val="2"/>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2"/>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2"/>
        <w:spacing w:line="400" w:lineRule="exact"/>
        <w:jc w:val="left"/>
        <w:rPr>
          <w:rFonts w:hAnsi="宋体"/>
          <w:b/>
          <w:sz w:val="24"/>
        </w:rPr>
      </w:pPr>
      <w:r>
        <w:rPr>
          <w:rFonts w:hint="eastAsia" w:hAnsi="宋体"/>
          <w:b/>
          <w:sz w:val="24"/>
        </w:rPr>
        <w:t>9.谈判响应文件语言及报价要求</w:t>
      </w:r>
    </w:p>
    <w:p>
      <w:pPr>
        <w:pStyle w:val="2"/>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2"/>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10.2 </w:t>
      </w:r>
      <w:r>
        <w:rPr>
          <w:rFonts w:hint="eastAsia" w:asciiTheme="minorEastAsia" w:hAnsiTheme="minorEastAsia" w:cstheme="minorEastAsia"/>
          <w:sz w:val="24"/>
          <w:szCs w:val="24"/>
          <w:lang w:eastAsia="zh-CN"/>
        </w:rPr>
        <w:t>谈判</w:t>
      </w:r>
      <w:r>
        <w:rPr>
          <w:rFonts w:hint="eastAsia" w:asciiTheme="minorEastAsia" w:hAnsiTheme="minorEastAsia" w:cstheme="minorEastAsia"/>
          <w:sz w:val="24"/>
          <w:szCs w:val="24"/>
        </w:rPr>
        <w:t>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10.3 工程量清单报价表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10.4 技术规格偏离表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10.5 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10.6 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10.7</w:t>
      </w:r>
      <w:r>
        <w:rPr>
          <w:rFonts w:hint="eastAsia" w:asciiTheme="minorEastAsia" w:hAnsiTheme="minorEastAsia" w:cstheme="minorEastAsia"/>
          <w:sz w:val="24"/>
          <w:szCs w:val="24"/>
          <w:lang w:val="en-US" w:eastAsia="zh-CN"/>
        </w:rPr>
        <w:t xml:space="preserve"> 资格声明及文件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10.8谈判响应供应商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pStyle w:val="2"/>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2"/>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spacing w:line="400" w:lineRule="exact"/>
        <w:jc w:val="left"/>
        <w:rPr>
          <w:rFonts w:hAnsi="宋体"/>
          <w:b/>
          <w:sz w:val="24"/>
        </w:rPr>
      </w:pPr>
      <w:r>
        <w:rPr>
          <w:rFonts w:hAnsi="宋体"/>
          <w:b/>
          <w:sz w:val="24"/>
        </w:rPr>
        <w:t>1</w:t>
      </w:r>
      <w:r>
        <w:rPr>
          <w:rFonts w:hint="eastAsia" w:hAnsi="宋体"/>
          <w:b/>
          <w:sz w:val="24"/>
        </w:rPr>
        <w:t>2</w:t>
      </w:r>
      <w:r>
        <w:rPr>
          <w:rFonts w:hAnsi="宋体"/>
          <w:b/>
          <w:sz w:val="24"/>
        </w:rPr>
        <w:t>.谈判保证金</w:t>
      </w:r>
    </w:p>
    <w:p>
      <w:pPr>
        <w:pStyle w:val="2"/>
        <w:spacing w:line="400" w:lineRule="exact"/>
        <w:ind w:firstLine="480" w:firstLineChars="200"/>
        <w:jc w:val="left"/>
        <w:rPr>
          <w:rFonts w:hAnsi="宋体"/>
          <w:sz w:val="24"/>
        </w:rPr>
      </w:pPr>
      <w:r>
        <w:rPr>
          <w:rFonts w:hint="eastAsia" w:hAnsi="宋体"/>
          <w:sz w:val="24"/>
        </w:rPr>
        <w:t>12</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spacing w:line="400" w:lineRule="exact"/>
        <w:ind w:firstLine="480" w:firstLineChars="200"/>
        <w:jc w:val="left"/>
        <w:rPr>
          <w:rFonts w:hAnsi="宋体"/>
          <w:sz w:val="24"/>
        </w:rPr>
      </w:pPr>
      <w:r>
        <w:rPr>
          <w:rFonts w:hint="eastAsia" w:hAnsi="宋体"/>
          <w:sz w:val="24"/>
        </w:rPr>
        <w:t>12</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2"/>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2"/>
        <w:spacing w:line="400" w:lineRule="exact"/>
        <w:jc w:val="left"/>
        <w:rPr>
          <w:rFonts w:hAnsi="宋体"/>
          <w:sz w:val="24"/>
        </w:rPr>
      </w:pPr>
      <w:r>
        <w:rPr>
          <w:rFonts w:hint="eastAsia" w:hAnsi="宋体"/>
          <w:sz w:val="24"/>
        </w:rPr>
        <w:t xml:space="preserve">   （4）谈判响应供应商在响应文件中提供虚假材料的；</w:t>
      </w:r>
    </w:p>
    <w:p>
      <w:pPr>
        <w:pStyle w:val="2"/>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2"/>
        <w:spacing w:line="400" w:lineRule="exact"/>
        <w:ind w:firstLine="360" w:firstLineChars="150"/>
        <w:jc w:val="left"/>
        <w:rPr>
          <w:rFonts w:hAnsi="宋体"/>
          <w:sz w:val="24"/>
        </w:rPr>
      </w:pPr>
      <w:r>
        <w:rPr>
          <w:rFonts w:hint="eastAsia" w:hAnsi="宋体"/>
          <w:sz w:val="24"/>
        </w:rPr>
        <w:t>（6）以不正当手段诋毁、排挤其他供应商的；</w:t>
      </w:r>
    </w:p>
    <w:p>
      <w:pPr>
        <w:pStyle w:val="2"/>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2"/>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2"/>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2"/>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2"/>
        <w:spacing w:line="40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2"/>
        <w:spacing w:line="400" w:lineRule="exact"/>
        <w:ind w:firstLine="482" w:firstLineChars="200"/>
        <w:jc w:val="left"/>
        <w:rPr>
          <w:rFonts w:hAnsi="宋体"/>
          <w:b/>
          <w:bCs/>
          <w:color w:val="FF0000"/>
          <w:sz w:val="24"/>
        </w:rPr>
      </w:pPr>
      <w:r>
        <w:rPr>
          <w:rFonts w:hint="eastAsia" w:hAnsi="宋体"/>
          <w:b/>
          <w:bCs/>
          <w:color w:val="FF0000"/>
          <w:sz w:val="24"/>
        </w:rPr>
        <w:t>13.</w:t>
      </w:r>
      <w:r>
        <w:rPr>
          <w:rFonts w:hAnsi="宋体"/>
          <w:b/>
          <w:bCs/>
          <w:color w:val="FF0000"/>
          <w:sz w:val="24"/>
        </w:rPr>
        <w:t>1</w:t>
      </w:r>
      <w:r>
        <w:rPr>
          <w:rFonts w:hint="eastAsia" w:hAnsi="宋体"/>
          <w:b/>
          <w:bCs/>
          <w:color w:val="FF0000"/>
          <w:sz w:val="24"/>
        </w:rPr>
        <w:t>投标人应将投标文件用密封袋密封，正、副本单独封装</w:t>
      </w:r>
      <w:r>
        <w:rPr>
          <w:rFonts w:hint="eastAsia" w:hAnsi="宋体"/>
          <w:b/>
          <w:bCs/>
          <w:color w:val="FF0000"/>
          <w:sz w:val="24"/>
          <w:lang w:eastAsia="zh-CN"/>
        </w:rPr>
        <w:t>或一起封装</w:t>
      </w:r>
      <w:r>
        <w:rPr>
          <w:rFonts w:hint="eastAsia" w:hAnsi="宋体"/>
          <w:b/>
          <w:bCs/>
          <w:color w:val="FF0000"/>
          <w:sz w:val="24"/>
        </w:rPr>
        <w:t>，投标文件密封袋及正文封面均应注明“正本”“副本”。正副本</w:t>
      </w:r>
      <w:r>
        <w:rPr>
          <w:rFonts w:hint="eastAsia" w:hAnsi="宋体"/>
          <w:b/>
          <w:bCs/>
          <w:color w:val="FF0000"/>
          <w:sz w:val="24"/>
          <w:lang w:eastAsia="zh-CN"/>
        </w:rPr>
        <w:t>密封袋</w:t>
      </w:r>
      <w:r>
        <w:rPr>
          <w:rFonts w:hint="eastAsia" w:hAnsi="宋体"/>
          <w:b/>
          <w:bCs/>
          <w:color w:val="FF0000"/>
          <w:sz w:val="24"/>
        </w:rPr>
        <w:t>及投标文件封面均应写明项目名称、招标编号、投标人名称、地址、联系人及联系人电话，并加盖投标单位公章。</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2"/>
        <w:spacing w:line="400" w:lineRule="exact"/>
        <w:ind w:firstLine="480" w:firstLineChars="200"/>
        <w:jc w:val="left"/>
        <w:rPr>
          <w:rFonts w:hAnsi="宋体"/>
          <w:sz w:val="24"/>
        </w:rPr>
      </w:pPr>
      <w:r>
        <w:rPr>
          <w:rFonts w:hint="eastAsia" w:hAnsi="宋体"/>
          <w:sz w:val="24"/>
        </w:rPr>
        <w:t>13.5谈判文件的正本和全部副本均应使用不能擦去的墨料或墨水打印、书写或复印，并由法定代表人或其授权代表签署，盖谈判响应供应商公章。</w:t>
      </w:r>
    </w:p>
    <w:p>
      <w:pPr>
        <w:pStyle w:val="30"/>
        <w:spacing w:line="400" w:lineRule="exact"/>
        <w:ind w:firstLine="480" w:firstLineChars="200"/>
        <w:outlineLvl w:val="9"/>
        <w:rPr>
          <w:rFonts w:hAnsi="宋体"/>
          <w:sz w:val="24"/>
        </w:rPr>
      </w:pPr>
      <w:r>
        <w:rPr>
          <w:rFonts w:hint="eastAsia" w:hAnsi="宋体"/>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0"/>
        <w:spacing w:line="400" w:lineRule="exact"/>
        <w:ind w:firstLine="480" w:firstLineChars="200"/>
        <w:outlineLvl w:val="9"/>
        <w:rPr>
          <w:rFonts w:hAnsi="宋体"/>
          <w:sz w:val="24"/>
        </w:rPr>
      </w:pPr>
      <w:r>
        <w:rPr>
          <w:rFonts w:hint="eastAsia" w:hAnsi="宋体"/>
          <w:sz w:val="24"/>
        </w:rPr>
        <w:t>13.7</w:t>
      </w:r>
      <w:r>
        <w:rPr>
          <w:rFonts w:hint="eastAsia" w:hAnsi="宋体"/>
          <w:color w:val="FF0000"/>
          <w:sz w:val="24"/>
        </w:rPr>
        <w:t>未按本谈判文件规定的要求盖章和格式填写响应文件、响应文件字迹模糊不清的，其谈判文件响应将被拒绝。</w:t>
      </w:r>
    </w:p>
    <w:p>
      <w:pPr>
        <w:pStyle w:val="30"/>
        <w:spacing w:line="400" w:lineRule="exact"/>
        <w:ind w:firstLine="480" w:firstLineChars="200"/>
        <w:outlineLvl w:val="9"/>
        <w:rPr>
          <w:rFonts w:hAnsi="宋体"/>
          <w:sz w:val="24"/>
        </w:rPr>
      </w:pPr>
      <w:r>
        <w:rPr>
          <w:rFonts w:hint="eastAsia" w:hAnsi="宋体"/>
          <w:sz w:val="24"/>
        </w:rPr>
        <w:t>13.8 所有资格证明文件复印件须加盖谈判响应供应商公章。</w:t>
      </w:r>
    </w:p>
    <w:p>
      <w:pPr>
        <w:pStyle w:val="30"/>
        <w:spacing w:line="400" w:lineRule="exact"/>
        <w:ind w:firstLine="480" w:firstLineChars="200"/>
        <w:outlineLvl w:val="9"/>
        <w:rPr>
          <w:rFonts w:hAnsi="宋体"/>
          <w:sz w:val="24"/>
        </w:rPr>
      </w:pPr>
      <w:r>
        <w:rPr>
          <w:rFonts w:hint="eastAsia" w:hAnsi="宋体"/>
          <w:sz w:val="24"/>
        </w:rPr>
        <w:t>13.9谈判响应供应商应将上述文件按顺序胶装订成册、打印页码，并编列响应文件目录、资料清单，由于装订不规范或编排顺序混乱而导致响应文件被误读或漏读，该谈判响应可能被视为无效响应或承担不利的评审结果。</w:t>
      </w:r>
    </w:p>
    <w:p>
      <w:pPr>
        <w:pStyle w:val="30"/>
        <w:spacing w:line="400" w:lineRule="exact"/>
        <w:ind w:firstLine="482" w:firstLineChars="200"/>
        <w:jc w:val="center"/>
        <w:outlineLvl w:val="9"/>
        <w:rPr>
          <w:rFonts w:hAnsi="宋体"/>
          <w:b/>
          <w:sz w:val="24"/>
        </w:rPr>
      </w:pPr>
    </w:p>
    <w:p>
      <w:pPr>
        <w:pStyle w:val="30"/>
        <w:spacing w:line="400" w:lineRule="exact"/>
        <w:ind w:firstLine="482" w:firstLineChars="200"/>
        <w:jc w:val="center"/>
        <w:outlineLvl w:val="9"/>
        <w:rPr>
          <w:rFonts w:hAnsi="宋体"/>
          <w:b/>
          <w:sz w:val="24"/>
        </w:rPr>
      </w:pPr>
      <w:r>
        <w:rPr>
          <w:rFonts w:hint="eastAsia" w:hAnsi="宋体"/>
          <w:b/>
          <w:sz w:val="24"/>
        </w:rPr>
        <w:t>四、响应文件的提交</w:t>
      </w:r>
    </w:p>
    <w:p>
      <w:pPr>
        <w:pStyle w:val="30"/>
        <w:spacing w:line="400" w:lineRule="exact"/>
        <w:outlineLvl w:val="9"/>
        <w:rPr>
          <w:rFonts w:hAnsi="宋体"/>
          <w:b/>
          <w:sz w:val="24"/>
        </w:rPr>
      </w:pPr>
      <w:r>
        <w:rPr>
          <w:rFonts w:hint="eastAsia" w:hAnsi="宋体"/>
          <w:b/>
          <w:sz w:val="24"/>
        </w:rPr>
        <w:t>14.响应文件的密封、标记和递交</w:t>
      </w:r>
    </w:p>
    <w:p>
      <w:pPr>
        <w:pStyle w:val="30"/>
        <w:spacing w:line="400" w:lineRule="exact"/>
        <w:ind w:firstLine="480" w:firstLineChars="200"/>
        <w:outlineLvl w:val="9"/>
        <w:rPr>
          <w:rFonts w:hAnsi="宋体"/>
          <w:sz w:val="24"/>
        </w:rPr>
      </w:pPr>
      <w:r>
        <w:rPr>
          <w:rFonts w:hint="eastAsia" w:hAnsi="宋体"/>
          <w:sz w:val="24"/>
        </w:rPr>
        <w:t>14.1 谈判响应供应商应将响应文件正本和副本分别用</w:t>
      </w:r>
      <w:r>
        <w:rPr>
          <w:rFonts w:hint="eastAsia" w:hAnsi="宋体"/>
          <w:sz w:val="24"/>
          <w:lang w:eastAsia="zh-CN"/>
        </w:rPr>
        <w:t>密封袋</w:t>
      </w:r>
      <w:r>
        <w:rPr>
          <w:rFonts w:hint="eastAsia" w:hAnsi="宋体"/>
          <w:sz w:val="24"/>
        </w:rPr>
        <w:t>密封</w:t>
      </w:r>
      <w:r>
        <w:rPr>
          <w:rFonts w:hint="eastAsia" w:hAnsi="宋体"/>
          <w:sz w:val="24"/>
          <w:lang w:eastAsia="zh-CN"/>
        </w:rPr>
        <w:t>或一起封装</w:t>
      </w:r>
      <w:r>
        <w:rPr>
          <w:rFonts w:hint="eastAsia" w:hAnsi="宋体"/>
          <w:sz w:val="24"/>
        </w:rPr>
        <w:t xml:space="preserve">，并标明谈判文件编号、谈判响应供应商名称、采购项目名称及“正本”或“副本”。响应文件未密封可导致其谈判被拒绝。     </w:t>
      </w:r>
    </w:p>
    <w:p>
      <w:pPr>
        <w:pStyle w:val="2"/>
        <w:spacing w:line="40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w:t>
      </w:r>
      <w:r>
        <w:rPr>
          <w:rFonts w:hAnsi="宋体"/>
          <w:color w:val="FF0000"/>
          <w:sz w:val="24"/>
        </w:rPr>
        <w:t>如果未按上述规定进行密封和标记，</w:t>
      </w:r>
      <w:r>
        <w:rPr>
          <w:rFonts w:hint="eastAsia" w:hAnsi="宋体"/>
          <w:color w:val="FF0000"/>
          <w:sz w:val="24"/>
        </w:rPr>
        <w:t>投标文件将被拒绝，</w:t>
      </w:r>
      <w:r>
        <w:rPr>
          <w:rFonts w:hAnsi="宋体"/>
          <w:color w:val="FF0000"/>
          <w:sz w:val="24"/>
        </w:rPr>
        <w:t>采购代理机构</w:t>
      </w:r>
      <w:r>
        <w:rPr>
          <w:rFonts w:hint="eastAsia" w:hAnsi="宋体"/>
          <w:color w:val="FF0000"/>
          <w:sz w:val="24"/>
        </w:rPr>
        <w:t>将不承担由此造成的对响应文件的误投或提前拆封的责任。</w:t>
      </w:r>
    </w:p>
    <w:p>
      <w:pPr>
        <w:pStyle w:val="30"/>
        <w:spacing w:line="400" w:lineRule="exact"/>
        <w:ind w:firstLine="480" w:firstLineChars="200"/>
        <w:outlineLvl w:val="9"/>
        <w:rPr>
          <w:rFonts w:hAnsi="宋体"/>
          <w:sz w:val="24"/>
        </w:rPr>
      </w:pPr>
      <w:r>
        <w:rPr>
          <w:rFonts w:hint="eastAsia" w:hAnsi="宋体"/>
          <w:sz w:val="24"/>
        </w:rPr>
        <w:t>14.3响应文件应在谈判邀请中规定的截止时间前送达，迟到的响应文件为无效响应文件，将被拒绝。</w:t>
      </w:r>
    </w:p>
    <w:p>
      <w:pPr>
        <w:pStyle w:val="30"/>
        <w:spacing w:line="40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0"/>
        <w:spacing w:line="40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FF0000"/>
          <w:sz w:val="24"/>
        </w:rPr>
      </w:pPr>
      <w:r>
        <w:rPr>
          <w:rFonts w:hint="eastAsia" w:hAnsi="宋体"/>
          <w:color w:val="FF0000"/>
          <w:sz w:val="24"/>
        </w:rPr>
        <w:t>14.6</w:t>
      </w:r>
      <w:r>
        <w:rPr>
          <w:rFonts w:hint="eastAsia" w:ascii="宋体" w:hAnsi="宋体"/>
          <w:color w:val="FF0000"/>
          <w:sz w:val="24"/>
        </w:rPr>
        <w:t>投标文件的签署、密封及规定，投标人应按照要求，准备一式</w:t>
      </w:r>
      <w:r>
        <w:rPr>
          <w:rFonts w:hint="eastAsia" w:ascii="宋体" w:hAnsi="宋体"/>
          <w:color w:val="FF0000"/>
          <w:sz w:val="24"/>
          <w:u w:val="single"/>
        </w:rPr>
        <w:t xml:space="preserve"> </w:t>
      </w:r>
      <w:r>
        <w:rPr>
          <w:rFonts w:hint="eastAsia" w:ascii="宋体" w:hAnsi="宋体"/>
          <w:b/>
          <w:color w:val="FF0000"/>
          <w:sz w:val="24"/>
          <w:u w:val="single"/>
        </w:rPr>
        <w:t>2</w:t>
      </w:r>
      <w:r>
        <w:rPr>
          <w:rFonts w:hint="eastAsia" w:ascii="宋体" w:hAnsi="宋体"/>
          <w:color w:val="FF0000"/>
          <w:sz w:val="24"/>
          <w:u w:val="single"/>
        </w:rPr>
        <w:t xml:space="preserve"> </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投标文件（正、副本）内容均须按页码顺序胶装订成册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spacing w:line="400" w:lineRule="exact"/>
        <w:ind w:firstLine="480" w:firstLineChars="200"/>
        <w:rPr>
          <w:rFonts w:ascii="宋体" w:hAns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0"/>
        <w:spacing w:line="400" w:lineRule="exact"/>
        <w:ind w:firstLine="480" w:firstLineChars="200"/>
        <w:outlineLvl w:val="9"/>
        <w:rPr>
          <w:rFonts w:hAnsi="宋体"/>
          <w:sz w:val="24"/>
        </w:rPr>
      </w:pPr>
    </w:p>
    <w:p>
      <w:pPr>
        <w:pStyle w:val="30"/>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2"/>
        <w:spacing w:line="400" w:lineRule="exact"/>
        <w:jc w:val="left"/>
        <w:rPr>
          <w:rFonts w:hAnsi="宋体"/>
          <w:b/>
          <w:sz w:val="24"/>
        </w:rPr>
      </w:pPr>
      <w:r>
        <w:rPr>
          <w:rFonts w:hint="eastAsia" w:hAnsi="宋体"/>
          <w:b/>
          <w:sz w:val="24"/>
        </w:rPr>
        <w:t>15.谈判时间</w:t>
      </w:r>
    </w:p>
    <w:p>
      <w:pPr>
        <w:pStyle w:val="2"/>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2"/>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2"/>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spacing w:line="400" w:lineRule="exact"/>
        <w:ind w:firstLine="480" w:firstLineChars="200"/>
        <w:jc w:val="left"/>
        <w:rPr>
          <w:rFonts w:hAnsi="宋体"/>
          <w:color w:val="FF0000"/>
          <w:sz w:val="24"/>
        </w:rPr>
      </w:pPr>
      <w:r>
        <w:rPr>
          <w:rFonts w:hint="eastAsia" w:hAnsi="宋体"/>
          <w:color w:val="FF0000"/>
          <w:sz w:val="24"/>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w:t>
      </w:r>
      <w:r>
        <w:rPr>
          <w:rFonts w:hint="eastAsia" w:hAnsi="宋体"/>
          <w:color w:val="FF0000"/>
          <w:sz w:val="24"/>
          <w:lang w:eastAsia="zh-CN"/>
        </w:rPr>
        <w:t>情况</w:t>
      </w:r>
      <w:r>
        <w:rPr>
          <w:rFonts w:hAnsi="宋体"/>
          <w:color w:val="FF0000"/>
          <w:sz w:val="24"/>
        </w:rPr>
        <w:t>及投标人身份（需出示法定代表人身份证原件或委托代理人持授权委托书并出示代理人身份证原件）进行核查，如未能提供，视为无效投标。</w:t>
      </w:r>
    </w:p>
    <w:p>
      <w:pPr>
        <w:pStyle w:val="2"/>
        <w:spacing w:line="400" w:lineRule="exact"/>
        <w:ind w:firstLine="480" w:firstLineChars="200"/>
        <w:jc w:val="left"/>
        <w:rPr>
          <w:rFonts w:hAnsi="宋体"/>
          <w:color w:val="FF0000"/>
          <w:sz w:val="24"/>
        </w:rPr>
      </w:pPr>
      <w:r>
        <w:rPr>
          <w:rFonts w:hint="eastAsia" w:hAnsi="宋体"/>
          <w:color w:val="auto"/>
          <w:sz w:val="24"/>
        </w:rPr>
        <w:t>17.2评标时，需审查以下资质文件资料：</w:t>
      </w:r>
    </w:p>
    <w:p>
      <w:pPr>
        <w:pStyle w:val="2"/>
        <w:spacing w:line="400" w:lineRule="exact"/>
        <w:ind w:firstLine="475" w:firstLineChars="198"/>
        <w:rPr>
          <w:rFonts w:hAnsi="宋体"/>
          <w:sz w:val="24"/>
        </w:rPr>
      </w:pPr>
      <w:r>
        <w:rPr>
          <w:rFonts w:hint="eastAsia" w:hAnsi="宋体"/>
          <w:sz w:val="24"/>
        </w:rPr>
        <w:t>（1）工商营业执照副本；</w:t>
      </w:r>
      <w:r>
        <w:rPr>
          <w:rFonts w:hint="eastAsia" w:hAnsi="宋体"/>
          <w:color w:val="FF0000"/>
          <w:sz w:val="24"/>
          <w:lang w:eastAsia="zh-CN"/>
        </w:rPr>
        <w:t>（复印件加盖公章）</w:t>
      </w:r>
    </w:p>
    <w:p>
      <w:pPr>
        <w:pStyle w:val="2"/>
        <w:spacing w:line="400" w:lineRule="exact"/>
        <w:ind w:firstLine="475" w:firstLineChars="198"/>
        <w:rPr>
          <w:rFonts w:hAnsi="宋体"/>
          <w:sz w:val="24"/>
        </w:rPr>
      </w:pPr>
      <w:r>
        <w:rPr>
          <w:rFonts w:hint="eastAsia" w:hAnsi="宋体"/>
          <w:sz w:val="24"/>
        </w:rPr>
        <w:t>（2）税务登记证；</w:t>
      </w:r>
    </w:p>
    <w:p>
      <w:pPr>
        <w:pStyle w:val="2"/>
        <w:spacing w:line="400" w:lineRule="exact"/>
        <w:ind w:firstLine="475" w:firstLineChars="198"/>
        <w:rPr>
          <w:rFonts w:hAnsi="宋体"/>
          <w:sz w:val="24"/>
        </w:rPr>
      </w:pPr>
      <w:r>
        <w:rPr>
          <w:rFonts w:hint="eastAsia" w:hAnsi="宋体"/>
          <w:sz w:val="24"/>
        </w:rPr>
        <w:t>（3）组织机构代码证；</w:t>
      </w:r>
    </w:p>
    <w:p>
      <w:pPr>
        <w:pStyle w:val="2"/>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2"/>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2"/>
        <w:spacing w:line="400" w:lineRule="exact"/>
        <w:ind w:firstLine="475" w:firstLineChars="198"/>
        <w:rPr>
          <w:rFonts w:hint="eastAsia"/>
          <w:color w:val="auto"/>
          <w:sz w:val="24"/>
        </w:rPr>
      </w:pPr>
      <w:r>
        <w:rPr>
          <w:rFonts w:hint="eastAsia" w:hAnsi="宋体"/>
          <w:color w:val="auto"/>
          <w:sz w:val="24"/>
        </w:rPr>
        <w:t>（</w:t>
      </w:r>
      <w:r>
        <w:rPr>
          <w:rFonts w:hint="eastAsia" w:hAnsi="宋体"/>
          <w:color w:val="auto"/>
          <w:sz w:val="24"/>
          <w:lang w:val="en-US" w:eastAsia="zh-CN"/>
        </w:rPr>
        <w:t>5</w:t>
      </w:r>
      <w:r>
        <w:rPr>
          <w:rFonts w:hint="eastAsia" w:hAnsi="宋体"/>
          <w:color w:val="auto"/>
          <w:sz w:val="24"/>
        </w:rPr>
        <w:t>）</w:t>
      </w:r>
      <w:r>
        <w:rPr>
          <w:rFonts w:hint="eastAsia"/>
          <w:color w:val="auto"/>
          <w:sz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sz w:val="24"/>
        </w:rPr>
        <w:t>www.creditchina.gov.cn</w:t>
      </w:r>
      <w:r>
        <w:rPr>
          <w:rFonts w:hint="eastAsia"/>
          <w:color w:val="auto"/>
          <w:sz w:val="24"/>
        </w:rPr>
        <w:fldChar w:fldCharType="end"/>
      </w:r>
      <w:r>
        <w:rPr>
          <w:rFonts w:hint="eastAsia"/>
          <w:color w:val="auto"/>
          <w:sz w:val="24"/>
        </w:rPr>
        <w:t>）</w:t>
      </w:r>
      <w:r>
        <w:rPr>
          <w:rFonts w:hint="eastAsia"/>
          <w:color w:val="auto"/>
          <w:sz w:val="24"/>
          <w:lang w:eastAsia="zh-CN"/>
        </w:rPr>
        <w:t>和</w:t>
      </w:r>
      <w:r>
        <w:rPr>
          <w:rFonts w:hint="eastAsia"/>
          <w:color w:val="auto"/>
          <w:sz w:val="24"/>
        </w:rPr>
        <w:t>政府采购严重违法失信行为记录名单（</w:t>
      </w:r>
      <w:r>
        <w:rPr>
          <w:color w:val="auto"/>
        </w:rPr>
        <w:fldChar w:fldCharType="begin"/>
      </w:r>
      <w:r>
        <w:rPr>
          <w:color w:val="auto"/>
        </w:rPr>
        <w:instrText xml:space="preserve"> HYPERLINK "http://www.ccgp.gov.cn/search/cr/" </w:instrText>
      </w:r>
      <w:r>
        <w:rPr>
          <w:color w:val="auto"/>
        </w:rPr>
        <w:fldChar w:fldCharType="separate"/>
      </w:r>
      <w:r>
        <w:rPr>
          <w:rFonts w:hint="eastAsia"/>
          <w:color w:val="auto"/>
          <w:sz w:val="24"/>
        </w:rPr>
        <w:t>http://www.ccgp.gov.cn/search/cr/</w:t>
      </w:r>
      <w:r>
        <w:rPr>
          <w:rFonts w:hint="eastAsia"/>
          <w:color w:val="auto"/>
          <w:sz w:val="24"/>
        </w:rPr>
        <w:fldChar w:fldCharType="end"/>
      </w:r>
      <w:r>
        <w:rPr>
          <w:rFonts w:hint="eastAsia"/>
          <w:color w:val="auto"/>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2"/>
        <w:spacing w:line="400" w:lineRule="exact"/>
        <w:ind w:firstLine="475" w:firstLineChars="198"/>
        <w:rPr>
          <w:rFonts w:hint="eastAsia"/>
          <w:color w:val="auto"/>
          <w:sz w:val="24"/>
        </w:rPr>
      </w:pPr>
      <w:r>
        <w:rPr>
          <w:rFonts w:hint="eastAsia"/>
          <w:color w:val="FF0000"/>
          <w:sz w:val="24"/>
          <w:lang w:eastAsia="zh-CN"/>
        </w:rPr>
        <w:t>（</w:t>
      </w:r>
      <w:r>
        <w:rPr>
          <w:rFonts w:hint="eastAsia"/>
          <w:color w:val="FF0000"/>
          <w:sz w:val="24"/>
          <w:lang w:val="en-US" w:eastAsia="zh-CN"/>
        </w:rPr>
        <w:t>6</w:t>
      </w:r>
      <w:r>
        <w:rPr>
          <w:rFonts w:hint="eastAsia"/>
          <w:color w:val="FF0000"/>
          <w:sz w:val="24"/>
          <w:lang w:eastAsia="zh-CN"/>
        </w:rPr>
        <w:t>）供应商需具备市政公用工程叁级及以上资质及有效的安全生产许可证。</w:t>
      </w: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2"/>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18.谈判相应文件的澄清</w:t>
      </w:r>
    </w:p>
    <w:p>
      <w:pPr>
        <w:pStyle w:val="7"/>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2"/>
        <w:spacing w:line="400" w:lineRule="exact"/>
        <w:ind w:firstLine="480" w:firstLineChars="200"/>
        <w:jc w:val="left"/>
        <w:rPr>
          <w:rFonts w:hAnsi="宋体"/>
          <w:sz w:val="24"/>
        </w:rPr>
      </w:pPr>
      <w:r>
        <w:rPr>
          <w:rFonts w:hint="eastAsia" w:hAnsi="宋体"/>
          <w:sz w:val="24"/>
        </w:rPr>
        <w:t>19</w:t>
      </w:r>
      <w:r>
        <w:rPr>
          <w:rFonts w:hAnsi="宋体"/>
          <w:sz w:val="24"/>
        </w:rPr>
        <w:t xml:space="preserve">.1 </w:t>
      </w:r>
      <w:r>
        <w:rPr>
          <w:rFonts w:hint="eastAsia" w:hAnsi="宋体"/>
          <w:sz w:val="24"/>
        </w:rPr>
        <w:t>本次谈判采用最低价评标法。</w:t>
      </w:r>
    </w:p>
    <w:p>
      <w:pPr>
        <w:pStyle w:val="2"/>
        <w:spacing w:line="400" w:lineRule="exact"/>
        <w:ind w:firstLine="480" w:firstLineChars="200"/>
        <w:jc w:val="left"/>
        <w:rPr>
          <w:rFonts w:hAnsi="宋体"/>
          <w:sz w:val="24"/>
        </w:rPr>
      </w:pPr>
      <w:r>
        <w:rPr>
          <w:rFonts w:hint="eastAsia" w:hAnsi="宋体"/>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spacing w:line="400" w:lineRule="exact"/>
        <w:ind w:firstLine="480" w:firstLineChars="200"/>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0"/>
        <w:spacing w:line="400" w:lineRule="exact"/>
        <w:jc w:val="center"/>
        <w:outlineLvl w:val="9"/>
        <w:rPr>
          <w:rFonts w:hAnsi="宋体"/>
          <w:b/>
          <w:sz w:val="24"/>
        </w:rPr>
      </w:pPr>
      <w:r>
        <w:rPr>
          <w:rFonts w:hint="eastAsia" w:hAnsi="宋体"/>
          <w:b/>
          <w:sz w:val="24"/>
        </w:rPr>
        <w:t>六、成交与签订合同</w:t>
      </w:r>
    </w:p>
    <w:p>
      <w:pPr>
        <w:pStyle w:val="2"/>
        <w:spacing w:line="400" w:lineRule="exact"/>
        <w:jc w:val="left"/>
        <w:rPr>
          <w:rFonts w:hAnsi="宋体"/>
          <w:b/>
          <w:bCs/>
          <w:color w:val="FF0000"/>
          <w:sz w:val="24"/>
        </w:rPr>
      </w:pPr>
      <w:r>
        <w:rPr>
          <w:rFonts w:hint="eastAsia" w:hAnsi="宋体"/>
          <w:b/>
          <w:bCs/>
          <w:color w:val="FF0000"/>
          <w:sz w:val="24"/>
        </w:rPr>
        <w:t>20.成交准则</w:t>
      </w:r>
    </w:p>
    <w:p>
      <w:pPr>
        <w:pStyle w:val="2"/>
        <w:spacing w:line="400" w:lineRule="exact"/>
        <w:ind w:firstLine="482" w:firstLineChars="200"/>
        <w:jc w:val="left"/>
        <w:rPr>
          <w:rFonts w:hAnsi="宋体"/>
          <w:sz w:val="24"/>
        </w:rPr>
      </w:pPr>
      <w:r>
        <w:rPr>
          <w:rFonts w:hint="eastAsia" w:hAnsi="宋体"/>
          <w:b/>
          <w:bCs/>
          <w:color w:val="FF0000"/>
          <w:sz w:val="24"/>
        </w:rPr>
        <w:t xml:space="preserve">20.1本次采购采用竞争性谈判方式进行，谈判小组由采购人代表和有关专家共三人及以上单数组成，谈判小组可以视情况，要求投标人在规定时间内，进行二次报价（含投标报价），以投标人最后的一轮有效报价为准，超出规定时间没有进行最后报价的投标人，视为放弃最后报价，以其前一次报价为准。 </w:t>
      </w:r>
      <w:r>
        <w:rPr>
          <w:rFonts w:hint="eastAsia" w:hAnsi="宋体"/>
          <w:sz w:val="24"/>
        </w:rPr>
        <w:t xml:space="preserve">   </w:t>
      </w:r>
    </w:p>
    <w:p>
      <w:pPr>
        <w:pStyle w:val="2"/>
        <w:spacing w:line="400" w:lineRule="exact"/>
        <w:ind w:firstLine="480" w:firstLineChars="200"/>
        <w:jc w:val="left"/>
        <w:rPr>
          <w:rFonts w:hAnsi="宋体"/>
          <w:sz w:val="24"/>
        </w:rPr>
      </w:pPr>
      <w:r>
        <w:rPr>
          <w:rFonts w:hint="eastAsia" w:hAnsi="宋体"/>
          <w:sz w:val="24"/>
        </w:rPr>
        <w:t xml:space="preserve">20.2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spacing w:line="400" w:lineRule="exact"/>
        <w:jc w:val="left"/>
        <w:rPr>
          <w:rFonts w:hAnsi="宋体"/>
          <w:b/>
          <w:sz w:val="24"/>
        </w:rPr>
      </w:pPr>
      <w:r>
        <w:rPr>
          <w:rFonts w:hint="eastAsia" w:hAnsi="宋体"/>
          <w:b/>
          <w:sz w:val="24"/>
        </w:rPr>
        <w:t>21</w:t>
      </w:r>
      <w:r>
        <w:rPr>
          <w:rFonts w:hAnsi="宋体"/>
          <w:b/>
          <w:sz w:val="24"/>
        </w:rPr>
        <w:t>.成交通知</w:t>
      </w:r>
    </w:p>
    <w:p>
      <w:pPr>
        <w:pStyle w:val="2"/>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spacing w:line="400" w:lineRule="exact"/>
        <w:jc w:val="left"/>
        <w:rPr>
          <w:rFonts w:hAnsi="宋体"/>
          <w:b/>
          <w:sz w:val="24"/>
        </w:rPr>
      </w:pPr>
      <w:r>
        <w:rPr>
          <w:rFonts w:hint="eastAsia" w:hAnsi="宋体"/>
          <w:b/>
          <w:sz w:val="24"/>
        </w:rPr>
        <w:t>22.</w:t>
      </w:r>
      <w:r>
        <w:rPr>
          <w:rFonts w:hAnsi="宋体"/>
          <w:b/>
          <w:sz w:val="24"/>
        </w:rPr>
        <w:t>签订合同</w:t>
      </w:r>
    </w:p>
    <w:p>
      <w:pPr>
        <w:pStyle w:val="2"/>
        <w:spacing w:line="400" w:lineRule="exact"/>
        <w:ind w:firstLine="480" w:firstLineChars="200"/>
        <w:jc w:val="left"/>
        <w:rPr>
          <w:rFonts w:hAnsi="宋体"/>
          <w:sz w:val="24"/>
        </w:rPr>
      </w:pPr>
      <w:r>
        <w:rPr>
          <w:rFonts w:hint="eastAsia" w:hAnsi="宋体"/>
          <w:sz w:val="24"/>
        </w:rPr>
        <w:t>22</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spacing w:line="400" w:lineRule="exact"/>
        <w:ind w:firstLine="480" w:firstLineChars="200"/>
        <w:jc w:val="left"/>
        <w:rPr>
          <w:rFonts w:hAnsi="宋体"/>
          <w:sz w:val="24"/>
        </w:rPr>
      </w:pPr>
      <w:r>
        <w:rPr>
          <w:rFonts w:hint="eastAsia" w:hAnsi="宋体"/>
          <w:sz w:val="24"/>
        </w:rPr>
        <w:t>22</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spacing w:line="400" w:lineRule="exact"/>
        <w:ind w:firstLine="480" w:firstLineChars="200"/>
        <w:jc w:val="left"/>
        <w:rPr>
          <w:rFonts w:hAnsi="宋体"/>
          <w:sz w:val="24"/>
        </w:rPr>
      </w:pPr>
      <w:r>
        <w:rPr>
          <w:rFonts w:hint="eastAsia" w:hAnsi="宋体"/>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spacing w:line="400" w:lineRule="exact"/>
        <w:jc w:val="left"/>
        <w:rPr>
          <w:rFonts w:hAnsi="宋体"/>
          <w:b/>
          <w:sz w:val="24"/>
        </w:rPr>
      </w:pPr>
      <w:r>
        <w:rPr>
          <w:rFonts w:hint="eastAsia" w:hAnsi="宋体"/>
          <w:b/>
          <w:sz w:val="24"/>
        </w:rPr>
        <w:t>23.成交服务费</w:t>
      </w:r>
    </w:p>
    <w:p>
      <w:pPr>
        <w:spacing w:line="400" w:lineRule="exact"/>
        <w:ind w:firstLine="240" w:firstLineChars="100"/>
        <w:rPr>
          <w:rFonts w:ascii="宋体" w:hAnsi="宋体"/>
          <w:b/>
          <w:bCs/>
          <w:sz w:val="30"/>
          <w:szCs w:val="30"/>
        </w:rPr>
      </w:pPr>
      <w:r>
        <w:rPr>
          <w:rFonts w:hint="eastAsia" w:hAnsi="宋体"/>
          <w:sz w:val="24"/>
        </w:rPr>
        <w:t>本中心不收取成交服务费。</w:t>
      </w:r>
      <w:r>
        <w:rPr>
          <w:rFonts w:ascii="宋体" w:hAnsi="宋体"/>
          <w:sz w:val="24"/>
        </w:rPr>
        <w:t xml:space="preserve"> </w:t>
      </w: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both"/>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outlineLvl w:val="0"/>
        <w:rPr>
          <w:rFonts w:ascii="宋体" w:hAnsi="宋体"/>
          <w:b/>
          <w:bCs/>
          <w:sz w:val="36"/>
          <w:szCs w:val="36"/>
        </w:rPr>
      </w:pPr>
    </w:p>
    <w:p>
      <w:pPr>
        <w:spacing w:line="360" w:lineRule="auto"/>
        <w:outlineLvl w:val="0"/>
        <w:rPr>
          <w:rFonts w:ascii="宋体" w:hAnsi="宋体"/>
          <w:b/>
          <w:bCs/>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numPr>
          <w:ilvl w:val="0"/>
          <w:numId w:val="4"/>
        </w:numPr>
        <w:spacing w:line="360" w:lineRule="auto"/>
        <w:jc w:val="center"/>
        <w:outlineLvl w:val="0"/>
        <w:rPr>
          <w:rFonts w:ascii="宋体" w:hAnsi="宋体"/>
          <w:b/>
          <w:bCs/>
          <w:sz w:val="36"/>
          <w:szCs w:val="36"/>
        </w:rPr>
      </w:pPr>
      <w:r>
        <w:rPr>
          <w:rFonts w:hint="eastAsia" w:ascii="宋体" w:hAnsi="宋体"/>
          <w:b/>
          <w:bCs/>
          <w:sz w:val="36"/>
          <w:szCs w:val="36"/>
        </w:rPr>
        <w:t xml:space="preserve"> 谈判</w:t>
      </w:r>
      <w:r>
        <w:rPr>
          <w:rFonts w:hint="eastAsia" w:ascii="宋体" w:hAnsi="宋体"/>
          <w:b/>
          <w:bCs/>
          <w:sz w:val="36"/>
          <w:szCs w:val="36"/>
          <w:lang w:eastAsia="zh-CN"/>
        </w:rPr>
        <w:t>工程量清单</w:t>
      </w:r>
      <w:r>
        <w:rPr>
          <w:rFonts w:hint="eastAsia" w:ascii="宋体" w:hAnsi="宋体"/>
          <w:b/>
          <w:bCs/>
          <w:sz w:val="36"/>
          <w:szCs w:val="36"/>
        </w:rPr>
        <w:t>及要求</w:t>
      </w:r>
    </w:p>
    <w:p>
      <w:pPr>
        <w:pStyle w:val="24"/>
        <w:rPr>
          <w:rFonts w:hint="eastAsia" w:ascii="宋体" w:hAnsi="宋体"/>
          <w:b/>
          <w:bCs/>
          <w:sz w:val="36"/>
          <w:szCs w:val="36"/>
          <w:lang w:eastAsia="zh-CN"/>
        </w:rPr>
      </w:pPr>
    </w:p>
    <w:tbl>
      <w:tblPr>
        <w:tblStyle w:val="22"/>
        <w:tblW w:w="83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5"/>
        <w:gridCol w:w="1200"/>
        <w:gridCol w:w="1620"/>
        <w:gridCol w:w="705"/>
        <w:gridCol w:w="2707"/>
        <w:gridCol w:w="582"/>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381" w:type="dxa"/>
            <w:gridSpan w:val="7"/>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230" w:type="dxa"/>
            <w:gridSpan w:val="4"/>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工程名称：铜仁一中初级中学篮球场建设项目</w:t>
            </w:r>
          </w:p>
        </w:tc>
        <w:tc>
          <w:tcPr>
            <w:tcW w:w="4151" w:type="dxa"/>
            <w:gridSpan w:val="3"/>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标段：铜仁一中篮球场预算审核（2020.6.22）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705"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0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62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3412"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82"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862"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705"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62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3412"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58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6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705"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62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3412"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58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6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010504004001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挡土墙</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1.混凝土种类:商品混凝土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2.混凝土强度等级:C25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3.部位：围墙底部挡土墙</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级配碎石</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1.石料规格:级配碎石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2.厚度:200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3.部位：篮球场底层</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011101003001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混凝土地面</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1.混凝土强度等级:商品砼C25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2.厚度:150mm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3.部位：篮球场面层</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011103001001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橡胶板楼地面</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1.面层材质及规格：8mm厚硅PU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2.部位：篮球场面层</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金属围栏</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1.种类:成品金属围栏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2.规格:75立柱、48横杆、60网孔、日字形围栏，4m高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3.部位:篮球场围栏</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010401003002</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砖砌台阶</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1.砖品种、规格、强度等级:MU10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2.墙体类型:台阶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3.砂浆强度等级、配合比:M7.5</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040303001001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混凝土垫层</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1.混凝土强度等级:商品混凝土C15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2.台阶基础垫层，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3.厚度：10CM</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011107001001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石材台阶面</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1.台阶类型：砖砌台阶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2.砂浆：水泥砂浆1:3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3.踏面：600*300*30芝麻灰火烧面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4.立面：600*150*30芝麻灰火烧面</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040305004001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砖砌排水沟</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1.砖品种、规格、强度等级:MU10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3.砂浆强度等级、配合比:M7.5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4.部位：排水沟</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011201001001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排水沟沟体抹灰</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1.墙体类型:实心墙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2.底层厚度、砂浆配合比:1:3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3.面层厚度、砂浆配合比:1:3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4.装饰面材料种类:砂浆面层</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040303002001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混凝土基础</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1.混凝土强度等级:商品砼C25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2.厚度:100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3.部位：排水沟底板</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040201022001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排水沟雨篦子</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1.部位：排水沟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2.类型：成品500*300*30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3.承重：1t</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010101003001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挖沟槽土方</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1、部位：篮球灯沟槽开挖+排水沟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2、土质：四类土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3、开挖方式：挖机开挖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4、余土弃置：场内弃置</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040205006001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标线</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1、部位：篮球场标线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2、类型：油漆标线</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030408003001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电缆保护管</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1.名称:篮球灯PE管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2.材质:PE管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3.规格:25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4.敷设方式:埋地0.7m</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010103001001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回填方</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部位：:篮球灯埋管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回填方式：机械回填</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030408001001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1.名称:YJV3*4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2.型号:3*4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3.规格:3*4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4.材质:铜芯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5.敷设方式、部位:埋地穿管</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040805003001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高杆照明灯</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1.名称:篮球灯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2.灯杆高度:6m+LED150W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3.基础形式、浇筑材质:钢筋砼</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010401011001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砖检查井</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1.井截面、深度:1.2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2.砖品种、规格、强度等级:砖砌体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3.底板厚度:C15砼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4.砂浆强度等级:M7.55.井盖：树脂井盖700*50 承重2t</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031001006001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塑料管</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1.垫层、基础材质及厚度:砂垫层  厚度10cm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2.材质及规格:HDPE双壁波纹管  直径400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3.包管回填：中粗砂 回填厚0.7米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4.连接形式:橡胶圈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5.铺设深度:0.7</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010501003001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独立基础</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1.混凝土种类:商品混凝土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2.混凝土强度等级:C25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3.篮球灯基础</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010515001001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现浇构件钢筋</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1.钢筋种类、规格:直径为10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2.部位：篮球灯基础</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单价措施项目费</w:t>
            </w: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34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381" w:type="dxa"/>
            <w:gridSpan w:val="7"/>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注：为记取规费等的使用，可在表中增设其中：“定额人工费”。</w:t>
            </w:r>
            <w:r>
              <w:rPr>
                <w:rFonts w:hint="eastAsia" w:ascii="宋体" w:hAnsi="宋体" w:eastAsia="宋体" w:cs="宋体"/>
                <w:i w:val="0"/>
                <w:color w:val="000000"/>
                <w:kern w:val="0"/>
                <w:sz w:val="18"/>
                <w:szCs w:val="18"/>
                <w:u w:val="none"/>
                <w:lang w:val="en-US" w:eastAsia="zh-CN" w:bidi="ar"/>
              </w:rPr>
              <w:t>1</w:t>
            </w:r>
          </w:p>
        </w:tc>
      </w:tr>
    </w:tbl>
    <w:p>
      <w:pPr>
        <w:pStyle w:val="24"/>
        <w:rPr>
          <w:rFonts w:hint="eastAsia" w:ascii="宋体" w:hAnsi="宋体"/>
          <w:b w:val="0"/>
          <w:bCs w:val="0"/>
          <w:sz w:val="36"/>
          <w:szCs w:val="36"/>
          <w:lang w:val="en-US" w:eastAsia="zh-CN"/>
        </w:rPr>
      </w:pPr>
    </w:p>
    <w:p>
      <w:pPr>
        <w:pStyle w:val="24"/>
        <w:rPr>
          <w:rFonts w:hint="eastAsia" w:ascii="宋体" w:hAnsi="宋体"/>
          <w:b/>
          <w:bCs/>
          <w:sz w:val="36"/>
          <w:szCs w:val="36"/>
          <w:lang w:val="en-US" w:eastAsia="zh-CN"/>
        </w:rPr>
      </w:pPr>
      <w:r>
        <w:rPr>
          <w:rFonts w:hint="eastAsia" w:ascii="宋体" w:hAnsi="宋体"/>
          <w:b/>
          <w:bCs/>
          <w:sz w:val="36"/>
          <w:szCs w:val="36"/>
          <w:lang w:val="en-US" w:eastAsia="zh-CN"/>
        </w:rPr>
        <w:t>完工日期：在合同中约定</w:t>
      </w:r>
    </w:p>
    <w:p>
      <w:pPr>
        <w:pStyle w:val="24"/>
        <w:ind w:left="0" w:leftChars="0" w:firstLine="0" w:firstLineChars="0"/>
        <w:rPr>
          <w:rFonts w:hint="default" w:ascii="宋体" w:hAnsi="宋体"/>
          <w:b/>
          <w:bCs/>
          <w:sz w:val="36"/>
          <w:szCs w:val="36"/>
          <w:lang w:val="en-US" w:eastAsia="zh-CN"/>
        </w:rPr>
      </w:pPr>
    </w:p>
    <w:p>
      <w:pPr>
        <w:ind w:firstLine="605"/>
        <w:jc w:val="left"/>
        <w:rPr>
          <w:rFonts w:hint="eastAsia" w:ascii="宋体" w:hAnsi="宋体"/>
          <w:b/>
          <w:bCs/>
          <w:color w:val="FF0000"/>
          <w:sz w:val="32"/>
          <w:szCs w:val="32"/>
        </w:rPr>
      </w:pPr>
      <w:r>
        <w:rPr>
          <w:rFonts w:hint="eastAsia" w:ascii="宋体" w:hAnsi="宋体"/>
          <w:b/>
          <w:bCs/>
          <w:color w:val="FF0000"/>
          <w:sz w:val="32"/>
          <w:szCs w:val="32"/>
        </w:rPr>
        <w:t>注、1、招标文件论证费和专家评审费由中标人承担</w:t>
      </w:r>
      <w:bookmarkStart w:id="1" w:name="_Toc268599010"/>
      <w:r>
        <w:rPr>
          <w:rFonts w:hint="eastAsia" w:ascii="宋体" w:hAnsi="宋体"/>
          <w:b/>
          <w:bCs/>
          <w:color w:val="FF0000"/>
          <w:sz w:val="32"/>
          <w:szCs w:val="32"/>
          <w:lang w:eastAsia="zh-CN"/>
        </w:rPr>
        <w:t>；</w:t>
      </w:r>
    </w:p>
    <w:p>
      <w:pPr>
        <w:pStyle w:val="2"/>
        <w:rPr>
          <w:rFonts w:hint="eastAsia" w:hAnsi="宋体"/>
          <w:b/>
          <w:bCs/>
          <w:color w:val="FF0000"/>
          <w:sz w:val="32"/>
          <w:szCs w:val="32"/>
          <w:lang w:val="en-US" w:eastAsia="zh-CN"/>
        </w:rPr>
      </w:pPr>
      <w:r>
        <w:rPr>
          <w:rFonts w:hint="eastAsia" w:hAnsi="宋体"/>
          <w:b/>
          <w:bCs/>
          <w:color w:val="FF0000"/>
          <w:sz w:val="32"/>
          <w:szCs w:val="32"/>
          <w:lang w:val="en-US" w:eastAsia="zh-CN"/>
        </w:rPr>
        <w:t xml:space="preserve">       </w:t>
      </w:r>
    </w:p>
    <w:p>
      <w:pPr>
        <w:spacing w:line="360" w:lineRule="auto"/>
        <w:jc w:val="both"/>
      </w:pPr>
      <w:r>
        <w:rPr>
          <w:rFonts w:ascii="宋体" w:hAnsi="宋体"/>
          <w:b/>
          <w:bCs/>
          <w:sz w:val="36"/>
          <w:szCs w:val="36"/>
        </w:rPr>
        <w:br w:type="page"/>
      </w: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 w:name="_Toc246996997"/>
      <w:bookmarkStart w:id="3" w:name="_Toc247085769"/>
      <w:bookmarkStart w:id="4" w:name="_Toc246996254"/>
      <w:bookmarkStart w:id="5" w:name="_Toc296602499"/>
      <w:bookmarkStart w:id="6" w:name="_Toc184635098"/>
      <w:bookmarkStart w:id="7" w:name="_Toc268599011"/>
      <w:r>
        <w:rPr>
          <w:rFonts w:hint="eastAsia" w:ascii="宋体" w:hAnsi="宋体" w:eastAsia="宋体" w:cs="宋体"/>
          <w:b/>
          <w:sz w:val="24"/>
          <w:szCs w:val="24"/>
        </w:rPr>
        <w:t>1. 一般约定</w:t>
      </w:r>
      <w:bookmarkEnd w:id="2"/>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 w:name="_Toc296602500"/>
      <w:bookmarkStart w:id="9" w:name="_Toc246996998"/>
      <w:bookmarkStart w:id="10" w:name="_Toc246996255"/>
      <w:bookmarkStart w:id="11" w:name="_Toc247085770"/>
      <w:r>
        <w:rPr>
          <w:rFonts w:hint="eastAsia" w:ascii="宋体" w:hAnsi="宋体" w:eastAsia="宋体" w:cs="宋体"/>
          <w:b/>
          <w:sz w:val="24"/>
          <w:szCs w:val="24"/>
        </w:rPr>
        <w:t>1.1 词语定义</w:t>
      </w:r>
      <w:bookmarkEnd w:id="8"/>
      <w:bookmarkEnd w:id="9"/>
      <w:bookmarkEnd w:id="10"/>
      <w:bookmarkEnd w:id="1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 合同</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合同文件（或称合同）：指合同协议书、中标通知书、投标函及投标函附录、专用合同条款、通用合同条款、技术标准和要求、图纸、已标价工程量清单，以及其他合同文件。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中标通知书：指发包人通知承包人中标的函件。中标通知书随附的澄清、说明、补正事项纪要等，是中标通知书的组成部分。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技术标准和要求：指构成合同文件组成部分的名为技术标准和要求的文件，以及合同双方当事人约定对其所作的修改或补充。</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1.1.1.8 已标价工程量清单：指构成合同文件组成部分的由承包人按照规定的格式和要求填写并标明价格的工程量清单。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1.1.1.9 其他合同文件：指经合同双方当事人确认构成合同文件的其他文件。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1.1.2.2 发包人：指专用合同条款中指明并与承包人在合同协议书中签字的当事人。 </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1.1.2.5 监理人：指在专用合同条款中指明的，受发包人委托对合同履行实施管理的法人或其他组织。属于国家强制监理的，监理人应当具有相应的监理资质。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1.1.2.6 总监理工程师（总监）：指由监理人委派常驻施工场地对合同履行实施管理的全权负责人。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1.1.3.2 工程设备：指构成或计划构成永久工程一部分的机电设备、仪器装置、运载工具及其他类似的设备和装置。</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1.1.3.3 施工场地（或称工地、现场）：指用于合同工程施工的场所，以及在合同中指定作为施工场地组成部分的其他场所，包括永久占地和临时占地。</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1.1.4 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开工通知：指监理人按第6.2款通知承包人开工的函件。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开工日期：指监理人按第6.2款发出的开工通知中写明的开工日期。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工期：指承包人在投标函中承诺的完成合同工程所需的期限，包括按第6.3款、第6.4款约定所作的变更。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1.1.4.4 竣工日期：指第1.1.4.3目约定工期届满时的日期。实际竣工日期以工程接收证书中写明的日期为准。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缺陷责任期：指履行第12.1款约定的缺陷责任的期限，具体期限由专用合同条款约定。</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1.1.4.6 天：除特别指明外，指日历天。合同中按天计算时间的，开始当天不计入，从次日开始计算。期限最后一天的截止时间为当天24:00。</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签约合同价：指签定合同时合同协议书中写明的，包括了暂列金额的合同总金额。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1.1.5.4 暂列金额：指已标价工程量清单中所列的暂列金额，用于在签订协议书时尚未确定或不可预见变更的施工及其所需材料、工程设备、服务等的金额，包括以计日工方式支付的金额。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1.1.5.5 计日工：指对零星工作采取的一种计价方式，按合同中的计日工子目及其单价计价付款。</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1.1.5.6 质量保证金（或称保留金）：指按第10.4款约定用于保证在缺陷责任期内履行缺陷修复义务的金额。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1.1.6 其他</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书面形式：指合同文件、信函、电报、传真、电子数据交换和电子邮件等可以有形地表现所载内容的形式。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 w:name="_Toc246996256"/>
      <w:bookmarkStart w:id="13" w:name="_Toc246996999"/>
      <w:bookmarkStart w:id="14" w:name="_Toc296602501"/>
      <w:bookmarkStart w:id="15" w:name="_Toc247085771"/>
      <w:r>
        <w:rPr>
          <w:rFonts w:hint="eastAsia" w:ascii="宋体" w:hAnsi="宋体" w:eastAsia="宋体" w:cs="宋体"/>
          <w:b/>
          <w:sz w:val="24"/>
          <w:szCs w:val="24"/>
        </w:rPr>
        <w:t>1.2 语言文字</w:t>
      </w:r>
      <w:bookmarkEnd w:id="12"/>
      <w:bookmarkEnd w:id="13"/>
      <w:bookmarkEnd w:id="14"/>
      <w:bookmarkEnd w:id="1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16" w:name="_Toc246997000"/>
      <w:bookmarkStart w:id="17" w:name="_Toc247085772"/>
      <w:bookmarkStart w:id="18" w:name="_Toc246996257"/>
      <w:r>
        <w:rPr>
          <w:rFonts w:hint="eastAsia" w:ascii="宋体" w:hAnsi="宋体" w:eastAsia="宋体" w:cs="宋体"/>
          <w:sz w:val="24"/>
          <w:szCs w:val="24"/>
        </w:rPr>
        <w:t>合同使用的语言文字为中文。专用术语使用外文的，应附有中文注释。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 w:name="_Toc296602502"/>
      <w:r>
        <w:rPr>
          <w:rFonts w:hint="eastAsia" w:ascii="宋体" w:hAnsi="宋体" w:eastAsia="宋体" w:cs="宋体"/>
          <w:b/>
          <w:sz w:val="24"/>
          <w:szCs w:val="24"/>
        </w:rPr>
        <w:t>1.3 法律</w:t>
      </w:r>
      <w:bookmarkEnd w:id="16"/>
      <w:bookmarkEnd w:id="17"/>
      <w:bookmarkEnd w:id="18"/>
      <w:bookmarkEnd w:id="1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 w:name="_Toc246997001"/>
      <w:bookmarkStart w:id="21" w:name="_Toc296602503"/>
      <w:bookmarkStart w:id="22" w:name="_Toc247085773"/>
      <w:bookmarkStart w:id="23" w:name="_Toc246996258"/>
      <w:r>
        <w:rPr>
          <w:rFonts w:hint="eastAsia" w:ascii="宋体" w:hAnsi="宋体" w:eastAsia="宋体" w:cs="宋体"/>
          <w:b/>
          <w:sz w:val="24"/>
          <w:szCs w:val="24"/>
        </w:rPr>
        <w:t>1.4 合同文件的优先顺序</w:t>
      </w:r>
      <w:bookmarkEnd w:id="20"/>
      <w:bookmarkEnd w:id="21"/>
      <w:bookmarkEnd w:id="22"/>
      <w:bookmarkEnd w:id="2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（8）已标价工程量清单；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 w:name="_Toc246997002"/>
      <w:bookmarkStart w:id="25" w:name="_Toc247085774"/>
      <w:bookmarkStart w:id="26" w:name="_Toc246996259"/>
      <w:bookmarkStart w:id="27" w:name="_Toc296602504"/>
      <w:r>
        <w:rPr>
          <w:rFonts w:hint="eastAsia" w:ascii="宋体" w:hAnsi="宋体" w:eastAsia="宋体" w:cs="宋体"/>
          <w:b/>
          <w:sz w:val="24"/>
          <w:szCs w:val="24"/>
        </w:rPr>
        <w:t>1.5 合同协议书</w:t>
      </w:r>
      <w:bookmarkEnd w:id="24"/>
      <w:bookmarkEnd w:id="25"/>
      <w:bookmarkEnd w:id="26"/>
      <w:bookmarkEnd w:id="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 w:name="_Toc296602505"/>
      <w:bookmarkStart w:id="29" w:name="_Toc246997003"/>
      <w:bookmarkStart w:id="30" w:name="_Toc247085775"/>
      <w:bookmarkStart w:id="31" w:name="_Toc246996260"/>
      <w:r>
        <w:rPr>
          <w:rFonts w:hint="eastAsia" w:ascii="宋体" w:hAnsi="宋体" w:eastAsia="宋体" w:cs="宋体"/>
          <w:b/>
          <w:sz w:val="24"/>
          <w:szCs w:val="24"/>
        </w:rPr>
        <w:t>1.6 图纸和承包人文件</w:t>
      </w:r>
      <w:bookmarkEnd w:id="28"/>
      <w:bookmarkEnd w:id="29"/>
      <w:bookmarkEnd w:id="30"/>
      <w:bookmarkEnd w:id="3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1.6.1 发包人提供的图纸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 w:name="_Toc247085776"/>
      <w:bookmarkStart w:id="33" w:name="_Toc246996261"/>
      <w:bookmarkStart w:id="34" w:name="_Toc246997004"/>
      <w:bookmarkStart w:id="35" w:name="_Toc296602506"/>
      <w:r>
        <w:rPr>
          <w:rFonts w:hint="eastAsia" w:ascii="宋体" w:hAnsi="宋体" w:eastAsia="宋体" w:cs="宋体"/>
          <w:b/>
          <w:sz w:val="24"/>
          <w:szCs w:val="24"/>
        </w:rPr>
        <w:t>1.7 联络</w:t>
      </w:r>
      <w:bookmarkEnd w:id="32"/>
      <w:bookmarkEnd w:id="33"/>
      <w:bookmarkEnd w:id="34"/>
      <w:bookmarkEnd w:id="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与合同有关的通知、批准、证明、证书、指示、要求、请求、同意、意见、确定和决定等重要文件，均应采用书面形式。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6" w:name="_Toc247085778"/>
      <w:bookmarkStart w:id="37" w:name="_Toc184635099"/>
      <w:bookmarkStart w:id="38" w:name="_Toc246996263"/>
      <w:bookmarkStart w:id="39" w:name="_Toc246997006"/>
      <w:bookmarkStart w:id="40" w:name="_Toc296602507"/>
      <w:r>
        <w:rPr>
          <w:rFonts w:hint="eastAsia" w:ascii="宋体" w:hAnsi="宋体" w:eastAsia="宋体" w:cs="宋体"/>
          <w:b/>
          <w:sz w:val="24"/>
          <w:szCs w:val="24"/>
        </w:rPr>
        <w:t>2. 发包人义务</w:t>
      </w:r>
      <w:bookmarkEnd w:id="36"/>
      <w:bookmarkEnd w:id="37"/>
      <w:bookmarkEnd w:id="38"/>
      <w:bookmarkEnd w:id="39"/>
      <w:bookmarkEnd w:id="40"/>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1" w:name="_Toc296602508"/>
      <w:bookmarkStart w:id="42" w:name="_Toc246997007"/>
      <w:bookmarkStart w:id="43" w:name="_Toc247085779"/>
      <w:bookmarkStart w:id="44" w:name="_Toc246996264"/>
      <w:r>
        <w:rPr>
          <w:rFonts w:hint="eastAsia" w:ascii="宋体" w:hAnsi="宋体" w:eastAsia="宋体" w:cs="宋体"/>
          <w:b/>
          <w:sz w:val="24"/>
          <w:szCs w:val="24"/>
        </w:rPr>
        <w:t>2.1 遵守法律</w:t>
      </w:r>
      <w:bookmarkEnd w:id="41"/>
      <w:bookmarkEnd w:id="42"/>
      <w:bookmarkEnd w:id="43"/>
      <w:bookmarkEnd w:id="4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5" w:name="_Toc246996265"/>
      <w:bookmarkStart w:id="46" w:name="_Toc247085780"/>
      <w:bookmarkStart w:id="47" w:name="_Toc246997008"/>
      <w:bookmarkStart w:id="48" w:name="_Toc296602509"/>
      <w:r>
        <w:rPr>
          <w:rFonts w:hint="eastAsia" w:ascii="宋体" w:hAnsi="宋体" w:eastAsia="宋体" w:cs="宋体"/>
          <w:b/>
          <w:sz w:val="24"/>
          <w:szCs w:val="24"/>
        </w:rPr>
        <w:t>2.2 发出开工通知</w:t>
      </w:r>
      <w:bookmarkEnd w:id="45"/>
      <w:bookmarkEnd w:id="46"/>
      <w:bookmarkEnd w:id="47"/>
      <w:bookmarkEnd w:id="4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发包人应委托监理人按第6.2 款的约定向承包人发出开工通知。</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9" w:name="_Toc296602510"/>
      <w:bookmarkStart w:id="50" w:name="_Toc246997009"/>
      <w:bookmarkStart w:id="51" w:name="_Toc246996266"/>
      <w:bookmarkStart w:id="52" w:name="_Toc247085781"/>
      <w:r>
        <w:rPr>
          <w:rFonts w:hint="eastAsia" w:ascii="宋体" w:hAnsi="宋体" w:eastAsia="宋体" w:cs="宋体"/>
          <w:b/>
          <w:sz w:val="24"/>
          <w:szCs w:val="24"/>
        </w:rPr>
        <w:t>2.3 提供施工场地</w:t>
      </w:r>
      <w:bookmarkEnd w:id="49"/>
      <w:bookmarkEnd w:id="50"/>
      <w:bookmarkEnd w:id="51"/>
      <w:bookmarkEnd w:id="5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3" w:name="_Toc247085782"/>
      <w:bookmarkStart w:id="54" w:name="_Toc246996267"/>
      <w:bookmarkStart w:id="55" w:name="_Toc296602511"/>
      <w:bookmarkStart w:id="56" w:name="_Toc246997010"/>
      <w:r>
        <w:rPr>
          <w:rFonts w:hint="eastAsia" w:ascii="宋体" w:hAnsi="宋体" w:eastAsia="宋体" w:cs="宋体"/>
          <w:b/>
          <w:sz w:val="24"/>
          <w:szCs w:val="24"/>
        </w:rPr>
        <w:t>2.4 协助承包人办理证件和批件</w:t>
      </w:r>
      <w:bookmarkEnd w:id="53"/>
      <w:bookmarkEnd w:id="54"/>
      <w:bookmarkEnd w:id="55"/>
      <w:bookmarkEnd w:id="5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7" w:name="_Toc246996268"/>
      <w:bookmarkStart w:id="58" w:name="_Toc247085783"/>
      <w:bookmarkStart w:id="59" w:name="_Toc296602512"/>
      <w:bookmarkStart w:id="60" w:name="_Toc246997011"/>
      <w:r>
        <w:rPr>
          <w:rFonts w:hint="eastAsia" w:ascii="宋体" w:hAnsi="宋体" w:eastAsia="宋体" w:cs="宋体"/>
          <w:b/>
          <w:sz w:val="24"/>
          <w:szCs w:val="24"/>
        </w:rPr>
        <w:t>2.5 组织设计交底</w:t>
      </w:r>
      <w:bookmarkEnd w:id="57"/>
      <w:bookmarkEnd w:id="58"/>
      <w:bookmarkEnd w:id="59"/>
      <w:bookmarkEnd w:id="6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1" w:name="_Toc246997012"/>
      <w:bookmarkStart w:id="62" w:name="_Toc247085784"/>
      <w:bookmarkStart w:id="63" w:name="_Toc246996269"/>
      <w:bookmarkStart w:id="64" w:name="_Toc296602513"/>
      <w:r>
        <w:rPr>
          <w:rFonts w:hint="eastAsia" w:ascii="宋体" w:hAnsi="宋体" w:eastAsia="宋体" w:cs="宋体"/>
          <w:b/>
          <w:sz w:val="24"/>
          <w:szCs w:val="24"/>
        </w:rPr>
        <w:t>2.6 支付合同价款</w:t>
      </w:r>
      <w:bookmarkEnd w:id="61"/>
      <w:bookmarkEnd w:id="62"/>
      <w:bookmarkEnd w:id="63"/>
      <w:bookmarkEnd w:id="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5" w:name="_Toc246996270"/>
      <w:bookmarkStart w:id="66" w:name="_Toc296602514"/>
      <w:bookmarkStart w:id="67" w:name="_Toc246997013"/>
      <w:bookmarkStart w:id="68" w:name="_Toc247085785"/>
      <w:r>
        <w:rPr>
          <w:rFonts w:hint="eastAsia" w:ascii="宋体" w:hAnsi="宋体" w:eastAsia="宋体" w:cs="宋体"/>
          <w:b/>
          <w:sz w:val="24"/>
          <w:szCs w:val="24"/>
        </w:rPr>
        <w:t>2.7 组织竣工验收</w:t>
      </w:r>
      <w:bookmarkEnd w:id="65"/>
      <w:bookmarkEnd w:id="66"/>
      <w:bookmarkEnd w:id="67"/>
      <w:bookmarkEnd w:id="6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9" w:name="_Toc247085786"/>
      <w:bookmarkStart w:id="70" w:name="_Toc296602515"/>
      <w:bookmarkStart w:id="71" w:name="_Toc246996271"/>
      <w:bookmarkStart w:id="72" w:name="_Toc246997014"/>
      <w:r>
        <w:rPr>
          <w:rFonts w:hint="eastAsia" w:ascii="宋体" w:hAnsi="宋体" w:eastAsia="宋体" w:cs="宋体"/>
          <w:b/>
          <w:sz w:val="24"/>
          <w:szCs w:val="24"/>
        </w:rPr>
        <w:t>2.8 其他义务</w:t>
      </w:r>
      <w:bookmarkEnd w:id="69"/>
      <w:bookmarkEnd w:id="70"/>
      <w:bookmarkEnd w:id="71"/>
      <w:bookmarkEnd w:id="7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3" w:name="_Toc246996272"/>
      <w:bookmarkStart w:id="74" w:name="_Toc296602516"/>
      <w:bookmarkStart w:id="75" w:name="_Toc184635100"/>
      <w:bookmarkStart w:id="76" w:name="_Toc247085787"/>
      <w:bookmarkStart w:id="77" w:name="_Toc246997015"/>
      <w:r>
        <w:rPr>
          <w:rFonts w:hint="eastAsia" w:ascii="宋体" w:hAnsi="宋体" w:eastAsia="宋体" w:cs="宋体"/>
          <w:b/>
          <w:sz w:val="24"/>
          <w:szCs w:val="24"/>
        </w:rPr>
        <w:t>3. 监理人</w:t>
      </w:r>
      <w:bookmarkEnd w:id="73"/>
      <w:bookmarkEnd w:id="74"/>
      <w:bookmarkEnd w:id="75"/>
      <w:bookmarkEnd w:id="76"/>
      <w:bookmarkEnd w:id="7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8" w:name="_Toc246997016"/>
      <w:bookmarkStart w:id="79" w:name="_Toc247085788"/>
      <w:bookmarkStart w:id="80" w:name="_Toc246996273"/>
      <w:bookmarkStart w:id="81" w:name="_Toc296602517"/>
      <w:r>
        <w:rPr>
          <w:rFonts w:hint="eastAsia" w:ascii="宋体" w:hAnsi="宋体" w:eastAsia="宋体" w:cs="宋体"/>
          <w:b/>
          <w:sz w:val="24"/>
          <w:szCs w:val="24"/>
        </w:rPr>
        <w:t>3.1 监理人的职责和权力</w:t>
      </w:r>
      <w:bookmarkEnd w:id="78"/>
      <w:bookmarkEnd w:id="79"/>
      <w:bookmarkEnd w:id="80"/>
      <w:bookmarkEnd w:id="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3.1.2 合同约定应由承包人承担的义务和责任，不因监理人对承包人文件的审查或批准，对工程、材料和工程设备的检查和检验，以及为实施监理作出的指示等职务行为而减轻或解除。</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2" w:name="_Toc296602518"/>
      <w:bookmarkStart w:id="83" w:name="_Toc246997017"/>
      <w:bookmarkStart w:id="84" w:name="_Toc246996274"/>
      <w:bookmarkStart w:id="85" w:name="_Toc247085789"/>
      <w:r>
        <w:rPr>
          <w:rFonts w:hint="eastAsia" w:ascii="宋体" w:hAnsi="宋体" w:eastAsia="宋体" w:cs="宋体"/>
          <w:b/>
          <w:sz w:val="24"/>
          <w:szCs w:val="24"/>
        </w:rPr>
        <w:t>3.2 总监理工程师</w:t>
      </w:r>
      <w:bookmarkEnd w:id="82"/>
      <w:bookmarkEnd w:id="83"/>
      <w:bookmarkEnd w:id="84"/>
      <w:bookmarkEnd w:id="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6" w:name="_Toc246996275"/>
      <w:bookmarkStart w:id="87" w:name="_Toc246997018"/>
      <w:bookmarkStart w:id="88" w:name="_Toc247085790"/>
      <w:bookmarkStart w:id="89" w:name="_Toc296602519"/>
      <w:r>
        <w:rPr>
          <w:rFonts w:hint="eastAsia" w:ascii="宋体" w:hAnsi="宋体" w:eastAsia="宋体" w:cs="宋体"/>
          <w:b/>
          <w:sz w:val="24"/>
          <w:szCs w:val="24"/>
        </w:rPr>
        <w:t>3.3 监理人员</w:t>
      </w:r>
      <w:bookmarkEnd w:id="86"/>
      <w:bookmarkEnd w:id="87"/>
      <w:bookmarkEnd w:id="88"/>
      <w:bookmarkEnd w:id="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承包人对总监理工程师授权的监理人员发出的指示有疑问的，可在该指示发出的48小时内向总监理工程师提出书面异议，总监理工程师应在48小时内对该指示予以确认、更改或撤销。</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0" w:name="_Toc247085791"/>
      <w:bookmarkStart w:id="91" w:name="_Toc246997019"/>
      <w:bookmarkStart w:id="92" w:name="_Toc296602520"/>
      <w:bookmarkStart w:id="93" w:name="_Toc246996276"/>
      <w:r>
        <w:rPr>
          <w:rFonts w:hint="eastAsia" w:ascii="宋体" w:hAnsi="宋体" w:eastAsia="宋体" w:cs="宋体"/>
          <w:b/>
          <w:sz w:val="24"/>
          <w:szCs w:val="24"/>
        </w:rPr>
        <w:t>3.4 监理人的指示</w:t>
      </w:r>
      <w:bookmarkEnd w:id="90"/>
      <w:bookmarkEnd w:id="91"/>
      <w:bookmarkEnd w:id="92"/>
      <w:bookmarkEnd w:id="9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项作出的指示后应遵照执行。指示构成变更的，应按第9条处理。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4" w:name="_Toc246996277"/>
      <w:bookmarkStart w:id="95" w:name="_Toc246997020"/>
      <w:bookmarkStart w:id="96" w:name="_Toc296602521"/>
      <w:bookmarkStart w:id="97" w:name="_Toc247085792"/>
      <w:r>
        <w:rPr>
          <w:rFonts w:hint="eastAsia" w:ascii="宋体" w:hAnsi="宋体" w:eastAsia="宋体" w:cs="宋体"/>
          <w:b/>
          <w:sz w:val="24"/>
          <w:szCs w:val="24"/>
        </w:rPr>
        <w:t>3.5 商定或确定</w:t>
      </w:r>
      <w:bookmarkEnd w:id="94"/>
      <w:bookmarkEnd w:id="95"/>
      <w:bookmarkEnd w:id="96"/>
      <w:bookmarkEnd w:id="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8" w:name="_Toc247085793"/>
      <w:bookmarkStart w:id="99" w:name="_Toc184635101"/>
      <w:bookmarkStart w:id="100" w:name="_Toc296602522"/>
      <w:bookmarkStart w:id="101" w:name="_Toc246997021"/>
      <w:bookmarkStart w:id="102" w:name="_Toc246996278"/>
      <w:r>
        <w:rPr>
          <w:rFonts w:hint="eastAsia" w:ascii="宋体" w:hAnsi="宋体" w:eastAsia="宋体" w:cs="宋体"/>
          <w:b/>
          <w:sz w:val="24"/>
          <w:szCs w:val="24"/>
        </w:rPr>
        <w:t>4. 承包人</w:t>
      </w:r>
      <w:bookmarkEnd w:id="98"/>
      <w:bookmarkEnd w:id="99"/>
      <w:bookmarkEnd w:id="100"/>
      <w:bookmarkEnd w:id="101"/>
      <w:bookmarkEnd w:id="10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3" w:name="_Toc246996279"/>
      <w:bookmarkStart w:id="104" w:name="_Toc296602523"/>
      <w:bookmarkStart w:id="105" w:name="_Toc246997022"/>
      <w:bookmarkStart w:id="106" w:name="_Toc247085794"/>
      <w:r>
        <w:rPr>
          <w:rFonts w:hint="eastAsia" w:ascii="宋体" w:hAnsi="宋体" w:eastAsia="宋体" w:cs="宋体"/>
          <w:b/>
          <w:sz w:val="24"/>
          <w:szCs w:val="24"/>
        </w:rPr>
        <w:t>4.1 承包人的一般义务</w:t>
      </w:r>
      <w:bookmarkEnd w:id="103"/>
      <w:bookmarkEnd w:id="104"/>
      <w:bookmarkEnd w:id="105"/>
      <w:bookmarkEnd w:id="106"/>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4.1.1 承包人应按合同约定以及监理人根据第3.4 款作出的指示，实施、完成全部工程，并修补工程中的任何缺陷。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4.1.2 除合同另有约定外，承包人应提供为按照合同完成工程所需的劳务、材料、施工设备、工程设备和其他物品，以及按合同约定的临时设施等。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4.1.3 承包人应对所有现场作业、所有施工方法和全部工程的完备性、稳定性和安全性负责。</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4.1.4 承包人应按照法律规定和合同约定，负责施工场地及其周边环境与生态的保护工作。</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4.1.5 工程接收证书颁发前，承包人应负责照管和维护工程。工程接收证书颁发时尚有部分未竣工工程的，承包人还应负责该未竣工工程的照管和维护工作，直至竣工后移交给发包人为止。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4.1.6 承包人应履行合同约定的其他义务。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7" w:name="_Toc246996280"/>
      <w:bookmarkStart w:id="108" w:name="_Toc246997023"/>
      <w:bookmarkStart w:id="109" w:name="_Toc296602524"/>
      <w:bookmarkStart w:id="110" w:name="_Toc247085795"/>
      <w:r>
        <w:rPr>
          <w:rFonts w:hint="eastAsia" w:ascii="宋体" w:hAnsi="宋体" w:eastAsia="宋体" w:cs="宋体"/>
          <w:b/>
          <w:sz w:val="24"/>
          <w:szCs w:val="24"/>
        </w:rPr>
        <w:t>4.2 履约担保</w:t>
      </w:r>
      <w:bookmarkEnd w:id="107"/>
      <w:bookmarkEnd w:id="108"/>
      <w:bookmarkEnd w:id="109"/>
      <w:bookmarkEnd w:id="11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4.2.1承包人应保证其履约担保在发包人颁发工程接收证书前一直有效。发包人应在工程接收证书颁发后28 天内把履约担保退还给承包人。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1" w:name="_Toc296602525"/>
      <w:bookmarkStart w:id="112" w:name="_Toc246997025"/>
      <w:bookmarkStart w:id="113" w:name="_Toc247085797"/>
      <w:bookmarkStart w:id="114" w:name="_Toc246996282"/>
      <w:r>
        <w:rPr>
          <w:rFonts w:hint="eastAsia" w:ascii="宋体" w:hAnsi="宋体" w:eastAsia="宋体" w:cs="宋体"/>
          <w:b/>
          <w:sz w:val="24"/>
          <w:szCs w:val="24"/>
        </w:rPr>
        <w:t>4.3 承包人项目经理</w:t>
      </w:r>
      <w:bookmarkEnd w:id="111"/>
      <w:bookmarkEnd w:id="112"/>
      <w:bookmarkEnd w:id="113"/>
      <w:bookmarkEnd w:id="1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5" w:name="_Toc296602526"/>
      <w:bookmarkStart w:id="116" w:name="_Toc246997026"/>
      <w:bookmarkStart w:id="117" w:name="_Toc247085798"/>
      <w:bookmarkStart w:id="118" w:name="_Toc246996283"/>
      <w:r>
        <w:rPr>
          <w:rFonts w:hint="eastAsia" w:ascii="宋体" w:hAnsi="宋体" w:eastAsia="宋体" w:cs="宋体"/>
          <w:b/>
          <w:sz w:val="24"/>
          <w:szCs w:val="24"/>
        </w:rPr>
        <w:t>4.4 工程价款应专款专用</w:t>
      </w:r>
      <w:bookmarkEnd w:id="115"/>
      <w:bookmarkEnd w:id="116"/>
      <w:bookmarkEnd w:id="117"/>
      <w:bookmarkEnd w:id="1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bookmarkStart w:id="119" w:name="_Toc247085799"/>
      <w:bookmarkStart w:id="120" w:name="_Toc246997027"/>
      <w:bookmarkStart w:id="121" w:name="_Toc24699628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2" w:name="_Toc296602527"/>
      <w:r>
        <w:rPr>
          <w:rFonts w:hint="eastAsia" w:ascii="宋体" w:hAnsi="宋体" w:eastAsia="宋体" w:cs="宋体"/>
          <w:b/>
          <w:sz w:val="24"/>
          <w:szCs w:val="24"/>
        </w:rPr>
        <w:t>4.5 不利物质条件</w:t>
      </w:r>
      <w:bookmarkEnd w:id="1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4.5.1 不利物质条件，除专用合同条款另有约定外，是指承包人在施工场地遇到的不可预见的自然物质条件、非自然的物质障碍和污染物，包括地下和水文条件，但不包括气候条件。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3" w:name="_Toc179632686"/>
      <w:bookmarkStart w:id="124" w:name="_Toc152042446"/>
      <w:bookmarkStart w:id="125" w:name="_Toc144974636"/>
      <w:bookmarkStart w:id="126" w:name="_Toc152045668"/>
      <w:bookmarkStart w:id="127" w:name="_Toc296602528"/>
      <w:r>
        <w:rPr>
          <w:rFonts w:hint="eastAsia" w:ascii="宋体" w:hAnsi="宋体" w:eastAsia="宋体" w:cs="宋体"/>
          <w:b/>
          <w:sz w:val="24"/>
          <w:szCs w:val="24"/>
        </w:rPr>
        <w:t xml:space="preserve">5. </w:t>
      </w:r>
      <w:bookmarkEnd w:id="123"/>
      <w:bookmarkEnd w:id="124"/>
      <w:bookmarkEnd w:id="125"/>
      <w:bookmarkEnd w:id="126"/>
      <w:r>
        <w:rPr>
          <w:rFonts w:hint="eastAsia" w:ascii="宋体" w:hAnsi="宋体" w:eastAsia="宋体" w:cs="宋体"/>
          <w:b/>
          <w:sz w:val="24"/>
          <w:szCs w:val="24"/>
        </w:rPr>
        <w:t>施工控制网</w:t>
      </w:r>
      <w:bookmarkEnd w:id="1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5.2 承包人应负责管理施工控制网点。施工控制网点丢失或损坏的，承包人应及时修复。承包人应承担施工控制网点的管理与修复费用，并在工程竣工后将施工控制网点移交发包人。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8" w:name="_Toc296602529"/>
      <w:r>
        <w:rPr>
          <w:rFonts w:hint="eastAsia" w:ascii="宋体" w:hAnsi="宋体" w:eastAsia="宋体" w:cs="宋体"/>
          <w:b/>
          <w:sz w:val="24"/>
          <w:szCs w:val="24"/>
        </w:rPr>
        <w:t>6. 工期</w:t>
      </w:r>
      <w:bookmarkEnd w:id="12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9" w:name="_Toc296602530"/>
      <w:bookmarkStart w:id="130" w:name="_Toc152042460"/>
      <w:bookmarkStart w:id="131" w:name="_Toc179632700"/>
      <w:bookmarkStart w:id="132" w:name="_Toc144974650"/>
      <w:bookmarkStart w:id="133" w:name="_Toc152045682"/>
      <w:r>
        <w:rPr>
          <w:rFonts w:hint="eastAsia" w:ascii="宋体" w:hAnsi="宋体" w:eastAsia="宋体" w:cs="宋体"/>
          <w:b/>
          <w:sz w:val="24"/>
          <w:szCs w:val="24"/>
        </w:rPr>
        <w:t>6.1 进度计划</w:t>
      </w:r>
      <w:bookmarkEnd w:id="12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30"/>
    <w:bookmarkEnd w:id="131"/>
    <w:bookmarkEnd w:id="132"/>
    <w:bookmarkEnd w:id="133"/>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4" w:name="_Toc296602531"/>
      <w:r>
        <w:rPr>
          <w:rFonts w:hint="eastAsia" w:ascii="宋体" w:hAnsi="宋体" w:eastAsia="宋体" w:cs="宋体"/>
          <w:b/>
          <w:sz w:val="24"/>
          <w:szCs w:val="24"/>
        </w:rPr>
        <w:t>6.2 工程实施</w:t>
      </w:r>
      <w:bookmarkEnd w:id="13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监理人应在开工日期7天前向承包人发出开工通知。承包人应在第1.1.4.3目约定的期限内完成合同工程。实际竣工日期在接收证书中写明。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5" w:name="_Toc296602532"/>
      <w:r>
        <w:rPr>
          <w:rFonts w:hint="eastAsia" w:ascii="宋体" w:hAnsi="宋体" w:eastAsia="宋体" w:cs="宋体"/>
          <w:b/>
          <w:sz w:val="24"/>
          <w:szCs w:val="24"/>
        </w:rPr>
        <w:t>6.3 发包人引起的工期延误</w:t>
      </w:r>
      <w:bookmarkEnd w:id="1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在履行合同过程中，由于发包人的下列原因造成工期延误的，承包人有权要求发包人延长工期和（或）增加费用，并支付合理利润。需要修订合同进度计划的，按照第6.1款的约定执行。</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（1）增加合同工作内容；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6" w:name="_Toc296602533"/>
      <w:r>
        <w:rPr>
          <w:rFonts w:hint="eastAsia" w:ascii="宋体" w:hAnsi="宋体" w:eastAsia="宋体" w:cs="宋体"/>
          <w:b/>
          <w:sz w:val="24"/>
          <w:szCs w:val="24"/>
        </w:rPr>
        <w:t>6.4 异常恶劣的气候条件</w:t>
      </w:r>
      <w:bookmarkEnd w:id="1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由于出现专用合同条款约定的异常恶劣气候导致工期延误的，承包人有权要求发包人延长工期。</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7" w:name="_Toc296602534"/>
      <w:r>
        <w:rPr>
          <w:rFonts w:hint="eastAsia" w:ascii="宋体" w:hAnsi="宋体" w:eastAsia="宋体" w:cs="宋体"/>
          <w:b/>
          <w:sz w:val="24"/>
          <w:szCs w:val="24"/>
        </w:rPr>
        <w:t>6.5 承包人引起的工期延误</w:t>
      </w:r>
      <w:bookmarkEnd w:id="13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19"/>
    <w:bookmarkEnd w:id="120"/>
    <w:bookmarkEnd w:id="12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8" w:name="_Toc246996291"/>
      <w:bookmarkStart w:id="139" w:name="_Toc296602535"/>
      <w:bookmarkStart w:id="140" w:name="_Toc246997034"/>
      <w:bookmarkStart w:id="141" w:name="_Toc247085806"/>
      <w:bookmarkStart w:id="142" w:name="_Toc184635110"/>
      <w:r>
        <w:rPr>
          <w:rFonts w:hint="eastAsia" w:ascii="宋体" w:hAnsi="宋体" w:eastAsia="宋体" w:cs="宋体"/>
          <w:b/>
          <w:sz w:val="24"/>
          <w:szCs w:val="24"/>
        </w:rPr>
        <w:t>7. 工程质量</w:t>
      </w:r>
      <w:bookmarkEnd w:id="138"/>
      <w:bookmarkEnd w:id="139"/>
      <w:bookmarkEnd w:id="140"/>
      <w:bookmarkEnd w:id="141"/>
      <w:bookmarkEnd w:id="14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3" w:name="_Toc246997035"/>
      <w:bookmarkStart w:id="144" w:name="_Toc296602536"/>
      <w:bookmarkStart w:id="145" w:name="_Toc247085807"/>
      <w:bookmarkStart w:id="146" w:name="_Toc246996292"/>
      <w:r>
        <w:rPr>
          <w:rFonts w:hint="eastAsia" w:ascii="宋体" w:hAnsi="宋体" w:eastAsia="宋体" w:cs="宋体"/>
          <w:b/>
          <w:sz w:val="24"/>
          <w:szCs w:val="24"/>
        </w:rPr>
        <w:t>7.1 工程质量要求</w:t>
      </w:r>
      <w:bookmarkEnd w:id="143"/>
      <w:bookmarkEnd w:id="144"/>
      <w:bookmarkEnd w:id="145"/>
      <w:bookmarkEnd w:id="1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工程质量验收按照合同约定的验收标准执行。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7" w:name="_Toc247085808"/>
      <w:bookmarkStart w:id="148" w:name="_Toc246996293"/>
      <w:bookmarkStart w:id="149" w:name="_Toc246997036"/>
      <w:bookmarkStart w:id="150" w:name="_Toc296602537"/>
      <w:r>
        <w:rPr>
          <w:rFonts w:hint="eastAsia" w:ascii="宋体" w:hAnsi="宋体" w:eastAsia="宋体" w:cs="宋体"/>
          <w:b/>
          <w:sz w:val="24"/>
          <w:szCs w:val="24"/>
        </w:rPr>
        <w:t>7.2 监理人的质量检查</w:t>
      </w:r>
      <w:bookmarkEnd w:id="147"/>
      <w:bookmarkEnd w:id="148"/>
      <w:bookmarkEnd w:id="149"/>
      <w:bookmarkEnd w:id="15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监理人有权对工程的所有部位及其施工工艺、材料和工程设备进行检查和检验。监理人的检查和检验，不免除承包人按合同约定应负的责任。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1" w:name="_Toc247085809"/>
      <w:bookmarkStart w:id="152" w:name="_Toc296602538"/>
      <w:bookmarkStart w:id="153" w:name="_Toc246997037"/>
      <w:bookmarkStart w:id="154" w:name="_Toc246996294"/>
      <w:r>
        <w:rPr>
          <w:rFonts w:hint="eastAsia" w:ascii="宋体" w:hAnsi="宋体" w:eastAsia="宋体" w:cs="宋体"/>
          <w:b/>
          <w:sz w:val="24"/>
          <w:szCs w:val="24"/>
        </w:rPr>
        <w:t>7.3 工程隐蔽部位覆盖前的检查</w:t>
      </w:r>
      <w:bookmarkEnd w:id="151"/>
      <w:bookmarkEnd w:id="152"/>
      <w:bookmarkEnd w:id="153"/>
      <w:bookmarkEnd w:id="15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承包人未通知监理人到场检查，私自将工程隐蔽部位覆盖的，监理人有权指示承包人钻孔探测或揭开检查，无论工程隐蔽部位质量是否合格，由此增加的费用和（或）工期延误由承包人承担。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5" w:name="_Toc296602539"/>
      <w:bookmarkStart w:id="156" w:name="_Toc246997038"/>
      <w:bookmarkStart w:id="157" w:name="_Toc247085810"/>
      <w:bookmarkStart w:id="158" w:name="_Toc246996295"/>
      <w:r>
        <w:rPr>
          <w:rFonts w:hint="eastAsia" w:ascii="宋体" w:hAnsi="宋体" w:eastAsia="宋体" w:cs="宋体"/>
          <w:b/>
          <w:sz w:val="24"/>
          <w:szCs w:val="24"/>
        </w:rPr>
        <w:t>7.4 清除不合格工程</w:t>
      </w:r>
      <w:bookmarkEnd w:id="155"/>
      <w:bookmarkEnd w:id="156"/>
      <w:bookmarkEnd w:id="157"/>
      <w:bookmarkEnd w:id="15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9" w:name="_Toc296602540"/>
      <w:bookmarkStart w:id="160" w:name="_Toc247085811"/>
      <w:bookmarkStart w:id="161" w:name="_Toc246997039"/>
      <w:bookmarkStart w:id="162" w:name="_Toc246996296"/>
      <w:r>
        <w:rPr>
          <w:rFonts w:hint="eastAsia" w:ascii="宋体" w:hAnsi="宋体" w:eastAsia="宋体" w:cs="宋体"/>
          <w:b/>
          <w:sz w:val="24"/>
          <w:szCs w:val="24"/>
        </w:rPr>
        <w:t>8. 试验和检验</w:t>
      </w:r>
      <w:bookmarkEnd w:id="159"/>
      <w:bookmarkEnd w:id="160"/>
      <w:bookmarkEnd w:id="161"/>
      <w:bookmarkEnd w:id="16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3" w:name="_Toc296602541"/>
      <w:r>
        <w:rPr>
          <w:rFonts w:hint="eastAsia" w:ascii="宋体" w:hAnsi="宋体" w:eastAsia="宋体" w:cs="宋体"/>
          <w:b/>
          <w:sz w:val="24"/>
          <w:szCs w:val="24"/>
        </w:rPr>
        <w:t>8.1 材料、工程设备和工程的试验和检验</w:t>
      </w:r>
      <w:bookmarkEnd w:id="16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8.1.2 监理人未按合同约定派员参加试验和检验的，除监理人另有指示外，承包人可自行试验和检验，并应立即将试验和检验结果报送监理人，监理人应签字确认。</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4" w:name="_Toc296602542"/>
      <w:r>
        <w:rPr>
          <w:rFonts w:hint="eastAsia" w:ascii="宋体" w:hAnsi="宋体" w:eastAsia="宋体" w:cs="宋体"/>
          <w:b/>
          <w:sz w:val="24"/>
          <w:szCs w:val="24"/>
        </w:rPr>
        <w:t>8.2 现场材料试验</w:t>
      </w:r>
      <w:bookmarkEnd w:id="1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8.2.1 承包人根据合同约定或监理人指示进行的现场材料试验，应由承包人提供试验场所、试验人员、试验设备器材以及其他必要的试验条件。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8.2.2 监理人在必要时可以使用承包人的试验场所、试验设备器材以及其他试验条件，进行以工程质量检查为目的的复核性材料试验，承包人应予以协助。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5" w:name="_Toc184635112"/>
      <w:bookmarkStart w:id="166" w:name="_Toc296602543"/>
      <w:bookmarkStart w:id="167" w:name="_Toc247085812"/>
      <w:bookmarkStart w:id="168" w:name="_Toc246997040"/>
      <w:bookmarkStart w:id="169" w:name="_Toc246996297"/>
      <w:r>
        <w:rPr>
          <w:rFonts w:hint="eastAsia" w:ascii="宋体" w:hAnsi="宋体" w:eastAsia="宋体" w:cs="宋体"/>
          <w:b/>
          <w:sz w:val="24"/>
          <w:szCs w:val="24"/>
        </w:rPr>
        <w:t>9. 变更</w:t>
      </w:r>
      <w:bookmarkEnd w:id="165"/>
      <w:bookmarkEnd w:id="166"/>
      <w:bookmarkEnd w:id="167"/>
      <w:bookmarkEnd w:id="168"/>
      <w:bookmarkEnd w:id="16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0" w:name="_Toc246997041"/>
      <w:bookmarkStart w:id="171" w:name="_Toc246996298"/>
      <w:bookmarkStart w:id="172" w:name="_Toc296602544"/>
      <w:bookmarkStart w:id="173" w:name="_Toc247085813"/>
      <w:r>
        <w:rPr>
          <w:rFonts w:hint="eastAsia" w:ascii="宋体" w:hAnsi="宋体" w:eastAsia="宋体" w:cs="宋体"/>
          <w:b/>
          <w:sz w:val="24"/>
          <w:szCs w:val="24"/>
        </w:rPr>
        <w:t>9.1 变更权</w:t>
      </w:r>
      <w:bookmarkEnd w:id="170"/>
      <w:bookmarkEnd w:id="171"/>
      <w:bookmarkEnd w:id="172"/>
      <w:bookmarkEnd w:id="17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在履行合同过程中，经发包人同意，监理人可按第9.2款约定的变更程序向承包人作出变更指示，承包人应遵照执行。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4" w:name="_Toc296602545"/>
      <w:bookmarkStart w:id="175" w:name="_Toc246996299"/>
      <w:bookmarkStart w:id="176" w:name="_Toc246997042"/>
      <w:bookmarkStart w:id="177" w:name="_Toc247085814"/>
      <w:r>
        <w:rPr>
          <w:rFonts w:hint="eastAsia" w:ascii="宋体" w:hAnsi="宋体" w:eastAsia="宋体" w:cs="宋体"/>
          <w:b/>
          <w:sz w:val="24"/>
          <w:szCs w:val="24"/>
        </w:rPr>
        <w:t>9.2 变更程序</w:t>
      </w:r>
      <w:bookmarkEnd w:id="174"/>
      <w:bookmarkEnd w:id="175"/>
      <w:bookmarkEnd w:id="176"/>
      <w:bookmarkEnd w:id="17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承包人应在收到变更指示14天内，向监理人提交变更报价书。监理人应审查，并在收到承包人变更报价书后14天内，与发包人和承包人共同商定此估价。在未达成协议的情况下，监理人应确定该估价。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8" w:name="_Toc246997043"/>
      <w:bookmarkStart w:id="179" w:name="_Toc246996300"/>
      <w:bookmarkStart w:id="180" w:name="_Toc247085815"/>
      <w:bookmarkStart w:id="181" w:name="_Toc296602546"/>
      <w:r>
        <w:rPr>
          <w:rFonts w:hint="eastAsia" w:ascii="宋体" w:hAnsi="宋体" w:eastAsia="宋体" w:cs="宋体"/>
          <w:b/>
          <w:sz w:val="24"/>
          <w:szCs w:val="24"/>
        </w:rPr>
        <w:t>9.3 变更的估价原则</w:t>
      </w:r>
      <w:bookmarkEnd w:id="178"/>
      <w:bookmarkEnd w:id="179"/>
      <w:bookmarkEnd w:id="180"/>
      <w:bookmarkEnd w:id="1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除专用合同条款另有约定外，因变更引起的价格调整按照本款约定处理：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（1）已标价工程量清单中有适用于变更工作的子目的，采用该子目的单价；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（2）已标价工程量清单中无适用于变更工作的子目，但有类似子目的，可在合理范围内参照类似项目，由监理人按第3.5款商定或确定变更工作的单价；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（3）已标价工程量清单中无适用或类似子目的单价，可按照成本加利润的原则，由监理人按第3.5款商定或确定变更工作的单价。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2" w:name="_Toc246996301"/>
      <w:bookmarkStart w:id="183" w:name="_Toc247085816"/>
      <w:bookmarkStart w:id="184" w:name="_Toc296602547"/>
      <w:bookmarkStart w:id="185" w:name="_Toc246997044"/>
      <w:r>
        <w:rPr>
          <w:rFonts w:hint="eastAsia" w:ascii="宋体" w:hAnsi="宋体" w:eastAsia="宋体" w:cs="宋体"/>
          <w:b/>
          <w:sz w:val="24"/>
          <w:szCs w:val="24"/>
        </w:rPr>
        <w:t>9.4 暂列金额</w:t>
      </w:r>
      <w:bookmarkEnd w:id="182"/>
      <w:bookmarkEnd w:id="183"/>
      <w:bookmarkEnd w:id="184"/>
      <w:bookmarkEnd w:id="1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暂列金额只能按照监理人的指示使用，并对合同价格进行相应调整。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6" w:name="_Toc246996302"/>
      <w:bookmarkStart w:id="187" w:name="_Toc296602548"/>
      <w:bookmarkStart w:id="188" w:name="_Toc247085817"/>
      <w:bookmarkStart w:id="189" w:name="_Toc246997045"/>
      <w:r>
        <w:rPr>
          <w:rFonts w:hint="eastAsia" w:ascii="宋体" w:hAnsi="宋体" w:eastAsia="宋体" w:cs="宋体"/>
          <w:b/>
          <w:sz w:val="24"/>
          <w:szCs w:val="24"/>
        </w:rPr>
        <w:t>9.5 计日工</w:t>
      </w:r>
      <w:bookmarkEnd w:id="186"/>
      <w:bookmarkEnd w:id="187"/>
      <w:bookmarkEnd w:id="188"/>
      <w:bookmarkEnd w:id="1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9.5.1 发包人认为有必要时，由监理人通知承包人以计日工方式实施变更的零星工作。其价款按列入已标价工程量清单中的计日工计价子目及其单价进行计算。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9.5.2 采用计日工计价的任何一项变更工作，应从暂列金额中支付，承包人应在该项变更的实施过程中，每天提交以下报表和有关凭证报送监理人审批：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（l）工作名称、内容和数量；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（2）投入该工作所有人员的姓名、工种、级别和耗用工时；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（3）投入该工作的材料类别和数量；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（4）投入该工作的施工设备型号、台数和耗用台时；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（5）监理人要求提交的其他资料和凭证。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9.5.3 计日工由承包人汇总后，按第10.3款的约定列入进度付款申请单，由监理人复核并经发包人同意后列入进度付款。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0" w:name="_Toc247085819"/>
      <w:bookmarkStart w:id="191" w:name="_Toc296602549"/>
      <w:bookmarkStart w:id="192" w:name="_Toc246996304"/>
      <w:bookmarkStart w:id="193" w:name="_Toc184635114"/>
      <w:bookmarkStart w:id="194" w:name="_Toc246997047"/>
      <w:r>
        <w:rPr>
          <w:rFonts w:hint="eastAsia" w:ascii="宋体" w:hAnsi="宋体" w:eastAsia="宋体" w:cs="宋体"/>
          <w:b/>
          <w:sz w:val="24"/>
          <w:szCs w:val="24"/>
        </w:rPr>
        <w:t>10. 计量与支付</w:t>
      </w:r>
      <w:bookmarkEnd w:id="190"/>
      <w:bookmarkEnd w:id="191"/>
      <w:bookmarkEnd w:id="192"/>
      <w:bookmarkEnd w:id="193"/>
      <w:bookmarkEnd w:id="19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5" w:name="_Toc246997048"/>
      <w:bookmarkStart w:id="196" w:name="_Toc247085820"/>
      <w:bookmarkStart w:id="197" w:name="_Toc296602550"/>
      <w:bookmarkStart w:id="198" w:name="_Toc246996305"/>
      <w:r>
        <w:rPr>
          <w:rFonts w:hint="eastAsia" w:ascii="宋体" w:hAnsi="宋体" w:eastAsia="宋体" w:cs="宋体"/>
          <w:b/>
          <w:sz w:val="24"/>
          <w:szCs w:val="24"/>
        </w:rPr>
        <w:t>10.1 计量</w:t>
      </w:r>
      <w:bookmarkEnd w:id="195"/>
      <w:bookmarkEnd w:id="196"/>
      <w:bookmarkEnd w:id="197"/>
      <w:bookmarkEnd w:id="19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9" w:name="_Toc246996306"/>
      <w:bookmarkStart w:id="200" w:name="_Toc246997049"/>
      <w:bookmarkStart w:id="201" w:name="_Toc247085821"/>
      <w:bookmarkStart w:id="202" w:name="_Toc296602551"/>
      <w:r>
        <w:rPr>
          <w:rFonts w:hint="eastAsia" w:ascii="宋体" w:hAnsi="宋体" w:eastAsia="宋体" w:cs="宋体"/>
          <w:b/>
          <w:sz w:val="24"/>
          <w:szCs w:val="24"/>
        </w:rPr>
        <w:t>10.2 预付款</w:t>
      </w:r>
      <w:bookmarkEnd w:id="199"/>
      <w:bookmarkEnd w:id="200"/>
      <w:bookmarkEnd w:id="201"/>
      <w:bookmarkEnd w:id="2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3" w:name="_Toc247085822"/>
      <w:bookmarkStart w:id="204" w:name="_Toc296602552"/>
      <w:bookmarkStart w:id="205" w:name="_Toc246996307"/>
      <w:bookmarkStart w:id="206" w:name="_Toc246997050"/>
      <w:r>
        <w:rPr>
          <w:rFonts w:hint="eastAsia" w:ascii="宋体" w:hAnsi="宋体" w:eastAsia="宋体" w:cs="宋体"/>
          <w:b/>
          <w:sz w:val="24"/>
          <w:szCs w:val="24"/>
        </w:rPr>
        <w:t>10.3 工程进度付款</w:t>
      </w:r>
      <w:bookmarkEnd w:id="203"/>
      <w:bookmarkEnd w:id="204"/>
      <w:bookmarkEnd w:id="205"/>
      <w:bookmarkEnd w:id="20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（1）截至本次付款周期末已实施工程的合同价款；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（2）根据第9条应增加和扣减的变更金额；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（3）根据第16条应增加和扣减的索赔金额；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（4）根据第10.2款应支付的预付款和扣减的返还预付款；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（5）根据第10.4款应扣减的质量保证金；</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7" w:name="_Toc246996308"/>
      <w:bookmarkStart w:id="208" w:name="_Toc247085823"/>
      <w:bookmarkStart w:id="209" w:name="_Toc246997051"/>
      <w:bookmarkStart w:id="210" w:name="_Toc296602553"/>
      <w:r>
        <w:rPr>
          <w:rFonts w:hint="eastAsia" w:ascii="宋体" w:hAnsi="宋体" w:eastAsia="宋体" w:cs="宋体"/>
          <w:b/>
          <w:sz w:val="24"/>
          <w:szCs w:val="24"/>
        </w:rPr>
        <w:t>10.4 质量保证金</w:t>
      </w:r>
      <w:bookmarkEnd w:id="207"/>
      <w:bookmarkEnd w:id="208"/>
      <w:bookmarkEnd w:id="209"/>
      <w:bookmarkEnd w:id="210"/>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监理人应从第一个付款周期开始，在发包人的进度付款中，按专用合同条款的约定扣留质量保证金，直至扣留的质量保证金总额达到专用合同条款约定的金额或比例为止。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1" w:name="_Toc246997052"/>
      <w:bookmarkStart w:id="212" w:name="_Toc246996309"/>
      <w:bookmarkStart w:id="213" w:name="_Toc296602554"/>
      <w:bookmarkStart w:id="214" w:name="_Toc247085824"/>
      <w:r>
        <w:rPr>
          <w:rFonts w:hint="eastAsia" w:ascii="宋体" w:hAnsi="宋体" w:eastAsia="宋体" w:cs="宋体"/>
          <w:b/>
          <w:sz w:val="24"/>
          <w:szCs w:val="24"/>
        </w:rPr>
        <w:t>10.5 竣工结算</w:t>
      </w:r>
      <w:bookmarkEnd w:id="211"/>
      <w:bookmarkEnd w:id="212"/>
      <w:bookmarkEnd w:id="213"/>
      <w:bookmarkEnd w:id="2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10.5.1 除专用合同条款另有约定外，竣工结算价格不因物价波动和法律变化而调整。</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10.5.3竣工付款涉及政府投资资金的，按照国库集中支付等国家相关规定和专用合同条款的约定执行。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5" w:name="_Toc246997053"/>
      <w:bookmarkStart w:id="216" w:name="_Toc246996310"/>
      <w:bookmarkStart w:id="217" w:name="_Toc296602555"/>
      <w:bookmarkStart w:id="218" w:name="_Toc247085825"/>
      <w:r>
        <w:rPr>
          <w:rFonts w:hint="eastAsia" w:ascii="宋体" w:hAnsi="宋体" w:eastAsia="宋体" w:cs="宋体"/>
          <w:b/>
          <w:sz w:val="24"/>
          <w:szCs w:val="24"/>
        </w:rPr>
        <w:t>10.6 付款延误</w:t>
      </w:r>
      <w:bookmarkEnd w:id="215"/>
      <w:bookmarkEnd w:id="216"/>
      <w:bookmarkEnd w:id="217"/>
      <w:bookmarkEnd w:id="2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发包人不按期支付的，按专用合同条款的约定支付逾期付款违约金。</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9" w:name="_Toc296602556"/>
      <w:bookmarkStart w:id="220" w:name="_Toc246996311"/>
      <w:bookmarkStart w:id="221" w:name="_Toc246997054"/>
      <w:bookmarkStart w:id="222" w:name="_Toc247085826"/>
      <w:bookmarkStart w:id="223" w:name="_Toc184635115"/>
      <w:r>
        <w:rPr>
          <w:rFonts w:hint="eastAsia" w:ascii="宋体" w:hAnsi="宋体" w:eastAsia="宋体" w:cs="宋体"/>
          <w:b/>
          <w:sz w:val="24"/>
          <w:szCs w:val="24"/>
        </w:rPr>
        <w:t>11. 竣工验收</w:t>
      </w:r>
      <w:bookmarkEnd w:id="219"/>
      <w:bookmarkEnd w:id="220"/>
      <w:bookmarkEnd w:id="221"/>
      <w:bookmarkEnd w:id="222"/>
      <w:bookmarkEnd w:id="223"/>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4" w:name="_Toc296602557"/>
      <w:bookmarkStart w:id="225" w:name="_Toc246997055"/>
      <w:bookmarkStart w:id="226" w:name="_Toc246996312"/>
      <w:bookmarkStart w:id="227" w:name="_Toc247085827"/>
      <w:r>
        <w:rPr>
          <w:rFonts w:hint="eastAsia" w:ascii="宋体" w:hAnsi="宋体" w:eastAsia="宋体" w:cs="宋体"/>
          <w:b/>
          <w:sz w:val="24"/>
          <w:szCs w:val="24"/>
        </w:rPr>
        <w:t>11.1 竣工验收的含义</w:t>
      </w:r>
      <w:bookmarkEnd w:id="2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11.1.1 竣工验收是指承包人完成了全部合同工作后，发包人按合同要求进行的验收。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11.1.2 需要进行国家验收的，竣工验收是国家验收的一部分。竣工验收所采用的各项验收和评定标准应符合国家验收标准。发包人和承包人为竣工验收提供的各项竣工验收资料应符合国家验收的要求。</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8" w:name="_Toc296602558"/>
      <w:r>
        <w:rPr>
          <w:rFonts w:hint="eastAsia" w:ascii="宋体" w:hAnsi="宋体" w:eastAsia="宋体" w:cs="宋体"/>
          <w:b/>
          <w:sz w:val="24"/>
          <w:szCs w:val="24"/>
        </w:rPr>
        <w:t>11.2 竣工验收申请报告</w:t>
      </w:r>
      <w:bookmarkEnd w:id="225"/>
      <w:bookmarkEnd w:id="226"/>
      <w:bookmarkEnd w:id="227"/>
      <w:bookmarkEnd w:id="22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当工程具备竣工条件时，承包人即可向监理人报送竣工验收申请报告。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9" w:name="_Toc247085828"/>
      <w:bookmarkStart w:id="230" w:name="_Toc296602559"/>
      <w:bookmarkStart w:id="231" w:name="_Toc246997056"/>
      <w:bookmarkStart w:id="232" w:name="_Toc246996313"/>
      <w:r>
        <w:rPr>
          <w:rFonts w:hint="eastAsia" w:ascii="宋体" w:hAnsi="宋体" w:eastAsia="宋体" w:cs="宋体"/>
          <w:b/>
          <w:sz w:val="24"/>
          <w:szCs w:val="24"/>
        </w:rPr>
        <w:t>11.3 竣工和验收</w:t>
      </w:r>
      <w:bookmarkEnd w:id="229"/>
      <w:bookmarkEnd w:id="230"/>
      <w:bookmarkEnd w:id="231"/>
      <w:bookmarkEnd w:id="23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监理人审查后认为具备竣工验收条件的，提请发包人进行工程验收。发包人经过验收后同意接收工程的，由监理人向承包人出具经发包人签认的工程接收证书。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除专用合同条款另有约定外，经验收合格工程的实际竣工日期，以提交竣工验收申请报告的日期为准，并在工程接收证书中写明。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3" w:name="_Toc296602560"/>
      <w:bookmarkStart w:id="234" w:name="_Toc246996314"/>
      <w:bookmarkStart w:id="235" w:name="_Toc246997057"/>
      <w:bookmarkStart w:id="236" w:name="_Toc247085829"/>
      <w:r>
        <w:rPr>
          <w:rFonts w:hint="eastAsia" w:ascii="宋体" w:hAnsi="宋体" w:eastAsia="宋体" w:cs="宋体"/>
          <w:b/>
          <w:sz w:val="24"/>
          <w:szCs w:val="24"/>
        </w:rPr>
        <w:t>11.4 试运行</w:t>
      </w:r>
      <w:bookmarkEnd w:id="233"/>
      <w:bookmarkEnd w:id="234"/>
      <w:bookmarkEnd w:id="235"/>
      <w:bookmarkEnd w:id="2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除专用合同条款另有约定外，承包人应按专用合同条款约定进行工程及工程设备试运行，负责提供试运行所需的人员、器材和必要的条件，并承担全部试运行费用。</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7" w:name="_Toc246996315"/>
      <w:bookmarkStart w:id="238" w:name="_Toc247085830"/>
      <w:bookmarkStart w:id="239" w:name="_Toc246997058"/>
      <w:bookmarkStart w:id="240" w:name="_Toc296602561"/>
      <w:r>
        <w:rPr>
          <w:rFonts w:hint="eastAsia" w:ascii="宋体" w:hAnsi="宋体" w:eastAsia="宋体" w:cs="宋体"/>
          <w:b/>
          <w:sz w:val="24"/>
          <w:szCs w:val="24"/>
        </w:rPr>
        <w:t>11.5 竣工清场</w:t>
      </w:r>
      <w:bookmarkEnd w:id="237"/>
      <w:bookmarkEnd w:id="238"/>
      <w:bookmarkEnd w:id="239"/>
      <w:bookmarkEnd w:id="24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除合同另有约定外，工程接收证书颁发后，承包人应对施工场地进行清理，直至监理人检验合格为止。竣工清场费用由承包人承担。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1" w:name="_Toc247085831"/>
      <w:bookmarkStart w:id="242" w:name="_Toc184635116"/>
      <w:bookmarkStart w:id="243" w:name="_Toc246997059"/>
      <w:bookmarkStart w:id="244" w:name="_Toc296602562"/>
      <w:bookmarkStart w:id="245" w:name="_Toc246996316"/>
      <w:r>
        <w:rPr>
          <w:rFonts w:hint="eastAsia" w:ascii="宋体" w:hAnsi="宋体" w:eastAsia="宋体" w:cs="宋体"/>
          <w:b/>
          <w:sz w:val="24"/>
          <w:szCs w:val="24"/>
        </w:rPr>
        <w:t>12. 缺陷责任与保修责任</w:t>
      </w:r>
      <w:bookmarkEnd w:id="241"/>
      <w:bookmarkEnd w:id="242"/>
      <w:bookmarkEnd w:id="243"/>
      <w:bookmarkEnd w:id="244"/>
      <w:bookmarkEnd w:id="245"/>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6" w:name="_Toc246996317"/>
      <w:bookmarkStart w:id="247" w:name="_Toc247085832"/>
      <w:bookmarkStart w:id="248" w:name="_Toc246997060"/>
      <w:bookmarkStart w:id="249" w:name="_Toc296602563"/>
      <w:r>
        <w:rPr>
          <w:rFonts w:hint="eastAsia" w:ascii="宋体" w:hAnsi="宋体" w:eastAsia="宋体" w:cs="宋体"/>
          <w:b/>
          <w:sz w:val="24"/>
          <w:szCs w:val="24"/>
        </w:rPr>
        <w:t>12.1 缺陷责任</w:t>
      </w:r>
      <w:bookmarkEnd w:id="246"/>
      <w:bookmarkEnd w:id="247"/>
      <w:bookmarkEnd w:id="248"/>
      <w:bookmarkEnd w:id="24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0" w:name="_Toc246996318"/>
      <w:bookmarkStart w:id="251" w:name="_Toc246997061"/>
      <w:bookmarkStart w:id="252" w:name="_Toc296602564"/>
      <w:bookmarkStart w:id="253" w:name="_Toc247085833"/>
      <w:r>
        <w:rPr>
          <w:rFonts w:hint="eastAsia" w:ascii="宋体" w:hAnsi="宋体" w:eastAsia="宋体" w:cs="宋体"/>
          <w:b/>
          <w:sz w:val="24"/>
          <w:szCs w:val="24"/>
        </w:rPr>
        <w:t>12.2 保修责任</w:t>
      </w:r>
      <w:bookmarkEnd w:id="250"/>
      <w:bookmarkEnd w:id="251"/>
      <w:bookmarkEnd w:id="252"/>
      <w:bookmarkEnd w:id="25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w:t>
      </w:r>
      <w:bookmarkStart w:id="254" w:name="_Toc247085834"/>
      <w:bookmarkStart w:id="255" w:name="_Toc246997062"/>
      <w:bookmarkStart w:id="256" w:name="_Toc246996319"/>
      <w:bookmarkStart w:id="257" w:name="_Toc18463511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8" w:name="_Toc296602565"/>
      <w:r>
        <w:rPr>
          <w:rFonts w:hint="eastAsia" w:ascii="宋体" w:hAnsi="宋体" w:eastAsia="宋体" w:cs="宋体"/>
          <w:b/>
          <w:sz w:val="24"/>
          <w:szCs w:val="24"/>
        </w:rPr>
        <w:t>13. 保险</w:t>
      </w:r>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9" w:name="_Toc247085835"/>
      <w:bookmarkStart w:id="260" w:name="_Toc246997063"/>
      <w:bookmarkStart w:id="261" w:name="_Toc296602566"/>
      <w:bookmarkStart w:id="262" w:name="_Toc246996320"/>
      <w:r>
        <w:rPr>
          <w:rFonts w:hint="eastAsia" w:ascii="宋体" w:hAnsi="宋体" w:eastAsia="宋体" w:cs="宋体"/>
          <w:b/>
          <w:sz w:val="24"/>
          <w:szCs w:val="24"/>
        </w:rPr>
        <w:t>13.1 保险范围</w:t>
      </w:r>
      <w:bookmarkEnd w:id="259"/>
      <w:bookmarkEnd w:id="260"/>
      <w:bookmarkEnd w:id="261"/>
      <w:bookmarkEnd w:id="26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13.1.2承包人应依照有关法律规定参加工伤保险和人身意外伤害险，为其履行合同所雇佣的全部人员，缴纳工伤保险费和人身意外伤害险费。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13.1.3发包人应依照有关法律规定参加工伤保险和人身意外伤害险，为其现场机构雇佣的全部人员，缴纳工伤保险费和人身意外伤害险费，并要求其监理人也进行此类保险。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63" w:name="_Toc246997064"/>
      <w:bookmarkStart w:id="264" w:name="_Toc246996321"/>
      <w:bookmarkStart w:id="265" w:name="_Toc247085836"/>
      <w:r>
        <w:rPr>
          <w:rFonts w:hint="eastAsia" w:ascii="宋体" w:hAnsi="宋体" w:eastAsia="宋体" w:cs="宋体"/>
          <w:sz w:val="24"/>
          <w:szCs w:val="24"/>
        </w:rPr>
        <w:t xml:space="preserve"> </w:t>
      </w:r>
      <w:bookmarkStart w:id="266" w:name="_Toc296602567"/>
      <w:bookmarkStart w:id="267" w:name="_Toc450569923"/>
      <w:r>
        <w:rPr>
          <w:rFonts w:hint="eastAsia" w:ascii="宋体" w:hAnsi="宋体" w:eastAsia="宋体" w:cs="宋体"/>
          <w:sz w:val="24"/>
          <w:szCs w:val="24"/>
        </w:rPr>
        <w:t>13.2 未办理保险</w:t>
      </w:r>
      <w:bookmarkEnd w:id="263"/>
      <w:bookmarkEnd w:id="264"/>
      <w:bookmarkEnd w:id="265"/>
      <w:bookmarkEnd w:id="266"/>
      <w:bookmarkEnd w:id="26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268" w:name="_Toc184635118"/>
      <w:r>
        <w:rPr>
          <w:rFonts w:hint="eastAsia" w:ascii="宋体" w:hAnsi="宋体" w:eastAsia="宋体" w:cs="宋体"/>
          <w:sz w:val="24"/>
          <w:szCs w:val="24"/>
        </w:rPr>
        <w:t>13.2.1由于负有投保义务的一方当事人未按合同约定办理保险，或未能使保险持续有效的，另一方当事人可代为办理，所需费用由对方当事人承担。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13.2.2由于负有投保义务的一方当事人未按合同约定办理某项保险，导致受益人未能得到保险人的赔偿，原应从该项保险得到的保险金应由负有投保义务的一方当事人支付。</w:t>
      </w:r>
    </w:p>
    <w:bookmarkEnd w:id="268"/>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9" w:name="_Toc247514180"/>
      <w:bookmarkStart w:id="270" w:name="_Toc271821895"/>
      <w:bookmarkStart w:id="271" w:name="_Toc296602568"/>
      <w:bookmarkStart w:id="272" w:name="_Toc247527781"/>
      <w:bookmarkStart w:id="273" w:name="_Toc246997065"/>
      <w:bookmarkStart w:id="274" w:name="_Toc247085837"/>
      <w:bookmarkStart w:id="275" w:name="_Toc246996322"/>
      <w:bookmarkStart w:id="276" w:name="_Toc184635119"/>
      <w:r>
        <w:rPr>
          <w:rFonts w:hint="eastAsia" w:ascii="宋体" w:hAnsi="宋体" w:eastAsia="宋体" w:cs="宋体"/>
          <w:b/>
          <w:sz w:val="24"/>
          <w:szCs w:val="24"/>
        </w:rPr>
        <w:t>14. 不可抗力</w:t>
      </w:r>
      <w:bookmarkEnd w:id="269"/>
      <w:bookmarkEnd w:id="270"/>
      <w:bookmarkEnd w:id="271"/>
      <w:bookmarkEnd w:id="272"/>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77" w:name="_Toc247527782"/>
      <w:bookmarkStart w:id="278" w:name="_Toc271821896"/>
      <w:bookmarkStart w:id="279" w:name="_Toc450569924"/>
      <w:bookmarkStart w:id="280" w:name="_Toc296602569"/>
      <w:bookmarkStart w:id="281" w:name="_Toc247514181"/>
      <w:r>
        <w:rPr>
          <w:rFonts w:hint="eastAsia" w:ascii="宋体" w:hAnsi="宋体" w:eastAsia="宋体" w:cs="宋体"/>
          <w:sz w:val="24"/>
          <w:szCs w:val="24"/>
        </w:rPr>
        <w:t>14.1 不可抗力的确认</w:t>
      </w:r>
      <w:bookmarkEnd w:id="277"/>
      <w:bookmarkEnd w:id="278"/>
      <w:bookmarkEnd w:id="279"/>
      <w:bookmarkEnd w:id="280"/>
      <w:bookmarkEnd w:id="2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82" w:name="_Toc271821897"/>
      <w:bookmarkStart w:id="283" w:name="_Toc247514182"/>
      <w:bookmarkStart w:id="284" w:name="_Toc247527783"/>
      <w:bookmarkStart w:id="285" w:name="_Toc296602570"/>
      <w:bookmarkStart w:id="286" w:name="_Toc450569925"/>
      <w:r>
        <w:rPr>
          <w:rFonts w:hint="eastAsia" w:ascii="宋体" w:hAnsi="宋体" w:eastAsia="宋体" w:cs="宋体"/>
          <w:sz w:val="24"/>
          <w:szCs w:val="24"/>
        </w:rPr>
        <w:t>14.2 不可抗力的通知</w:t>
      </w:r>
      <w:bookmarkEnd w:id="282"/>
      <w:bookmarkEnd w:id="283"/>
      <w:bookmarkEnd w:id="284"/>
      <w:bookmarkEnd w:id="285"/>
      <w:bookmarkEnd w:id="28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87" w:name="_Toc271821898"/>
      <w:bookmarkStart w:id="288" w:name="_Toc450569926"/>
      <w:bookmarkStart w:id="289" w:name="_Toc247527784"/>
      <w:bookmarkStart w:id="290" w:name="_Toc247514183"/>
      <w:bookmarkStart w:id="291" w:name="_Toc296602571"/>
      <w:r>
        <w:rPr>
          <w:rFonts w:hint="eastAsia" w:ascii="宋体" w:hAnsi="宋体" w:eastAsia="宋体" w:cs="宋体"/>
          <w:sz w:val="24"/>
          <w:szCs w:val="24"/>
        </w:rPr>
        <w:t>14.3 不可抗力后果及其处理</w:t>
      </w:r>
      <w:bookmarkEnd w:id="287"/>
      <w:bookmarkEnd w:id="288"/>
      <w:bookmarkEnd w:id="289"/>
      <w:bookmarkEnd w:id="290"/>
      <w:bookmarkEnd w:id="29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2" w:name="_Toc296602572"/>
      <w:r>
        <w:rPr>
          <w:rFonts w:hint="eastAsia" w:ascii="宋体" w:hAnsi="宋体" w:eastAsia="宋体" w:cs="宋体"/>
          <w:b/>
          <w:sz w:val="24"/>
          <w:szCs w:val="24"/>
        </w:rPr>
        <w:t>15. 违约</w:t>
      </w:r>
      <w:bookmarkEnd w:id="273"/>
      <w:bookmarkEnd w:id="274"/>
      <w:bookmarkEnd w:id="275"/>
      <w:bookmarkEnd w:id="276"/>
      <w:bookmarkEnd w:id="292"/>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93" w:name="_Toc296602573"/>
      <w:bookmarkStart w:id="294" w:name="_Toc450569927"/>
      <w:bookmarkStart w:id="295" w:name="_Toc247085838"/>
      <w:bookmarkStart w:id="296" w:name="_Toc246996323"/>
      <w:bookmarkStart w:id="297" w:name="_Toc246997066"/>
      <w:r>
        <w:rPr>
          <w:rFonts w:hint="eastAsia" w:ascii="宋体" w:hAnsi="宋体" w:eastAsia="宋体" w:cs="宋体"/>
          <w:sz w:val="24"/>
          <w:szCs w:val="24"/>
        </w:rPr>
        <w:t>15.1 承包人违约</w:t>
      </w:r>
      <w:bookmarkEnd w:id="293"/>
      <w:bookmarkEnd w:id="294"/>
      <w:bookmarkEnd w:id="295"/>
      <w:bookmarkEnd w:id="296"/>
      <w:bookmarkEnd w:id="2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15.1.1 如果承包人拒绝或未能遵守监理人的指示，或未能按合同进度计划及时完成合同约定的工作，已造成或预期造成工期延误，或违反合同不顾书面警告，监理人可发出通知，告知承包人违约。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98" w:name="_Toc247085839"/>
      <w:bookmarkStart w:id="299" w:name="_Toc450569928"/>
      <w:bookmarkStart w:id="300" w:name="_Toc246996324"/>
      <w:bookmarkStart w:id="301" w:name="_Toc296602574"/>
      <w:bookmarkStart w:id="302" w:name="_Toc246997067"/>
      <w:r>
        <w:rPr>
          <w:rFonts w:hint="eastAsia" w:ascii="宋体" w:hAnsi="宋体" w:eastAsia="宋体" w:cs="宋体"/>
          <w:sz w:val="24"/>
          <w:szCs w:val="24"/>
        </w:rPr>
        <w:t>15.2 发包人违约</w:t>
      </w:r>
      <w:bookmarkEnd w:id="298"/>
      <w:bookmarkEnd w:id="299"/>
      <w:bookmarkEnd w:id="300"/>
      <w:bookmarkEnd w:id="301"/>
      <w:bookmarkEnd w:id="3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15.2.1 如果发包人未能按合同付款，或违反合同不顾书面警告，承包人可发出通知，告知发包人违约。如果发包人在收到该通知后14天内未纠正违约，承包人可暂停工作或放慢工作进度。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3" w:name="_Toc296602575"/>
      <w:bookmarkStart w:id="304" w:name="_Toc246996326"/>
      <w:bookmarkStart w:id="305" w:name="_Toc247085841"/>
      <w:bookmarkStart w:id="306" w:name="_Toc246997069"/>
      <w:bookmarkStart w:id="307" w:name="_Toc184635120"/>
      <w:r>
        <w:rPr>
          <w:rFonts w:hint="eastAsia" w:ascii="宋体" w:hAnsi="宋体" w:eastAsia="宋体" w:cs="宋体"/>
          <w:b/>
          <w:sz w:val="24"/>
          <w:szCs w:val="24"/>
        </w:rPr>
        <w:t>16. 索赔</w:t>
      </w:r>
      <w:bookmarkEnd w:id="303"/>
      <w:bookmarkEnd w:id="304"/>
      <w:bookmarkEnd w:id="305"/>
      <w:bookmarkEnd w:id="306"/>
      <w:bookmarkEnd w:id="307"/>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08" w:name="_Toc296602576"/>
      <w:bookmarkStart w:id="309" w:name="_Toc247085842"/>
      <w:bookmarkStart w:id="310" w:name="_Toc450569929"/>
      <w:bookmarkStart w:id="311" w:name="_Toc246997070"/>
      <w:bookmarkStart w:id="312" w:name="_Toc246996327"/>
      <w:r>
        <w:rPr>
          <w:rFonts w:hint="eastAsia" w:ascii="宋体" w:hAnsi="宋体" w:eastAsia="宋体" w:cs="宋体"/>
          <w:sz w:val="24"/>
          <w:szCs w:val="24"/>
        </w:rPr>
        <w:t>16.1 承包人索赔的提出</w:t>
      </w:r>
      <w:bookmarkEnd w:id="308"/>
      <w:bookmarkEnd w:id="309"/>
      <w:bookmarkEnd w:id="310"/>
      <w:bookmarkEnd w:id="311"/>
      <w:bookmarkEnd w:id="31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（l）承包人应在知道或应当知道索赔事件发生后14天内，向监理人递交索赔通知书。索赔通知书应详细说明索赔理由以及要求追加的付款金额和（或）延长的工期，并附必要的记录和证明材料；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（2）索赔事件具有连续影响的，承包人应在索赔事件影响结束后的14天内，向监理人递交最终索赔通知书，说明最终要求索赔的追加付款金额和延长的工期，并附必要的记录和证明材料；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（3）承包人未在前述14天内递交索赔通知书的，丧失要求追加付款和（或）延长工期的权利。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13" w:name="_Toc246996328"/>
      <w:bookmarkStart w:id="314" w:name="_Toc296602577"/>
      <w:bookmarkStart w:id="315" w:name="_Toc247085843"/>
      <w:bookmarkStart w:id="316" w:name="_Toc246997071"/>
      <w:bookmarkStart w:id="317" w:name="_Toc450569930"/>
      <w:r>
        <w:rPr>
          <w:rFonts w:hint="eastAsia" w:ascii="宋体" w:hAnsi="宋体" w:eastAsia="宋体" w:cs="宋体"/>
          <w:sz w:val="24"/>
          <w:szCs w:val="24"/>
        </w:rPr>
        <w:t>16.2 承包人索赔处理程序</w:t>
      </w:r>
      <w:bookmarkEnd w:id="313"/>
      <w:bookmarkEnd w:id="314"/>
      <w:bookmarkEnd w:id="315"/>
      <w:bookmarkEnd w:id="316"/>
      <w:bookmarkEnd w:id="31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（1）监理人收到承包人提交的索赔通知书后，应按第3.5 款商定或确定追加的付款和（或）延长的工期，并在收到上述索赔通知书或有关索赔的进一步证明材料后的14天内，将索赔处理结果答复承包人。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（2）承包人接受索赔处理结果的，发包人应在作出索赔处理结果答复后14天内完成赔付。承包人不接受索赔处理结果的，按第17条的约定执行。</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18" w:name="_Toc450569931"/>
      <w:bookmarkStart w:id="319" w:name="_Toc246997072"/>
      <w:bookmarkStart w:id="320" w:name="_Toc246996329"/>
      <w:bookmarkStart w:id="321" w:name="_Toc296602578"/>
      <w:bookmarkStart w:id="322" w:name="_Toc247085844"/>
      <w:r>
        <w:rPr>
          <w:rFonts w:hint="eastAsia" w:ascii="宋体" w:hAnsi="宋体" w:eastAsia="宋体" w:cs="宋体"/>
          <w:sz w:val="24"/>
          <w:szCs w:val="24"/>
        </w:rPr>
        <w:t>16.3 承包人提出索赔的期限</w:t>
      </w:r>
      <w:bookmarkEnd w:id="318"/>
      <w:bookmarkEnd w:id="319"/>
      <w:bookmarkEnd w:id="320"/>
      <w:bookmarkEnd w:id="321"/>
      <w:bookmarkEnd w:id="3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承包人按第10.5 款的约定接受了竣工付款证书后，应被认为已无权再提出在合同工程接收证书颁发前所发生的任何索赔。</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23" w:name="_Toc450569932"/>
      <w:bookmarkStart w:id="324" w:name="_Toc296602579"/>
      <w:r>
        <w:rPr>
          <w:rFonts w:hint="eastAsia" w:ascii="宋体" w:hAnsi="宋体" w:eastAsia="宋体" w:cs="宋体"/>
          <w:sz w:val="24"/>
          <w:szCs w:val="24"/>
        </w:rPr>
        <w:t>16.4 发包人索赔的提出</w:t>
      </w:r>
      <w:bookmarkEnd w:id="323"/>
      <w:bookmarkEnd w:id="3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根据合同约定，发包人认为有权得到追加付款和（或）延长工期的，应按以下程序向承包人提出索赔：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（l）监理人应在知道或应当知道索赔事件发生后14天内，向承包人递交索赔通知书。索赔通知书应详细说明索赔理由以及要求追加的付款金额和（或）延长的工期，并附必要的记录和证明材料；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（2）索赔事件具有连续影响的，监理人应在索赔事件影响结束后的14天内，向承包人递交最终索赔通知书，说明最终要求索赔的追加付款金额和延长的工期，并附必要的记录和证明材料。</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25" w:name="_Toc450569933"/>
      <w:bookmarkStart w:id="326" w:name="_Toc296602580"/>
      <w:r>
        <w:rPr>
          <w:rFonts w:hint="eastAsia" w:ascii="宋体" w:hAnsi="宋体" w:eastAsia="宋体" w:cs="宋体"/>
          <w:sz w:val="24"/>
          <w:szCs w:val="24"/>
        </w:rPr>
        <w:t>16.5 发包人索赔处理程序</w:t>
      </w:r>
      <w:bookmarkEnd w:id="325"/>
      <w:bookmarkEnd w:id="32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（1）承包人收到监理人提交的索赔通知书后，应按第3.5 款商定或确定追加的付款和（或）延长的工期，并在收到上述索赔通知书或有关索赔的进一步证明材料后的14天内，将索赔处理结果答复监理人。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（2）监理人接受索赔处理结果的，承包人应在作出索赔处理结果答复后14天内完成赔付。监理人不接受索赔处理结果的，按第17条的约定执行。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7" w:name="_Toc296602581"/>
      <w:bookmarkStart w:id="328" w:name="_Toc247085846"/>
      <w:bookmarkStart w:id="329" w:name="_Toc246996331"/>
      <w:bookmarkStart w:id="330" w:name="_Toc184635121"/>
      <w:bookmarkStart w:id="331" w:name="_Toc246997074"/>
      <w:r>
        <w:rPr>
          <w:rFonts w:hint="eastAsia" w:ascii="宋体" w:hAnsi="宋体" w:eastAsia="宋体" w:cs="宋体"/>
          <w:b/>
          <w:sz w:val="24"/>
          <w:szCs w:val="24"/>
        </w:rPr>
        <w:t>17. 争议的解决</w:t>
      </w:r>
      <w:bookmarkEnd w:id="327"/>
      <w:bookmarkEnd w:id="328"/>
      <w:bookmarkEnd w:id="329"/>
      <w:bookmarkEnd w:id="330"/>
      <w:bookmarkEnd w:id="331"/>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32" w:name="_Toc296602582"/>
      <w:bookmarkStart w:id="333" w:name="_Toc247085847"/>
      <w:bookmarkStart w:id="334" w:name="_Toc246997075"/>
      <w:bookmarkStart w:id="335" w:name="_Toc450569934"/>
      <w:bookmarkStart w:id="336" w:name="_Toc246996332"/>
      <w:r>
        <w:rPr>
          <w:rFonts w:hint="eastAsia" w:ascii="宋体" w:hAnsi="宋体" w:eastAsia="宋体" w:cs="宋体"/>
          <w:sz w:val="24"/>
          <w:szCs w:val="24"/>
        </w:rPr>
        <w:t>17.1 争议的解决方式</w:t>
      </w:r>
      <w:bookmarkEnd w:id="332"/>
      <w:bookmarkEnd w:id="333"/>
      <w:bookmarkEnd w:id="334"/>
      <w:bookmarkEnd w:id="335"/>
      <w:bookmarkEnd w:id="3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37" w:name="_Toc246996333"/>
      <w:bookmarkStart w:id="338" w:name="_Toc450569935"/>
      <w:bookmarkStart w:id="339" w:name="_Toc247085848"/>
      <w:bookmarkStart w:id="340" w:name="_Toc296602583"/>
      <w:bookmarkStart w:id="341" w:name="_Toc246997076"/>
      <w:r>
        <w:rPr>
          <w:rFonts w:hint="eastAsia" w:ascii="宋体" w:hAnsi="宋体" w:eastAsia="宋体" w:cs="宋体"/>
          <w:sz w:val="24"/>
          <w:szCs w:val="24"/>
        </w:rPr>
        <w:t>17.2 友好解决</w:t>
      </w:r>
      <w:bookmarkEnd w:id="337"/>
      <w:bookmarkEnd w:id="338"/>
      <w:bookmarkEnd w:id="339"/>
      <w:bookmarkEnd w:id="340"/>
      <w:bookmarkEnd w:id="34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42" w:name="_Toc296602584"/>
      <w:bookmarkStart w:id="343" w:name="_Toc246996334"/>
      <w:bookmarkStart w:id="344" w:name="_Toc450569936"/>
      <w:bookmarkStart w:id="345" w:name="_Toc247085849"/>
      <w:bookmarkStart w:id="346" w:name="_Toc246997077"/>
      <w:r>
        <w:rPr>
          <w:rFonts w:hint="eastAsia" w:ascii="宋体" w:hAnsi="宋体" w:eastAsia="宋体" w:cs="宋体"/>
          <w:sz w:val="24"/>
          <w:szCs w:val="24"/>
        </w:rPr>
        <w:t>17.3 争议评审</w:t>
      </w:r>
      <w:bookmarkEnd w:id="342"/>
      <w:bookmarkEnd w:id="343"/>
      <w:bookmarkEnd w:id="344"/>
      <w:bookmarkEnd w:id="345"/>
      <w:bookmarkEnd w:id="3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17.3.1 采用争议评审的，发包人和承包人应当在专用合同条款中约定争议评审的程序和规则，并在开工日后的28天内或在争议发生后，协商成立争议评审组。</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17.3.2 发包人和承包人接受评审意见的，由监理人根据评审意见拟定执行协议，经争议双方签字后作为合同的补充文件，并遵照执行。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7"/>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7"/>
        <w:snapToGrid w:val="0"/>
        <w:spacing w:line="360" w:lineRule="auto"/>
        <w:ind w:firstLine="883" w:firstLineChars="275"/>
        <w:jc w:val="center"/>
        <w:rPr>
          <w:b/>
          <w:bCs/>
          <w:sz w:val="32"/>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  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w:t>
      </w:r>
      <w:r>
        <w:rPr>
          <w:rFonts w:hint="eastAsia" w:asciiTheme="minorEastAsia" w:hAnsi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  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招标编号：__________</w:t>
      </w:r>
      <w:r>
        <w:rPr>
          <w:rFonts w:hint="eastAsia" w:asciiTheme="minorEastAsia" w:hAnsiTheme="minorEastAsia" w:cstheme="minorEastAsia"/>
          <w:color w:val="000000"/>
          <w:sz w:val="24"/>
          <w:szCs w:val="24"/>
          <w:u w:val="single"/>
        </w:rPr>
        <w:t xml:space="preserve">            </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22"/>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r>
        <w:rPr>
          <w:rFonts w:hint="eastAsia" w:asciiTheme="minorEastAsia" w:hAnsiTheme="minorEastAsia" w:cstheme="minorEastAsia"/>
          <w:color w:val="000000"/>
          <w:sz w:val="28"/>
          <w:szCs w:val="28"/>
        </w:rPr>
        <w:t xml:space="preserve">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autoSpaceDE w:val="0"/>
        <w:autoSpaceDN w:val="0"/>
        <w:adjustRightInd w:val="0"/>
        <w:spacing w:line="360" w:lineRule="auto"/>
        <w:rPr>
          <w:rFonts w:ascii="黑体"/>
          <w:sz w:val="36"/>
          <w:szCs w:val="36"/>
        </w:rPr>
      </w:pPr>
    </w:p>
    <w:p>
      <w:pPr>
        <w:pStyle w:val="4"/>
        <w:jc w:val="center"/>
        <w:rPr>
          <w:rFonts w:ascii="黑体"/>
          <w:sz w:val="36"/>
          <w:szCs w:val="36"/>
        </w:rPr>
      </w:pPr>
      <w:r>
        <w:rPr>
          <w:rFonts w:hint="eastAsia" w:ascii="黑体"/>
          <w:sz w:val="36"/>
          <w:szCs w:val="36"/>
          <w:lang w:eastAsia="zh-CN"/>
        </w:rPr>
        <w:t>三</w:t>
      </w:r>
      <w:r>
        <w:rPr>
          <w:rFonts w:hint="eastAsia" w:ascii="黑体"/>
          <w:sz w:val="36"/>
          <w:szCs w:val="36"/>
          <w:lang w:val="en-US" w:eastAsia="zh-CN"/>
        </w:rPr>
        <w:t xml:space="preserve">  </w:t>
      </w:r>
      <w:r>
        <w:rPr>
          <w:rFonts w:hint="eastAsia" w:ascii="黑体"/>
          <w:sz w:val="36"/>
          <w:szCs w:val="36"/>
        </w:rPr>
        <w:t>工程量清单报价表</w:t>
      </w:r>
    </w:p>
    <w:p>
      <w:pPr>
        <w:spacing w:line="400" w:lineRule="exact"/>
        <w:ind w:firstLine="424" w:firstLineChars="177"/>
        <w:rPr>
          <w:rFonts w:hint="eastAsia" w:ascii="宋体" w:hAnsi="Arial" w:cs="宋体"/>
          <w:color w:val="000000"/>
          <w:sz w:val="24"/>
          <w:lang w:val="zh-CN"/>
        </w:rPr>
      </w:pPr>
      <w:r>
        <w:rPr>
          <w:rFonts w:hint="eastAsia" w:ascii="宋体" w:hAnsi="Arial" w:cs="宋体"/>
          <w:color w:val="000000"/>
          <w:sz w:val="24"/>
        </w:rPr>
        <w:t>具体格式与内容由谈判供应商根据工程量清单自行编制。</w:t>
      </w:r>
    </w:p>
    <w:p>
      <w:pPr>
        <w:spacing w:line="360" w:lineRule="auto"/>
        <w:jc w:val="center"/>
        <w:rPr>
          <w:rFonts w:hint="eastAsia" w:ascii="宋体" w:hAnsi="宋体"/>
          <w:b/>
          <w:sz w:val="32"/>
        </w:rPr>
      </w:pPr>
    </w:p>
    <w:p>
      <w:pPr>
        <w:spacing w:line="360" w:lineRule="auto"/>
        <w:ind w:left="69"/>
        <w:jc w:val="center"/>
        <w:rPr>
          <w:rFonts w:ascii="宋体" w:hAnsi="宋体"/>
          <w:sz w:val="27"/>
          <w:szCs w:val="27"/>
        </w:rPr>
      </w:pPr>
    </w:p>
    <w:p>
      <w:pPr>
        <w:spacing w:line="360" w:lineRule="auto"/>
        <w:rPr>
          <w:rFonts w:hint="eastAsia" w:ascii="宋体" w:hAnsi="宋体"/>
          <w:b/>
          <w:sz w:val="32"/>
        </w:rPr>
      </w:pPr>
      <w:r>
        <w:rPr>
          <w:rFonts w:hint="eastAsia" w:ascii="宋体" w:hAnsi="宋体"/>
          <w:b/>
          <w:sz w:val="24"/>
        </w:rPr>
        <w:t>（包括</w:t>
      </w:r>
      <w:r>
        <w:rPr>
          <w:rFonts w:hint="eastAsia" w:ascii="宋体" w:hAnsi="宋体"/>
          <w:b/>
          <w:color w:val="000000"/>
          <w:sz w:val="24"/>
        </w:rPr>
        <w:t>报价说明、总报价、造价汇总表、分部分项工程量清单计价表、措施项目清单计价表、其他项目清单计价表、零星工作项目计价表、分部分项工程量清单综合单价分析表、措施项目费分析表、材料价格表等及报价需要的其他材料；工程量清单报价书必须加盖工程造价专业人员业务水平等级资格章或注册造价师资格章；</w:t>
      </w:r>
      <w:r>
        <w:rPr>
          <w:rFonts w:hint="eastAsia" w:ascii="宋体" w:hAnsi="宋体"/>
          <w:b/>
          <w:sz w:val="24"/>
        </w:rPr>
        <w:t>）</w:t>
      </w: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宋体" w:hAnsi="宋体" w:eastAsia="宋体" w:cs="宋体"/>
          <w:b/>
          <w:bCs/>
          <w:color w:val="000000"/>
          <w:sz w:val="36"/>
          <w:szCs w:val="36"/>
          <w:lang w:val="zh-CN"/>
        </w:rPr>
      </w:pPr>
      <w:r>
        <w:rPr>
          <w:rFonts w:hint="eastAsia" w:ascii="黑体"/>
          <w:sz w:val="36"/>
          <w:szCs w:val="36"/>
        </w:rPr>
        <w:t xml:space="preserve">四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22"/>
        <w:tblW w:w="8309" w:type="dxa"/>
        <w:tblInd w:w="213" w:type="dxa"/>
        <w:tblLayout w:type="fixed"/>
        <w:tblCellMar>
          <w:top w:w="0" w:type="dxa"/>
          <w:left w:w="108" w:type="dxa"/>
          <w:bottom w:w="0" w:type="dxa"/>
          <w:right w:w="108" w:type="dxa"/>
        </w:tblCellMar>
      </w:tblPr>
      <w:tblGrid>
        <w:gridCol w:w="699"/>
        <w:gridCol w:w="1420"/>
        <w:gridCol w:w="1420"/>
        <w:gridCol w:w="1890"/>
        <w:gridCol w:w="1440"/>
        <w:gridCol w:w="1440"/>
      </w:tblGrid>
      <w:tr>
        <w:tblPrEx>
          <w:tblLayout w:type="fixed"/>
          <w:tblCellMar>
            <w:top w:w="0" w:type="dxa"/>
            <w:left w:w="108" w:type="dxa"/>
            <w:bottom w:w="0" w:type="dxa"/>
            <w:right w:w="108" w:type="dxa"/>
          </w:tblCellMar>
        </w:tblPrEx>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品牌和型号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Layout w:type="fixed"/>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Style w:val="4"/>
        <w:numPr>
          <w:ilvl w:val="1"/>
          <w:numId w:val="0"/>
        </w:numPr>
        <w:jc w:val="center"/>
        <w:rPr>
          <w:rFonts w:ascii="宋体" w:hAnsi="宋体" w:eastAsia="宋体" w:cs="宋体"/>
          <w:b w:val="0"/>
          <w:bCs w:val="0"/>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pStyle w:val="2"/>
        <w:spacing w:line="360" w:lineRule="auto"/>
        <w:jc w:val="center"/>
        <w:rPr>
          <w:rFonts w:hAnsi="宋体"/>
          <w:b/>
          <w:color w:val="000000"/>
          <w:sz w:val="36"/>
          <w:szCs w:val="36"/>
        </w:rPr>
      </w:pPr>
      <w:r>
        <w:rPr>
          <w:rFonts w:hint="eastAsia" w:hAnsi="宋体"/>
          <w:b/>
          <w:color w:val="000000"/>
          <w:sz w:val="36"/>
          <w:szCs w:val="36"/>
        </w:rPr>
        <w:t>五  商务条款偏离表</w:t>
      </w:r>
    </w:p>
    <w:p>
      <w:pPr>
        <w:pStyle w:val="2"/>
        <w:spacing w:line="360" w:lineRule="auto"/>
        <w:rPr>
          <w:rFonts w:hAnsi="宋体"/>
          <w:color w:val="000000"/>
          <w:sz w:val="28"/>
          <w:szCs w:val="28"/>
        </w:rPr>
      </w:pPr>
      <w:r>
        <w:rPr>
          <w:rFonts w:hint="eastAsia" w:hAnsi="宋体"/>
          <w:color w:val="000000"/>
          <w:sz w:val="28"/>
          <w:szCs w:val="28"/>
        </w:rPr>
        <w:t xml:space="preserve">投标人名称：           </w:t>
      </w:r>
    </w:p>
    <w:p>
      <w:pPr>
        <w:pStyle w:val="2"/>
        <w:spacing w:line="360" w:lineRule="auto"/>
        <w:rPr>
          <w:rFonts w:hAnsi="宋体"/>
          <w:color w:val="000000"/>
          <w:sz w:val="28"/>
          <w:szCs w:val="28"/>
        </w:rPr>
      </w:pPr>
      <w:r>
        <w:rPr>
          <w:rFonts w:hint="eastAsia" w:hAnsi="宋体"/>
          <w:color w:val="000000"/>
          <w:sz w:val="28"/>
          <w:szCs w:val="28"/>
        </w:rPr>
        <w:t>招标编号：</w:t>
      </w:r>
    </w:p>
    <w:tbl>
      <w:tblPr>
        <w:tblStyle w:val="22"/>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 xml:space="preserve">               投标单位（盖章）</w:t>
      </w:r>
    </w:p>
    <w:p>
      <w:pPr>
        <w:spacing w:line="360" w:lineRule="auto"/>
        <w:rPr>
          <w:rFonts w:ascii="宋体" w:hAnsi="宋体"/>
          <w:sz w:val="24"/>
        </w:rPr>
      </w:pPr>
    </w:p>
    <w:p>
      <w:pPr>
        <w:spacing w:line="360" w:lineRule="auto"/>
        <w:jc w:val="both"/>
        <w:rPr>
          <w:rFonts w:asciiTheme="minorEastAsia" w:hAnsiTheme="minorEastAsia" w:cstheme="minorEastAsia"/>
          <w:b/>
          <w:bCs/>
          <w:sz w:val="36"/>
          <w:szCs w:val="36"/>
        </w:rPr>
      </w:pPr>
      <w:r>
        <w:rPr>
          <w:rFonts w:asciiTheme="minorEastAsia" w:hAnsiTheme="minorEastAsia" w:cstheme="minorEastAsia"/>
          <w:b/>
          <w:bCs/>
          <w:sz w:val="36"/>
          <w:szCs w:val="36"/>
        </w:rPr>
        <w:br w:type="page"/>
      </w: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cstheme="minorEastAsia"/>
          <w:b/>
          <w:bCs/>
          <w:sz w:val="36"/>
          <w:szCs w:val="36"/>
        </w:rPr>
        <w:t xml:space="preserve">  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铜仁市公共资源交易中心 </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项目（项目编号</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性别：</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身份证号：</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部门：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职务：</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b/>
          <w:bCs/>
          <w:sz w:val="24"/>
          <w:szCs w:val="24"/>
        </w:rPr>
        <w:t xml:space="preserve"> </w:t>
      </w:r>
      <w:r>
        <w:rPr>
          <w:rFonts w:hint="eastAsia" w:asciiTheme="minorEastAsia" w:hAnsiTheme="minorEastAsia" w:cstheme="minorEastAsia"/>
          <w:sz w:val="24"/>
          <w:szCs w:val="24"/>
        </w:rPr>
        <w:t>邮政编码:</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电话：</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r>
        <w:rPr>
          <w:rFonts w:hint="eastAsia" w:asciiTheme="minorEastAsia" w:hAnsiTheme="minorEastAsia" w:cstheme="minorEastAsia"/>
          <w:sz w:val="24"/>
          <w:szCs w:val="24"/>
          <w:u w:val="single"/>
        </w:rPr>
        <w:t xml:space="preserve">                    </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r>
        <w:rPr>
          <w:rFonts w:hint="eastAsia" w:asciiTheme="minorEastAsia" w:hAnsiTheme="minorEastAsia" w:cstheme="minorEastAsia"/>
          <w:b/>
          <w:sz w:val="28"/>
          <w:szCs w:val="28"/>
        </w:rPr>
        <w:t xml:space="preserve">    </w:t>
      </w:r>
    </w:p>
    <w:p>
      <w:pPr>
        <w:ind w:firstLine="2512" w:firstLineChars="695"/>
        <w:rPr>
          <w:rFonts w:asciiTheme="minorEastAsia" w:hAnsiTheme="minorEastAsia" w:cstheme="minorEastAsia"/>
          <w:b/>
          <w:sz w:val="36"/>
          <w:szCs w:val="36"/>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2"/>
        <w:spacing w:line="360" w:lineRule="auto"/>
        <w:ind w:firstLine="840" w:firstLineChars="300"/>
        <w:rPr>
          <w:rFonts w:asciiTheme="minorEastAsia" w:hAnsiTheme="minorEastAsia" w:cstheme="minorEastAsia"/>
          <w:color w:val="000000"/>
          <w:sz w:val="28"/>
          <w:szCs w:val="28"/>
        </w:rPr>
      </w:pPr>
    </w:p>
    <w:p>
      <w:pPr>
        <w:pStyle w:val="53"/>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53"/>
        <w:numPr>
          <w:ilvl w:val="0"/>
          <w:numId w:val="5"/>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r>
        <w:rPr>
          <w:rFonts w:hint="eastAsia" w:asciiTheme="minorEastAsia" w:hAnsiTheme="minorEastAsia" w:cstheme="minorEastAsia"/>
          <w:sz w:val="24"/>
          <w:szCs w:val="24"/>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r>
        <w:rPr>
          <w:rFonts w:hint="eastAsia" w:asciiTheme="minorEastAsia" w:hAnsiTheme="minorEastAsia" w:cstheme="minorEastAsia"/>
          <w:sz w:val="24"/>
          <w:szCs w:val="24"/>
          <w:lang w:eastAsia="zh-CN"/>
        </w:rPr>
        <w:t>；</w:t>
      </w:r>
    </w:p>
    <w:p>
      <w:pPr>
        <w:snapToGrid w:val="0"/>
        <w:spacing w:line="360" w:lineRule="auto"/>
        <w:ind w:left="644"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r>
        <w:rPr>
          <w:rFonts w:hint="eastAsia" w:asciiTheme="minorEastAsia" w:hAnsiTheme="minorEastAsia" w:cstheme="minorEastAsia"/>
          <w:sz w:val="24"/>
          <w:szCs w:val="24"/>
          <w:lang w:eastAsia="zh-CN"/>
        </w:rPr>
        <w:t>。</w:t>
      </w:r>
    </w:p>
    <w:p>
      <w:pPr>
        <w:pStyle w:val="53"/>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r>
        <w:rPr>
          <w:rFonts w:hint="eastAsia" w:asciiTheme="minorEastAsia" w:hAnsiTheme="minorEastAsia" w:cstheme="minorEastAsia"/>
          <w:sz w:val="24"/>
          <w:szCs w:val="24"/>
          <w:lang w:eastAsia="zh-CN"/>
        </w:rPr>
        <w:t>；</w:t>
      </w:r>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供应商是法人的，应提供经审计的财务报告或基本开户银行出具的资信证明。新成立未满一年、部分其他组织和自然人，没有经审计的财务报告，可以提供银行出具的资信证明。</w:t>
      </w:r>
      <w:bookmarkStart w:id="347" w:name="_GoBack"/>
      <w:bookmarkEnd w:id="347"/>
    </w:p>
    <w:p>
      <w:pPr>
        <w:snapToGrid w:val="0"/>
        <w:spacing w:line="360" w:lineRule="auto"/>
        <w:ind w:firstLine="48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（三）</w:t>
      </w:r>
      <w:r>
        <w:rPr>
          <w:rFonts w:hint="eastAsia" w:asciiTheme="minorEastAsia" w:hAnsiTheme="minorEastAsia" w:cstheme="minorEastAsia"/>
          <w:sz w:val="24"/>
          <w:szCs w:val="24"/>
        </w:rPr>
        <w:t>具有履行合同所必需的设备和专业技术能力</w:t>
      </w:r>
    </w:p>
    <w:p>
      <w:pPr>
        <w:snapToGrid w:val="0"/>
        <w:spacing w:line="360" w:lineRule="auto"/>
        <w:ind w:firstLine="48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具有履行合同所必需的设备和专业技术能力</w:t>
      </w:r>
      <w:r>
        <w:rPr>
          <w:rFonts w:hint="eastAsia" w:asciiTheme="minorEastAsia" w:hAnsiTheme="minorEastAsia" w:cstheme="minorEastAsia"/>
          <w:sz w:val="24"/>
          <w:szCs w:val="24"/>
          <w:lang w:eastAsia="zh-CN"/>
        </w:rPr>
        <w:t>证明材料</w:t>
      </w:r>
      <w:r>
        <w:rPr>
          <w:rFonts w:hint="eastAsia" w:ascii="宋体" w:hAnsi="宋体"/>
          <w:sz w:val="24"/>
          <w:szCs w:val="24"/>
          <w:lang w:eastAsia="zh-CN"/>
        </w:rPr>
        <w:t>。</w:t>
      </w:r>
    </w:p>
    <w:p>
      <w:pPr>
        <w:pStyle w:val="53"/>
        <w:numPr>
          <w:ilvl w:val="0"/>
          <w:numId w:val="0"/>
        </w:numPr>
        <w:spacing w:line="336" w:lineRule="auto"/>
        <w:ind w:right="84" w:rightChars="40"/>
        <w:rPr>
          <w:rFonts w:hint="eastAsia" w:ascii="宋体" w:hAnsi="宋体"/>
          <w:sz w:val="24"/>
          <w:szCs w:val="24"/>
        </w:rPr>
      </w:pPr>
      <w:r>
        <w:rPr>
          <w:rFonts w:hint="eastAsia" w:ascii="宋体" w:hAnsi="宋体"/>
          <w:sz w:val="24"/>
          <w:szCs w:val="24"/>
          <w:lang w:val="en-US" w:eastAsia="zh-CN"/>
        </w:rPr>
        <w:t xml:space="preserve">    （四）</w:t>
      </w: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pStyle w:val="53"/>
        <w:numPr>
          <w:ilvl w:val="0"/>
          <w:numId w:val="0"/>
        </w:numPr>
        <w:spacing w:line="336" w:lineRule="auto"/>
        <w:ind w:right="84" w:rightChars="40"/>
        <w:rPr>
          <w:rFonts w:hint="eastAsia" w:ascii="宋体" w:hAnsi="宋体"/>
          <w:sz w:val="24"/>
          <w:szCs w:val="24"/>
        </w:rPr>
      </w:pPr>
      <w:r>
        <w:rPr>
          <w:rFonts w:hint="eastAsia" w:ascii="宋体" w:hAnsi="宋体"/>
          <w:sz w:val="24"/>
          <w:szCs w:val="24"/>
          <w:lang w:val="en-US" w:eastAsia="zh-CN"/>
        </w:rPr>
        <w:t xml:space="preserve">    （五）</w:t>
      </w:r>
      <w:r>
        <w:rPr>
          <w:rFonts w:hint="eastAsia" w:ascii="宋体" w:hAnsi="宋体"/>
          <w:sz w:val="24"/>
          <w:szCs w:val="24"/>
        </w:rPr>
        <w:t>参加政府采购活动前三年内，在经营活动中没有重大违法记录</w:t>
      </w:r>
    </w:p>
    <w:p>
      <w:pPr>
        <w:pStyle w:val="53"/>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53"/>
        <w:numPr>
          <w:ilvl w:val="0"/>
          <w:numId w:val="0"/>
        </w:numPr>
        <w:spacing w:line="336" w:lineRule="auto"/>
        <w:ind w:right="84" w:rightChars="40"/>
        <w:rPr>
          <w:rFonts w:hint="eastAsia" w:ascii="宋体" w:hAnsi="宋体"/>
          <w:sz w:val="24"/>
          <w:szCs w:val="24"/>
        </w:rPr>
      </w:pPr>
      <w:r>
        <w:rPr>
          <w:rFonts w:hint="eastAsia" w:ascii="宋体" w:hAnsi="宋体"/>
          <w:sz w:val="24"/>
          <w:szCs w:val="24"/>
          <w:lang w:val="en-US" w:eastAsia="zh-CN"/>
        </w:rPr>
        <w:t xml:space="preserve">    （六）</w:t>
      </w:r>
      <w:r>
        <w:rPr>
          <w:rFonts w:hint="eastAsia" w:ascii="宋体" w:hAnsi="宋体"/>
          <w:sz w:val="24"/>
          <w:szCs w:val="24"/>
        </w:rPr>
        <w:t>法律、行政法规规定的其他条件</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（1）</w:t>
      </w:r>
      <w:r>
        <w:rPr>
          <w:rFonts w:hint="eastAsia" w:asciiTheme="minorEastAsia" w:hAnsiTheme="minorEastAsia" w:cstheme="minorEastAsia"/>
          <w:sz w:val="24"/>
          <w:szCs w:val="24"/>
        </w:rPr>
        <w:t>保证金缴纳凭证；（在电子交易系统中缴纳凭证）</w:t>
      </w:r>
    </w:p>
    <w:p>
      <w:pPr>
        <w:pStyle w:val="2"/>
        <w:rPr>
          <w:rFonts w:hint="eastAsia" w:eastAsiaTheme="minorEastAsia"/>
          <w:lang w:val="en-US" w:eastAsia="zh-CN"/>
        </w:rPr>
      </w:pPr>
      <w:r>
        <w:rPr>
          <w:rFonts w:hint="eastAsia" w:asciiTheme="minorEastAsia" w:hAnsiTheme="minorEastAsia" w:cstheme="minorEastAsia"/>
          <w:sz w:val="24"/>
          <w:szCs w:val="24"/>
          <w:lang w:val="en-US" w:eastAsia="zh-CN"/>
        </w:rPr>
        <w:t xml:space="preserve">     （2）</w:t>
      </w:r>
      <w:r>
        <w:rPr>
          <w:rFonts w:hint="eastAsia"/>
          <w:color w:val="FF0000"/>
          <w:sz w:val="24"/>
          <w:lang w:eastAsia="zh-CN"/>
        </w:rPr>
        <w:t>供应商需具备市政公用工程叁级及以上资质及有效的安全生产许可证</w:t>
      </w:r>
    </w:p>
    <w:p>
      <w:pPr>
        <w:pStyle w:val="53"/>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2"/>
        <w:spacing w:line="360" w:lineRule="auto"/>
        <w:rPr>
          <w:rFonts w:hint="eastAsia" w:ascii="宋体" w:hAnsi="宋体"/>
          <w:b/>
          <w:color w:val="FF0000"/>
          <w:sz w:val="28"/>
          <w:szCs w:val="28"/>
          <w:lang w:eastAsia="zh-CN"/>
        </w:rPr>
      </w:pPr>
    </w:p>
    <w:p>
      <w:pPr>
        <w:pStyle w:val="2"/>
        <w:spacing w:line="360" w:lineRule="auto"/>
        <w:rPr>
          <w:rFonts w:hint="eastAsia" w:ascii="宋体" w:hAnsi="宋体"/>
          <w:b/>
          <w:color w:val="FF0000"/>
          <w:sz w:val="28"/>
          <w:szCs w:val="28"/>
          <w:lang w:eastAsia="zh-CN"/>
        </w:rPr>
      </w:pPr>
    </w:p>
    <w:p>
      <w:pPr>
        <w:pStyle w:val="2"/>
        <w:spacing w:line="360" w:lineRule="auto"/>
        <w:rPr>
          <w:rFonts w:hint="eastAsia" w:ascii="宋体" w:hAnsi="宋体"/>
          <w:b/>
          <w:color w:val="FF0000"/>
          <w:sz w:val="28"/>
          <w:szCs w:val="28"/>
          <w:lang w:eastAsia="zh-CN"/>
        </w:rPr>
      </w:pPr>
    </w:p>
    <w:p>
      <w:pPr>
        <w:pStyle w:val="2"/>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spacing w:line="360" w:lineRule="auto"/>
        <w:rPr>
          <w:rFonts w:asciiTheme="minorEastAsia" w:hAnsiTheme="minorEastAsia" w:cstheme="minorEastAsia"/>
          <w:b/>
          <w:bCs/>
          <w:sz w:val="28"/>
          <w:szCs w:val="28"/>
        </w:rPr>
      </w:pPr>
    </w:p>
    <w:p>
      <w:pPr>
        <w:jc w:val="center"/>
        <w:rPr>
          <w:rFonts w:ascii="宋体" w:hAnsi="宋体"/>
          <w:b/>
          <w:color w:val="000000"/>
          <w:sz w:val="32"/>
          <w:szCs w:val="32"/>
        </w:rPr>
      </w:pPr>
    </w:p>
    <w:p>
      <w:pPr>
        <w:jc w:val="center"/>
        <w:rPr>
          <w:rFonts w:hint="eastAsia" w:ascii="宋体" w:hAnsi="宋体"/>
          <w:b/>
          <w:color w:val="000000"/>
          <w:sz w:val="32"/>
          <w:szCs w:val="32"/>
        </w:rPr>
      </w:pPr>
      <w:r>
        <w:rPr>
          <w:rFonts w:hint="eastAsia" w:ascii="宋体" w:hAnsi="宋体"/>
          <w:b/>
          <w:color w:val="000000"/>
          <w:sz w:val="32"/>
          <w:szCs w:val="32"/>
        </w:rPr>
        <w:br w:type="page"/>
      </w:r>
    </w:p>
    <w:p>
      <w:pPr>
        <w:jc w:val="center"/>
        <w:rPr>
          <w:rFonts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rPr>
        <w:t xml:space="preserve">  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autoSpaceDE w:val="0"/>
        <w:autoSpaceDN w:val="0"/>
        <w:adjustRightInd w:val="0"/>
        <w:ind w:left="482" w:hanging="482" w:hangingChars="200"/>
        <w:rPr>
          <w:rFonts w:asciiTheme="minorEastAsia" w:hAnsiTheme="minorEastAsia" w:cstheme="minorEastAsia"/>
          <w:b/>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             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rPr>
          <w:sz w:val="24"/>
          <w:szCs w:val="24"/>
        </w:rPr>
      </w:pPr>
    </w:p>
    <w:sectPr>
      <w:headerReference r:id="rId5" w:type="default"/>
      <w:footerReference r:id="rId6" w:type="default"/>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CG Times">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lucida Grande">
    <w:altName w:val="宋体"/>
    <w:panose1 w:val="00000000000000000000"/>
    <w:charset w:val="01"/>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 w:name="方正大黑简体">
    <w:altName w:val="黑体"/>
    <w:panose1 w:val="02010601030101010101"/>
    <w:charset w:val="86"/>
    <w:family w:val="auto"/>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Style w:val="18"/>
        <w:rFonts w:hint="eastAsia" w:ascii="宋体" w:hAnsi="宋体"/>
      </w:rPr>
      <w:t>第</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26</w:t>
    </w:r>
    <w:r>
      <w:rPr>
        <w:rFonts w:ascii="宋体" w:hAnsi="宋体"/>
      </w:rPr>
      <w:fldChar w:fldCharType="end"/>
    </w:r>
    <w:r>
      <w:rPr>
        <w:rStyle w:val="18"/>
        <w:rFonts w:hint="eastAsia" w:ascii="宋体" w:hAnsi="宋体"/>
      </w:rPr>
      <w:t>页，共</w:t>
    </w:r>
    <w:r>
      <w:rPr>
        <w:rFonts w:ascii="宋体" w:hAnsi="宋体"/>
      </w:rPr>
      <w:fldChar w:fldCharType="begin"/>
    </w:r>
    <w:r>
      <w:rPr>
        <w:rStyle w:val="18"/>
        <w:rFonts w:ascii="宋体" w:hAnsi="宋体"/>
      </w:rPr>
      <w:instrText xml:space="preserve"> NUMPAGES </w:instrText>
    </w:r>
    <w:r>
      <w:rPr>
        <w:rFonts w:ascii="宋体" w:hAnsi="宋体"/>
      </w:rPr>
      <w:fldChar w:fldCharType="separate"/>
    </w:r>
    <w:r>
      <w:rPr>
        <w:rStyle w:val="18"/>
        <w:rFonts w:ascii="宋体" w:hAnsi="宋体"/>
      </w:rPr>
      <w:t>149</w:t>
    </w:r>
    <w:r>
      <w:rPr>
        <w:rFonts w:ascii="宋体" w:hAnsi="宋体"/>
      </w:rPr>
      <w:fldChar w:fldCharType="end"/>
    </w:r>
    <w:r>
      <w:rPr>
        <w:rStyle w:val="18"/>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Style w:val="18"/>
        <w:rFonts w:hint="eastAsia" w:ascii="宋体" w:hAnsi="宋体"/>
      </w:rPr>
      <w:t>第</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146</w:t>
    </w:r>
    <w:r>
      <w:rPr>
        <w:rFonts w:ascii="宋体" w:hAnsi="宋体"/>
      </w:rPr>
      <w:fldChar w:fldCharType="end"/>
    </w:r>
    <w:r>
      <w:rPr>
        <w:rStyle w:val="18"/>
        <w:rFonts w:hint="eastAsia" w:ascii="宋体" w:hAnsi="宋体"/>
      </w:rPr>
      <w:t>页，共</w:t>
    </w:r>
    <w:r>
      <w:rPr>
        <w:rFonts w:ascii="宋体" w:hAnsi="宋体"/>
      </w:rPr>
      <w:fldChar w:fldCharType="begin"/>
    </w:r>
    <w:r>
      <w:rPr>
        <w:rStyle w:val="18"/>
        <w:rFonts w:ascii="宋体" w:hAnsi="宋体"/>
      </w:rPr>
      <w:instrText xml:space="preserve"> NUMPAGES </w:instrText>
    </w:r>
    <w:r>
      <w:rPr>
        <w:rFonts w:ascii="宋体" w:hAnsi="宋体"/>
      </w:rPr>
      <w:fldChar w:fldCharType="separate"/>
    </w:r>
    <w:r>
      <w:rPr>
        <w:rStyle w:val="18"/>
        <w:rFonts w:ascii="宋体" w:hAnsi="宋体"/>
      </w:rPr>
      <w:t>147</w:t>
    </w:r>
    <w:r>
      <w:rPr>
        <w:rFonts w:ascii="宋体" w:hAnsi="宋体"/>
      </w:rPr>
      <w:fldChar w:fldCharType="end"/>
    </w:r>
    <w:r>
      <w:rPr>
        <w:rStyle w:val="18"/>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59A303B5"/>
    <w:multiLevelType w:val="singleLevel"/>
    <w:tmpl w:val="59A303B5"/>
    <w:lvl w:ilvl="0" w:tentative="0">
      <w:start w:val="1"/>
      <w:numFmt w:val="chineseCounting"/>
      <w:suff w:val="space"/>
      <w:lvlText w:val="第%1章"/>
      <w:lvlJc w:val="left"/>
    </w:lvl>
  </w:abstractNum>
  <w:abstractNum w:abstractNumId="2">
    <w:nsid w:val="5F0E5F17"/>
    <w:multiLevelType w:val="singleLevel"/>
    <w:tmpl w:val="5F0E5F17"/>
    <w:lvl w:ilvl="0" w:tentative="0">
      <w:start w:val="1"/>
      <w:numFmt w:val="chineseCounting"/>
      <w:suff w:val="nothing"/>
      <w:lvlText w:val="（%1）"/>
      <w:lvlJc w:val="left"/>
    </w:lvl>
  </w:abstractNum>
  <w:abstractNum w:abstractNumId="3">
    <w:nsid w:val="754E081E"/>
    <w:multiLevelType w:val="singleLevel"/>
    <w:tmpl w:val="754E081E"/>
    <w:lvl w:ilvl="0" w:tentative="0">
      <w:start w:val="4"/>
      <w:numFmt w:val="chineseCounting"/>
      <w:suff w:val="space"/>
      <w:lvlText w:val="第%1章"/>
      <w:lvlJc w:val="left"/>
      <w:rPr>
        <w:rFonts w:hint="eastAsia"/>
      </w:rPr>
    </w:lvl>
  </w:abstractNum>
  <w:abstractNum w:abstractNumId="4">
    <w:nsid w:val="7EF84DA5"/>
    <w:multiLevelType w:val="singleLevel"/>
    <w:tmpl w:val="7EF84DA5"/>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162E90"/>
    <w:rsid w:val="001C766C"/>
    <w:rsid w:val="00455D45"/>
    <w:rsid w:val="00550979"/>
    <w:rsid w:val="00555BBC"/>
    <w:rsid w:val="00571929"/>
    <w:rsid w:val="00594745"/>
    <w:rsid w:val="005A391A"/>
    <w:rsid w:val="005D46BB"/>
    <w:rsid w:val="006647F4"/>
    <w:rsid w:val="006B4D4C"/>
    <w:rsid w:val="008E1F31"/>
    <w:rsid w:val="009D32F8"/>
    <w:rsid w:val="00B041D4"/>
    <w:rsid w:val="00B84097"/>
    <w:rsid w:val="00BB3CB5"/>
    <w:rsid w:val="00C23CC1"/>
    <w:rsid w:val="00CA7989"/>
    <w:rsid w:val="01192590"/>
    <w:rsid w:val="01411CE7"/>
    <w:rsid w:val="01806959"/>
    <w:rsid w:val="019C57FC"/>
    <w:rsid w:val="01BD2F7F"/>
    <w:rsid w:val="0217083A"/>
    <w:rsid w:val="021F7E78"/>
    <w:rsid w:val="0229591C"/>
    <w:rsid w:val="02671624"/>
    <w:rsid w:val="02F23A59"/>
    <w:rsid w:val="03002EEE"/>
    <w:rsid w:val="03624FF5"/>
    <w:rsid w:val="0365658F"/>
    <w:rsid w:val="038637B1"/>
    <w:rsid w:val="03D371E0"/>
    <w:rsid w:val="04330E82"/>
    <w:rsid w:val="04BA3D68"/>
    <w:rsid w:val="04BA449F"/>
    <w:rsid w:val="04FD1496"/>
    <w:rsid w:val="04FE5BAC"/>
    <w:rsid w:val="0523670E"/>
    <w:rsid w:val="0531268A"/>
    <w:rsid w:val="055408A7"/>
    <w:rsid w:val="05570F6A"/>
    <w:rsid w:val="0589599E"/>
    <w:rsid w:val="05BC33F7"/>
    <w:rsid w:val="05C11B24"/>
    <w:rsid w:val="05E01E40"/>
    <w:rsid w:val="0628286D"/>
    <w:rsid w:val="06B25BB9"/>
    <w:rsid w:val="07004C21"/>
    <w:rsid w:val="073C699B"/>
    <w:rsid w:val="07551CD6"/>
    <w:rsid w:val="076A03CF"/>
    <w:rsid w:val="07DD692D"/>
    <w:rsid w:val="07ED7EC7"/>
    <w:rsid w:val="08174DA3"/>
    <w:rsid w:val="0833692F"/>
    <w:rsid w:val="083B5A9E"/>
    <w:rsid w:val="088D03C0"/>
    <w:rsid w:val="08C8505B"/>
    <w:rsid w:val="08D8270B"/>
    <w:rsid w:val="08EA493B"/>
    <w:rsid w:val="08F135D3"/>
    <w:rsid w:val="092851DC"/>
    <w:rsid w:val="095774AF"/>
    <w:rsid w:val="0A6F7E93"/>
    <w:rsid w:val="0A8D7F72"/>
    <w:rsid w:val="0A91224E"/>
    <w:rsid w:val="0AB009CA"/>
    <w:rsid w:val="0AB30FC8"/>
    <w:rsid w:val="0B264B32"/>
    <w:rsid w:val="0B8D60B9"/>
    <w:rsid w:val="0C120E85"/>
    <w:rsid w:val="0C6A0372"/>
    <w:rsid w:val="0CBC2271"/>
    <w:rsid w:val="0CDE7FEF"/>
    <w:rsid w:val="0D8D7499"/>
    <w:rsid w:val="0DAF518D"/>
    <w:rsid w:val="0DE945E1"/>
    <w:rsid w:val="0DEA209B"/>
    <w:rsid w:val="0DED4EA1"/>
    <w:rsid w:val="0E361B57"/>
    <w:rsid w:val="0E371ACC"/>
    <w:rsid w:val="0E3D0B56"/>
    <w:rsid w:val="0E556948"/>
    <w:rsid w:val="0F8B7081"/>
    <w:rsid w:val="0FEA1916"/>
    <w:rsid w:val="103F2F35"/>
    <w:rsid w:val="10A0520D"/>
    <w:rsid w:val="10B96456"/>
    <w:rsid w:val="1152610D"/>
    <w:rsid w:val="117E32DF"/>
    <w:rsid w:val="11A1609B"/>
    <w:rsid w:val="11D37432"/>
    <w:rsid w:val="12081D5A"/>
    <w:rsid w:val="12484DAE"/>
    <w:rsid w:val="12CB486C"/>
    <w:rsid w:val="12DB5F19"/>
    <w:rsid w:val="13147C1C"/>
    <w:rsid w:val="13340A7D"/>
    <w:rsid w:val="13443453"/>
    <w:rsid w:val="135D64C0"/>
    <w:rsid w:val="135F52B6"/>
    <w:rsid w:val="139A59B5"/>
    <w:rsid w:val="13A263E4"/>
    <w:rsid w:val="13B817E6"/>
    <w:rsid w:val="13DC4024"/>
    <w:rsid w:val="14002E3F"/>
    <w:rsid w:val="14056409"/>
    <w:rsid w:val="14307DED"/>
    <w:rsid w:val="145A17EF"/>
    <w:rsid w:val="146158E9"/>
    <w:rsid w:val="155B2A94"/>
    <w:rsid w:val="155F28E5"/>
    <w:rsid w:val="15EC0CDE"/>
    <w:rsid w:val="162007D9"/>
    <w:rsid w:val="164A0198"/>
    <w:rsid w:val="16527E99"/>
    <w:rsid w:val="1699716E"/>
    <w:rsid w:val="16AF1696"/>
    <w:rsid w:val="16DE71A0"/>
    <w:rsid w:val="17117B78"/>
    <w:rsid w:val="176424CC"/>
    <w:rsid w:val="17650758"/>
    <w:rsid w:val="17AD1B15"/>
    <w:rsid w:val="185C2F39"/>
    <w:rsid w:val="187938F8"/>
    <w:rsid w:val="18BC283F"/>
    <w:rsid w:val="194E59E2"/>
    <w:rsid w:val="19570D00"/>
    <w:rsid w:val="19DA5974"/>
    <w:rsid w:val="19FC5397"/>
    <w:rsid w:val="1A2310E1"/>
    <w:rsid w:val="1A2D4F98"/>
    <w:rsid w:val="1A7C68EE"/>
    <w:rsid w:val="1A906FEF"/>
    <w:rsid w:val="1AC21CE6"/>
    <w:rsid w:val="1AE7028A"/>
    <w:rsid w:val="1B00689F"/>
    <w:rsid w:val="1B0E4A8F"/>
    <w:rsid w:val="1B342D58"/>
    <w:rsid w:val="1B4054A0"/>
    <w:rsid w:val="1B526BAB"/>
    <w:rsid w:val="1BA6335B"/>
    <w:rsid w:val="1BC04CE4"/>
    <w:rsid w:val="1BFB3FAF"/>
    <w:rsid w:val="1C767556"/>
    <w:rsid w:val="1C992DEB"/>
    <w:rsid w:val="1C9D20D0"/>
    <w:rsid w:val="1CB86762"/>
    <w:rsid w:val="1CB95ED3"/>
    <w:rsid w:val="1CF81A8D"/>
    <w:rsid w:val="1D300DCC"/>
    <w:rsid w:val="1D306F1F"/>
    <w:rsid w:val="1D905054"/>
    <w:rsid w:val="1DA70A35"/>
    <w:rsid w:val="1DE4306D"/>
    <w:rsid w:val="1E5E537E"/>
    <w:rsid w:val="1E63264A"/>
    <w:rsid w:val="1F0E26F5"/>
    <w:rsid w:val="1F1B28A6"/>
    <w:rsid w:val="1F771C30"/>
    <w:rsid w:val="1FA17D5F"/>
    <w:rsid w:val="1FD73ABB"/>
    <w:rsid w:val="20093B36"/>
    <w:rsid w:val="20513905"/>
    <w:rsid w:val="2058565C"/>
    <w:rsid w:val="207E75D3"/>
    <w:rsid w:val="21762C67"/>
    <w:rsid w:val="2178607F"/>
    <w:rsid w:val="219A2532"/>
    <w:rsid w:val="21AD2F48"/>
    <w:rsid w:val="21DB2014"/>
    <w:rsid w:val="21DC6F44"/>
    <w:rsid w:val="22360202"/>
    <w:rsid w:val="22513AED"/>
    <w:rsid w:val="233C173D"/>
    <w:rsid w:val="23A823F3"/>
    <w:rsid w:val="24232E66"/>
    <w:rsid w:val="2426503E"/>
    <w:rsid w:val="2458685D"/>
    <w:rsid w:val="247033B4"/>
    <w:rsid w:val="24C313B9"/>
    <w:rsid w:val="24E35B21"/>
    <w:rsid w:val="256D7EB4"/>
    <w:rsid w:val="25B657A5"/>
    <w:rsid w:val="260661B4"/>
    <w:rsid w:val="260F5D46"/>
    <w:rsid w:val="26283A4A"/>
    <w:rsid w:val="264F5F3F"/>
    <w:rsid w:val="26663C9B"/>
    <w:rsid w:val="26746B7D"/>
    <w:rsid w:val="26AC1C0B"/>
    <w:rsid w:val="26D83C52"/>
    <w:rsid w:val="27485743"/>
    <w:rsid w:val="2758137F"/>
    <w:rsid w:val="276208FE"/>
    <w:rsid w:val="277725DB"/>
    <w:rsid w:val="27BD4863"/>
    <w:rsid w:val="27CF7DD3"/>
    <w:rsid w:val="280F12BD"/>
    <w:rsid w:val="281828B6"/>
    <w:rsid w:val="28305888"/>
    <w:rsid w:val="287D7FC9"/>
    <w:rsid w:val="2895499C"/>
    <w:rsid w:val="28AA256F"/>
    <w:rsid w:val="29465FDD"/>
    <w:rsid w:val="298B44AC"/>
    <w:rsid w:val="298E0F81"/>
    <w:rsid w:val="29A71176"/>
    <w:rsid w:val="29D83EB3"/>
    <w:rsid w:val="2A191EF2"/>
    <w:rsid w:val="2A243EE4"/>
    <w:rsid w:val="2A4002D3"/>
    <w:rsid w:val="2A434028"/>
    <w:rsid w:val="2A47057A"/>
    <w:rsid w:val="2A95071D"/>
    <w:rsid w:val="2B1808E6"/>
    <w:rsid w:val="2B900AB0"/>
    <w:rsid w:val="2BAA4DD8"/>
    <w:rsid w:val="2BF75B7B"/>
    <w:rsid w:val="2C7B0755"/>
    <w:rsid w:val="2D146743"/>
    <w:rsid w:val="2D1815C6"/>
    <w:rsid w:val="2D7D387E"/>
    <w:rsid w:val="2D96740D"/>
    <w:rsid w:val="2DB6531A"/>
    <w:rsid w:val="2DE07F23"/>
    <w:rsid w:val="2E3A5706"/>
    <w:rsid w:val="2E4717EF"/>
    <w:rsid w:val="2E4C61D6"/>
    <w:rsid w:val="2E531910"/>
    <w:rsid w:val="2E8440F2"/>
    <w:rsid w:val="2EB579CF"/>
    <w:rsid w:val="2F0113AB"/>
    <w:rsid w:val="2F3D43E5"/>
    <w:rsid w:val="2F7B37FD"/>
    <w:rsid w:val="2F805EC4"/>
    <w:rsid w:val="2FA725C0"/>
    <w:rsid w:val="2FBE4DDC"/>
    <w:rsid w:val="2FD06F13"/>
    <w:rsid w:val="300360D6"/>
    <w:rsid w:val="309F13C1"/>
    <w:rsid w:val="31287263"/>
    <w:rsid w:val="314074DB"/>
    <w:rsid w:val="31D62C1E"/>
    <w:rsid w:val="32545700"/>
    <w:rsid w:val="325F2103"/>
    <w:rsid w:val="326D56BD"/>
    <w:rsid w:val="32A24162"/>
    <w:rsid w:val="32C15CB6"/>
    <w:rsid w:val="32E5520C"/>
    <w:rsid w:val="32EB2BEA"/>
    <w:rsid w:val="332248BE"/>
    <w:rsid w:val="334E5C2A"/>
    <w:rsid w:val="335D33BC"/>
    <w:rsid w:val="33604FAC"/>
    <w:rsid w:val="33DE54AF"/>
    <w:rsid w:val="343A415F"/>
    <w:rsid w:val="346073F8"/>
    <w:rsid w:val="35404F2F"/>
    <w:rsid w:val="354B772A"/>
    <w:rsid w:val="359C10C9"/>
    <w:rsid w:val="35F97176"/>
    <w:rsid w:val="363E613D"/>
    <w:rsid w:val="369568C2"/>
    <w:rsid w:val="369A7308"/>
    <w:rsid w:val="36AC7E19"/>
    <w:rsid w:val="36F82811"/>
    <w:rsid w:val="372B346E"/>
    <w:rsid w:val="37C05F2D"/>
    <w:rsid w:val="381352E2"/>
    <w:rsid w:val="38746667"/>
    <w:rsid w:val="388F0BF5"/>
    <w:rsid w:val="38AD60DA"/>
    <w:rsid w:val="38E93F07"/>
    <w:rsid w:val="39182175"/>
    <w:rsid w:val="39397FAB"/>
    <w:rsid w:val="3952194F"/>
    <w:rsid w:val="39741BD1"/>
    <w:rsid w:val="39B66C32"/>
    <w:rsid w:val="39BF3B27"/>
    <w:rsid w:val="39D449AB"/>
    <w:rsid w:val="39F6652F"/>
    <w:rsid w:val="3A1B3EF1"/>
    <w:rsid w:val="3A246E76"/>
    <w:rsid w:val="3A3F4E9A"/>
    <w:rsid w:val="3AF84CD2"/>
    <w:rsid w:val="3B1F430F"/>
    <w:rsid w:val="3B69783B"/>
    <w:rsid w:val="3B8724CF"/>
    <w:rsid w:val="3BAC7850"/>
    <w:rsid w:val="3BC5785F"/>
    <w:rsid w:val="3C702BF3"/>
    <w:rsid w:val="3CB042DA"/>
    <w:rsid w:val="3CE53A29"/>
    <w:rsid w:val="3CE704F5"/>
    <w:rsid w:val="3CEE6C62"/>
    <w:rsid w:val="3CFF1A96"/>
    <w:rsid w:val="3D6222B3"/>
    <w:rsid w:val="3EEA712C"/>
    <w:rsid w:val="3F1D5641"/>
    <w:rsid w:val="3F3538B1"/>
    <w:rsid w:val="3F366D96"/>
    <w:rsid w:val="4003763F"/>
    <w:rsid w:val="406635FE"/>
    <w:rsid w:val="40B94A95"/>
    <w:rsid w:val="415E1C0E"/>
    <w:rsid w:val="41771078"/>
    <w:rsid w:val="41832586"/>
    <w:rsid w:val="41E825F3"/>
    <w:rsid w:val="423F40DF"/>
    <w:rsid w:val="426C69D1"/>
    <w:rsid w:val="429C4FA0"/>
    <w:rsid w:val="42CE5F42"/>
    <w:rsid w:val="42D24B19"/>
    <w:rsid w:val="430507D5"/>
    <w:rsid w:val="43334C97"/>
    <w:rsid w:val="433D0BB2"/>
    <w:rsid w:val="435E7E72"/>
    <w:rsid w:val="4389528F"/>
    <w:rsid w:val="43BC2E28"/>
    <w:rsid w:val="43BC4509"/>
    <w:rsid w:val="43E32D3B"/>
    <w:rsid w:val="44140B7A"/>
    <w:rsid w:val="4445535A"/>
    <w:rsid w:val="44487B31"/>
    <w:rsid w:val="44704D90"/>
    <w:rsid w:val="44831B86"/>
    <w:rsid w:val="44A64038"/>
    <w:rsid w:val="44DF2284"/>
    <w:rsid w:val="455807FC"/>
    <w:rsid w:val="459A1140"/>
    <w:rsid w:val="459E55AF"/>
    <w:rsid w:val="45D27460"/>
    <w:rsid w:val="464043DB"/>
    <w:rsid w:val="46557D2D"/>
    <w:rsid w:val="467C68B7"/>
    <w:rsid w:val="46CA1C98"/>
    <w:rsid w:val="470622D8"/>
    <w:rsid w:val="47446FA2"/>
    <w:rsid w:val="47D7275A"/>
    <w:rsid w:val="480318EB"/>
    <w:rsid w:val="48267948"/>
    <w:rsid w:val="486F5318"/>
    <w:rsid w:val="48894DAA"/>
    <w:rsid w:val="4896454D"/>
    <w:rsid w:val="493F0D82"/>
    <w:rsid w:val="495170CC"/>
    <w:rsid w:val="49651A4E"/>
    <w:rsid w:val="497B077B"/>
    <w:rsid w:val="497D7D18"/>
    <w:rsid w:val="49D77348"/>
    <w:rsid w:val="4ABF1AA9"/>
    <w:rsid w:val="4AFD2A72"/>
    <w:rsid w:val="4AFF2989"/>
    <w:rsid w:val="4B1372BE"/>
    <w:rsid w:val="4B7E5C98"/>
    <w:rsid w:val="4BD07BAB"/>
    <w:rsid w:val="4C1672AD"/>
    <w:rsid w:val="4C7B6025"/>
    <w:rsid w:val="4CBC0FF7"/>
    <w:rsid w:val="4CF036F2"/>
    <w:rsid w:val="4D606333"/>
    <w:rsid w:val="4D75171A"/>
    <w:rsid w:val="4DC35204"/>
    <w:rsid w:val="4E270F39"/>
    <w:rsid w:val="4E3767BB"/>
    <w:rsid w:val="4E9F21EB"/>
    <w:rsid w:val="4EAE04CE"/>
    <w:rsid w:val="4EE73FD0"/>
    <w:rsid w:val="4F435E87"/>
    <w:rsid w:val="4FA963C7"/>
    <w:rsid w:val="4FC06CFD"/>
    <w:rsid w:val="4FE20CB3"/>
    <w:rsid w:val="50156557"/>
    <w:rsid w:val="505926BC"/>
    <w:rsid w:val="50975DDE"/>
    <w:rsid w:val="50C53144"/>
    <w:rsid w:val="50D61287"/>
    <w:rsid w:val="510A758D"/>
    <w:rsid w:val="51630C2B"/>
    <w:rsid w:val="5174259E"/>
    <w:rsid w:val="518A3B41"/>
    <w:rsid w:val="51A55D48"/>
    <w:rsid w:val="5286799E"/>
    <w:rsid w:val="52971E9A"/>
    <w:rsid w:val="52E9765D"/>
    <w:rsid w:val="530E4C1E"/>
    <w:rsid w:val="530E6964"/>
    <w:rsid w:val="531E0804"/>
    <w:rsid w:val="533F2A32"/>
    <w:rsid w:val="53600FE6"/>
    <w:rsid w:val="536A2951"/>
    <w:rsid w:val="538A38C5"/>
    <w:rsid w:val="538D66FC"/>
    <w:rsid w:val="53E73709"/>
    <w:rsid w:val="53F4190D"/>
    <w:rsid w:val="53F614E6"/>
    <w:rsid w:val="54726CF8"/>
    <w:rsid w:val="548B64A1"/>
    <w:rsid w:val="54D17B7E"/>
    <w:rsid w:val="550546A4"/>
    <w:rsid w:val="556172D3"/>
    <w:rsid w:val="557817E2"/>
    <w:rsid w:val="557F134B"/>
    <w:rsid w:val="5582408B"/>
    <w:rsid w:val="5610759E"/>
    <w:rsid w:val="561921A5"/>
    <w:rsid w:val="566064F1"/>
    <w:rsid w:val="5663325F"/>
    <w:rsid w:val="5668566C"/>
    <w:rsid w:val="568A5B00"/>
    <w:rsid w:val="57D337B5"/>
    <w:rsid w:val="57F0186D"/>
    <w:rsid w:val="57FF228C"/>
    <w:rsid w:val="58664DC1"/>
    <w:rsid w:val="58D7332A"/>
    <w:rsid w:val="58DD55D0"/>
    <w:rsid w:val="590B6216"/>
    <w:rsid w:val="596540C7"/>
    <w:rsid w:val="59712575"/>
    <w:rsid w:val="59B76958"/>
    <w:rsid w:val="5B1A0D65"/>
    <w:rsid w:val="5B99373E"/>
    <w:rsid w:val="5B993EFE"/>
    <w:rsid w:val="5BA7043B"/>
    <w:rsid w:val="5BAF7F56"/>
    <w:rsid w:val="5C15448C"/>
    <w:rsid w:val="5C9275F7"/>
    <w:rsid w:val="5CC00511"/>
    <w:rsid w:val="5CD26788"/>
    <w:rsid w:val="5CE9363E"/>
    <w:rsid w:val="5CF61530"/>
    <w:rsid w:val="5D4258DA"/>
    <w:rsid w:val="5D556055"/>
    <w:rsid w:val="5D9A5272"/>
    <w:rsid w:val="5DB42FFF"/>
    <w:rsid w:val="5E085933"/>
    <w:rsid w:val="5E170D63"/>
    <w:rsid w:val="5E1B307A"/>
    <w:rsid w:val="5E4431CC"/>
    <w:rsid w:val="5E456CAE"/>
    <w:rsid w:val="5EB06294"/>
    <w:rsid w:val="5EC26B2A"/>
    <w:rsid w:val="5F7156D2"/>
    <w:rsid w:val="5FA97144"/>
    <w:rsid w:val="5FC61B11"/>
    <w:rsid w:val="60260FB4"/>
    <w:rsid w:val="60476837"/>
    <w:rsid w:val="60C27580"/>
    <w:rsid w:val="6133523F"/>
    <w:rsid w:val="61636662"/>
    <w:rsid w:val="617C7984"/>
    <w:rsid w:val="619572D7"/>
    <w:rsid w:val="623563FC"/>
    <w:rsid w:val="625E32F5"/>
    <w:rsid w:val="628E466F"/>
    <w:rsid w:val="62F87997"/>
    <w:rsid w:val="630478D3"/>
    <w:rsid w:val="631702E5"/>
    <w:rsid w:val="636459C6"/>
    <w:rsid w:val="63BC537A"/>
    <w:rsid w:val="63C9669C"/>
    <w:rsid w:val="648942D2"/>
    <w:rsid w:val="65293DDA"/>
    <w:rsid w:val="655D42BA"/>
    <w:rsid w:val="655E1740"/>
    <w:rsid w:val="659B56DB"/>
    <w:rsid w:val="65D13C9F"/>
    <w:rsid w:val="6621727D"/>
    <w:rsid w:val="662526D2"/>
    <w:rsid w:val="66C714E9"/>
    <w:rsid w:val="670A3D62"/>
    <w:rsid w:val="676E2437"/>
    <w:rsid w:val="6771531D"/>
    <w:rsid w:val="677D3395"/>
    <w:rsid w:val="67D364E9"/>
    <w:rsid w:val="67F023E5"/>
    <w:rsid w:val="6804364E"/>
    <w:rsid w:val="68193F36"/>
    <w:rsid w:val="684A5E8C"/>
    <w:rsid w:val="684F1261"/>
    <w:rsid w:val="686205D5"/>
    <w:rsid w:val="688D6DCB"/>
    <w:rsid w:val="6890718F"/>
    <w:rsid w:val="68EB1C1A"/>
    <w:rsid w:val="696C0A60"/>
    <w:rsid w:val="698B6074"/>
    <w:rsid w:val="69C42A80"/>
    <w:rsid w:val="6A6D1375"/>
    <w:rsid w:val="6AB37CFA"/>
    <w:rsid w:val="6AF50A19"/>
    <w:rsid w:val="6B5349D5"/>
    <w:rsid w:val="6B75409B"/>
    <w:rsid w:val="6B757EA3"/>
    <w:rsid w:val="6BE77587"/>
    <w:rsid w:val="6C1936F5"/>
    <w:rsid w:val="6C6D33A3"/>
    <w:rsid w:val="6C937494"/>
    <w:rsid w:val="6CA12307"/>
    <w:rsid w:val="6CC21CB1"/>
    <w:rsid w:val="6D1A3CD6"/>
    <w:rsid w:val="6D250DC7"/>
    <w:rsid w:val="6D5F5F42"/>
    <w:rsid w:val="6D6F133C"/>
    <w:rsid w:val="6D7815EA"/>
    <w:rsid w:val="6D8B4090"/>
    <w:rsid w:val="6DAE7298"/>
    <w:rsid w:val="6E064B16"/>
    <w:rsid w:val="6E1E0015"/>
    <w:rsid w:val="6E4B4A67"/>
    <w:rsid w:val="6E520798"/>
    <w:rsid w:val="6E5A4143"/>
    <w:rsid w:val="6E645867"/>
    <w:rsid w:val="6E9A5852"/>
    <w:rsid w:val="6EB41BE1"/>
    <w:rsid w:val="6EB7650F"/>
    <w:rsid w:val="6EC57EDA"/>
    <w:rsid w:val="6ED65AB6"/>
    <w:rsid w:val="6EE56B39"/>
    <w:rsid w:val="6EE77777"/>
    <w:rsid w:val="6EF815B4"/>
    <w:rsid w:val="6F4B1C46"/>
    <w:rsid w:val="6FA84F77"/>
    <w:rsid w:val="6FC0486B"/>
    <w:rsid w:val="702F509C"/>
    <w:rsid w:val="708D0110"/>
    <w:rsid w:val="712F7884"/>
    <w:rsid w:val="721E4CBE"/>
    <w:rsid w:val="72A17F23"/>
    <w:rsid w:val="73557504"/>
    <w:rsid w:val="736B0E9C"/>
    <w:rsid w:val="73916393"/>
    <w:rsid w:val="73C06F34"/>
    <w:rsid w:val="73C82AC7"/>
    <w:rsid w:val="743B1311"/>
    <w:rsid w:val="7446798F"/>
    <w:rsid w:val="745C2865"/>
    <w:rsid w:val="74E6328B"/>
    <w:rsid w:val="750577AD"/>
    <w:rsid w:val="75345A4F"/>
    <w:rsid w:val="75DF0E74"/>
    <w:rsid w:val="75E524AA"/>
    <w:rsid w:val="766C2C76"/>
    <w:rsid w:val="767A4E92"/>
    <w:rsid w:val="767D0CA5"/>
    <w:rsid w:val="76C6463C"/>
    <w:rsid w:val="77133456"/>
    <w:rsid w:val="772D77E1"/>
    <w:rsid w:val="77485367"/>
    <w:rsid w:val="775E7EA0"/>
    <w:rsid w:val="77746FC1"/>
    <w:rsid w:val="77A83995"/>
    <w:rsid w:val="77BB7155"/>
    <w:rsid w:val="77C26C54"/>
    <w:rsid w:val="789D1524"/>
    <w:rsid w:val="78AD24B8"/>
    <w:rsid w:val="78C06C06"/>
    <w:rsid w:val="790B52C2"/>
    <w:rsid w:val="799C6799"/>
    <w:rsid w:val="7A4F61B8"/>
    <w:rsid w:val="7A69376A"/>
    <w:rsid w:val="7A8F04A9"/>
    <w:rsid w:val="7AA970D1"/>
    <w:rsid w:val="7AE17D1F"/>
    <w:rsid w:val="7B4A25D3"/>
    <w:rsid w:val="7B4C7EA0"/>
    <w:rsid w:val="7BA46454"/>
    <w:rsid w:val="7BA52168"/>
    <w:rsid w:val="7BDC304A"/>
    <w:rsid w:val="7C4E04D0"/>
    <w:rsid w:val="7C514125"/>
    <w:rsid w:val="7C715A29"/>
    <w:rsid w:val="7C762D48"/>
    <w:rsid w:val="7D282A1D"/>
    <w:rsid w:val="7D82009B"/>
    <w:rsid w:val="7DDE424F"/>
    <w:rsid w:val="7DF32EE7"/>
    <w:rsid w:val="7E517983"/>
    <w:rsid w:val="7E593DB5"/>
    <w:rsid w:val="7E646C69"/>
    <w:rsid w:val="7E8C63BA"/>
    <w:rsid w:val="7EBF2607"/>
    <w:rsid w:val="7ECA22EE"/>
    <w:rsid w:val="7EDC6108"/>
    <w:rsid w:val="7FC630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6">
    <w:name w:val="List 3"/>
    <w:basedOn w:val="1"/>
    <w:qFormat/>
    <w:uiPriority w:val="0"/>
    <w:pPr>
      <w:ind w:left="1260" w:hanging="420"/>
    </w:pPr>
    <w:rPr>
      <w:rFonts w:ascii="Times New Roman" w:hAnsi="Times New Roman"/>
      <w:szCs w:val="20"/>
    </w:rPr>
  </w:style>
  <w:style w:type="paragraph" w:styleId="7">
    <w:name w:val="Normal Indent"/>
    <w:basedOn w:val="1"/>
    <w:qFormat/>
    <w:uiPriority w:val="0"/>
    <w:pPr>
      <w:ind w:firstLine="420"/>
    </w:pPr>
    <w:rPr>
      <w:rFonts w:ascii="宋体" w:hAnsi="宋体"/>
      <w:kern w:val="0"/>
      <w:sz w:val="20"/>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黑体" w:hAnsi="Courier New" w:eastAsia="黑体"/>
      <w:kern w:val="0"/>
      <w:sz w:val="20"/>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uiPriority w:val="22"/>
    <w:rPr>
      <w:b/>
      <w:bCs/>
    </w:rPr>
  </w:style>
  <w:style w:type="character" w:styleId="18">
    <w:name w:val="page number"/>
    <w:basedOn w:val="16"/>
    <w:qFormat/>
    <w:uiPriority w:val="0"/>
  </w:style>
  <w:style w:type="character" w:styleId="19">
    <w:name w:val="FollowedHyperlink"/>
    <w:basedOn w:val="16"/>
    <w:qFormat/>
    <w:uiPriority w:val="0"/>
    <w:rPr>
      <w:color w:val="333333"/>
      <w:u w:val="none"/>
    </w:rPr>
  </w:style>
  <w:style w:type="character" w:styleId="20">
    <w:name w:val="Hyperlink"/>
    <w:basedOn w:val="16"/>
    <w:qFormat/>
    <w:uiPriority w:val="0"/>
    <w:rPr>
      <w:color w:val="0000FF"/>
      <w:u w:val="single"/>
    </w:rPr>
  </w:style>
  <w:style w:type="character" w:styleId="21">
    <w:name w:val="annotation reference"/>
    <w:basedOn w:val="16"/>
    <w:qFormat/>
    <w:uiPriority w:val="0"/>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首行缩进"/>
    <w:basedOn w:val="1"/>
    <w:qFormat/>
    <w:uiPriority w:val="0"/>
    <w:pPr>
      <w:ind w:firstLine="480" w:firstLineChars="200"/>
    </w:pPr>
    <w:rPr>
      <w:lang w:val="zh-CN"/>
    </w:rPr>
  </w:style>
  <w:style w:type="paragraph" w:customStyle="1" w:styleId="25">
    <w:name w:val="Char Char Char Char Char Char"/>
    <w:basedOn w:val="1"/>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7">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8">
    <w:name w:val="Char Char Char Char Char Char Char"/>
    <w:basedOn w:val="1"/>
    <w:qFormat/>
    <w:uiPriority w:val="0"/>
    <w:rPr>
      <w:rFonts w:ascii="Times New Roman" w:hAnsi="Times New Roman"/>
      <w:szCs w:val="24"/>
    </w:rPr>
  </w:style>
  <w:style w:type="paragraph" w:customStyle="1" w:styleId="29">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0">
    <w:name w:val="样式3"/>
    <w:basedOn w:val="2"/>
    <w:qFormat/>
    <w:uiPriority w:val="0"/>
    <w:pPr>
      <w:spacing w:line="0" w:lineRule="atLeast"/>
      <w:outlineLvl w:val="0"/>
    </w:pPr>
    <w:rPr>
      <w:sz w:val="28"/>
    </w:rPr>
  </w:style>
  <w:style w:type="paragraph" w:customStyle="1" w:styleId="31">
    <w:name w:val="p0"/>
    <w:basedOn w:val="1"/>
    <w:qFormat/>
    <w:uiPriority w:val="0"/>
    <w:pPr>
      <w:widowControl/>
    </w:pPr>
    <w:rPr>
      <w:kern w:val="0"/>
      <w:szCs w:val="21"/>
    </w:rPr>
  </w:style>
  <w:style w:type="paragraph" w:customStyle="1" w:styleId="32">
    <w:name w:val="List Paragraph"/>
    <w:basedOn w:val="1"/>
    <w:qFormat/>
    <w:uiPriority w:val="99"/>
    <w:pPr>
      <w:ind w:firstLine="420" w:firstLineChars="200"/>
    </w:pPr>
  </w:style>
  <w:style w:type="character" w:customStyle="1" w:styleId="33">
    <w:name w:val="font141"/>
    <w:basedOn w:val="16"/>
    <w:qFormat/>
    <w:uiPriority w:val="0"/>
    <w:rPr>
      <w:rFonts w:hint="default" w:ascii="Calibri" w:hAnsi="Calibri" w:cs="Calibri"/>
      <w:color w:val="000000"/>
      <w:sz w:val="22"/>
      <w:szCs w:val="22"/>
      <w:u w:val="none"/>
    </w:rPr>
  </w:style>
  <w:style w:type="character" w:customStyle="1" w:styleId="34">
    <w:name w:val="font131"/>
    <w:basedOn w:val="16"/>
    <w:qFormat/>
    <w:uiPriority w:val="0"/>
    <w:rPr>
      <w:rFonts w:hint="eastAsia" w:ascii="宋体" w:hAnsi="宋体" w:eastAsia="宋体" w:cs="宋体"/>
      <w:color w:val="000000"/>
      <w:sz w:val="22"/>
      <w:szCs w:val="22"/>
      <w:u w:val="none"/>
    </w:rPr>
  </w:style>
  <w:style w:type="character" w:customStyle="1" w:styleId="35">
    <w:name w:val="font112"/>
    <w:basedOn w:val="16"/>
    <w:qFormat/>
    <w:uiPriority w:val="0"/>
    <w:rPr>
      <w:rFonts w:hint="default" w:ascii="Calibri" w:hAnsi="Calibri" w:cs="Calibri"/>
      <w:color w:val="FF0000"/>
      <w:sz w:val="22"/>
      <w:szCs w:val="22"/>
      <w:u w:val="none"/>
    </w:rPr>
  </w:style>
  <w:style w:type="character" w:customStyle="1" w:styleId="36">
    <w:name w:val="font81"/>
    <w:basedOn w:val="16"/>
    <w:qFormat/>
    <w:uiPriority w:val="0"/>
    <w:rPr>
      <w:rFonts w:hint="default" w:ascii="Calibri" w:hAnsi="Calibri" w:cs="Calibri"/>
      <w:color w:val="000000"/>
      <w:sz w:val="22"/>
      <w:szCs w:val="22"/>
      <w:u w:val="none"/>
    </w:rPr>
  </w:style>
  <w:style w:type="character" w:customStyle="1" w:styleId="37">
    <w:name w:val="font11"/>
    <w:basedOn w:val="16"/>
    <w:qFormat/>
    <w:uiPriority w:val="0"/>
    <w:rPr>
      <w:rFonts w:hint="eastAsia" w:ascii="宋体" w:hAnsi="宋体" w:eastAsia="宋体" w:cs="宋体"/>
      <w:color w:val="000000"/>
      <w:sz w:val="22"/>
      <w:szCs w:val="22"/>
      <w:u w:val="none"/>
    </w:rPr>
  </w:style>
  <w:style w:type="character" w:customStyle="1" w:styleId="38">
    <w:name w:val="font91"/>
    <w:basedOn w:val="16"/>
    <w:qFormat/>
    <w:uiPriority w:val="0"/>
    <w:rPr>
      <w:rFonts w:hint="eastAsia" w:ascii="宋体" w:hAnsi="宋体" w:eastAsia="宋体" w:cs="宋体"/>
      <w:color w:val="000000"/>
      <w:sz w:val="21"/>
      <w:szCs w:val="21"/>
      <w:u w:val="none"/>
    </w:rPr>
  </w:style>
  <w:style w:type="character" w:customStyle="1" w:styleId="39">
    <w:name w:val="font61"/>
    <w:basedOn w:val="16"/>
    <w:qFormat/>
    <w:uiPriority w:val="0"/>
    <w:rPr>
      <w:rFonts w:hint="eastAsia" w:ascii="宋体" w:hAnsi="宋体" w:eastAsia="宋体" w:cs="宋体"/>
      <w:color w:val="000000"/>
      <w:sz w:val="21"/>
      <w:szCs w:val="21"/>
      <w:u w:val="none"/>
    </w:rPr>
  </w:style>
  <w:style w:type="character" w:customStyle="1" w:styleId="40">
    <w:name w:val="font01"/>
    <w:basedOn w:val="16"/>
    <w:qFormat/>
    <w:uiPriority w:val="0"/>
    <w:rPr>
      <w:rFonts w:hint="eastAsia" w:ascii="宋体" w:hAnsi="宋体" w:eastAsia="宋体" w:cs="宋体"/>
      <w:color w:val="000000"/>
      <w:sz w:val="22"/>
      <w:szCs w:val="22"/>
      <w:u w:val="none"/>
    </w:rPr>
  </w:style>
  <w:style w:type="character" w:customStyle="1" w:styleId="41">
    <w:name w:val="font71"/>
    <w:basedOn w:val="16"/>
    <w:qFormat/>
    <w:uiPriority w:val="0"/>
    <w:rPr>
      <w:rFonts w:ascii="font-weight : 400" w:hAnsi="font-weight : 400" w:eastAsia="font-weight : 400" w:cs="font-weight : 400"/>
      <w:color w:val="000000"/>
      <w:sz w:val="22"/>
      <w:szCs w:val="22"/>
      <w:u w:val="none"/>
    </w:rPr>
  </w:style>
  <w:style w:type="character" w:customStyle="1" w:styleId="42">
    <w:name w:val="font21"/>
    <w:basedOn w:val="16"/>
    <w:qFormat/>
    <w:uiPriority w:val="0"/>
    <w:rPr>
      <w:rFonts w:ascii="Arial" w:hAnsi="Arial" w:cs="Arial"/>
      <w:color w:val="000000"/>
      <w:sz w:val="24"/>
      <w:szCs w:val="24"/>
      <w:u w:val="none"/>
    </w:rPr>
  </w:style>
  <w:style w:type="character" w:customStyle="1" w:styleId="43">
    <w:name w:val="font41"/>
    <w:basedOn w:val="16"/>
    <w:qFormat/>
    <w:uiPriority w:val="0"/>
    <w:rPr>
      <w:rFonts w:hint="eastAsia" w:ascii="宋体" w:hAnsi="宋体" w:eastAsia="宋体" w:cs="宋体"/>
      <w:color w:val="FF0000"/>
      <w:sz w:val="24"/>
      <w:szCs w:val="24"/>
      <w:u w:val="none"/>
    </w:rPr>
  </w:style>
  <w:style w:type="character" w:customStyle="1" w:styleId="44">
    <w:name w:val="font31"/>
    <w:basedOn w:val="16"/>
    <w:qFormat/>
    <w:uiPriority w:val="0"/>
    <w:rPr>
      <w:rFonts w:hint="eastAsia" w:ascii="宋体" w:hAnsi="宋体" w:eastAsia="宋体" w:cs="宋体"/>
      <w:b/>
      <w:color w:val="000000"/>
      <w:sz w:val="22"/>
      <w:szCs w:val="22"/>
      <w:u w:val="none"/>
    </w:rPr>
  </w:style>
  <w:style w:type="character" w:customStyle="1" w:styleId="45">
    <w:name w:val="ca-01"/>
    <w:qFormat/>
    <w:uiPriority w:val="0"/>
    <w:rPr>
      <w:rFonts w:hint="eastAsia" w:ascii="宋体" w:hAnsi="宋体" w:eastAsia="宋体"/>
      <w:sz w:val="21"/>
      <w:szCs w:val="21"/>
    </w:rPr>
  </w:style>
  <w:style w:type="paragraph" w:customStyle="1" w:styleId="46">
    <w:name w:val="列出段落1"/>
    <w:basedOn w:val="1"/>
    <w:qFormat/>
    <w:uiPriority w:val="34"/>
    <w:pPr>
      <w:ind w:firstLine="420" w:firstLineChars="200"/>
    </w:pPr>
    <w:rPr>
      <w:rFonts w:ascii="Calibri" w:hAnsi="Calibri" w:cs="Calibri"/>
    </w:rPr>
  </w:style>
  <w:style w:type="paragraph" w:customStyle="1" w:styleId="47">
    <w:name w:val="正文1"/>
    <w:basedOn w:val="1"/>
    <w:qFormat/>
    <w:uiPriority w:val="0"/>
    <w:pPr>
      <w:tabs>
        <w:tab w:val="left" w:pos="1800"/>
      </w:tabs>
      <w:spacing w:line="360" w:lineRule="auto"/>
      <w:ind w:left="2" w:hanging="2"/>
      <w:jc w:val="center"/>
    </w:pPr>
    <w:rPr>
      <w:rFonts w:ascii="宋体" w:hAnsi="宋体" w:eastAsia="宋体" w:cs="Times New Roman"/>
      <w:bCs/>
      <w:sz w:val="24"/>
      <w:szCs w:val="24"/>
    </w:rPr>
  </w:style>
  <w:style w:type="character" w:customStyle="1" w:styleId="48">
    <w:name w:val="font181"/>
    <w:basedOn w:val="16"/>
    <w:qFormat/>
    <w:uiPriority w:val="0"/>
    <w:rPr>
      <w:rFonts w:hint="eastAsia" w:ascii="宋体" w:hAnsi="宋体" w:eastAsia="宋体" w:cs="宋体"/>
      <w:color w:val="000000"/>
      <w:sz w:val="22"/>
      <w:szCs w:val="22"/>
      <w:u w:val="none"/>
    </w:rPr>
  </w:style>
  <w:style w:type="character" w:customStyle="1" w:styleId="49">
    <w:name w:val="font13"/>
    <w:basedOn w:val="16"/>
    <w:qFormat/>
    <w:uiPriority w:val="0"/>
    <w:rPr>
      <w:rFonts w:hint="eastAsia" w:ascii="宋体" w:hAnsi="宋体" w:eastAsia="宋体" w:cs="宋体"/>
      <w:color w:val="FF0000"/>
      <w:sz w:val="22"/>
      <w:szCs w:val="22"/>
      <w:u w:val="none"/>
    </w:rPr>
  </w:style>
  <w:style w:type="character" w:customStyle="1" w:styleId="50">
    <w:name w:val="font12"/>
    <w:basedOn w:val="16"/>
    <w:qFormat/>
    <w:uiPriority w:val="0"/>
    <w:rPr>
      <w:rFonts w:hint="eastAsia" w:ascii="宋体" w:hAnsi="宋体" w:eastAsia="宋体" w:cs="宋体"/>
      <w:color w:val="FF0000"/>
      <w:sz w:val="22"/>
      <w:szCs w:val="22"/>
      <w:u w:val="none"/>
    </w:rPr>
  </w:style>
  <w:style w:type="character" w:customStyle="1" w:styleId="51">
    <w:name w:val="font51"/>
    <w:basedOn w:val="16"/>
    <w:qFormat/>
    <w:uiPriority w:val="0"/>
    <w:rPr>
      <w:rFonts w:hint="eastAsia" w:ascii="宋体" w:hAnsi="宋体" w:eastAsia="宋体" w:cs="宋体"/>
      <w:color w:val="000000"/>
      <w:sz w:val="22"/>
      <w:szCs w:val="22"/>
      <w:u w:val="none"/>
    </w:rPr>
  </w:style>
  <w:style w:type="character" w:customStyle="1" w:styleId="52">
    <w:name w:val="font121"/>
    <w:basedOn w:val="16"/>
    <w:qFormat/>
    <w:uiPriority w:val="0"/>
    <w:rPr>
      <w:rFonts w:hint="eastAsia" w:ascii="宋体" w:hAnsi="宋体" w:eastAsia="宋体" w:cs="宋体"/>
      <w:color w:val="000000"/>
      <w:sz w:val="18"/>
      <w:szCs w:val="18"/>
      <w:u w:val="none"/>
    </w:rPr>
  </w:style>
  <w:style w:type="paragraph" w:customStyle="1" w:styleId="53">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17544</Words>
  <Characters>100007</Characters>
  <Lines>833</Lines>
  <Paragraphs>234</Paragraphs>
  <ScaleCrop>false</ScaleCrop>
  <LinksUpToDate>false</LinksUpToDate>
  <CharactersWithSpaces>117317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2020-01-03T06:30:00Z</dcterms:created>
  <dc:creator>Administrator</dc:creator>
  <cp:lastModifiedBy>NTKO</cp:lastModifiedBy>
  <cp:lastPrinted>2020-08-13T06:55:00Z</cp:lastPrinted>
  <dcterms:modified xsi:type="dcterms:W3CDTF">2020-08-14T01:18:36Z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