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1、资格要求</w:t>
      </w:r>
    </w:p>
    <w:p>
      <w:pPr>
        <w:keepNext w:val="0"/>
        <w:keepLines w:val="0"/>
        <w:pageBreakBefore w:val="0"/>
        <w:widowControl w:val="0"/>
        <w:kinsoku/>
        <w:wordWrap/>
        <w:overflowPunct/>
        <w:topLinePunct w:val="0"/>
        <w:autoSpaceDE/>
        <w:autoSpaceDN/>
        <w:bidi w:val="0"/>
        <w:adjustRightInd/>
        <w:snapToGrid/>
        <w:spacing w:line="480" w:lineRule="auto"/>
        <w:ind w:left="0" w:lef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 供应商符合《中华人民共和国政府采购法》第二十二条规定，并提供下列材料：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color w:val="000000"/>
          <w:sz w:val="24"/>
          <w:szCs w:val="24"/>
          <w:lang w:eastAsia="zh-CN"/>
        </w:rPr>
        <w:t>营业执照副本、税务登记证副本、组织机构代码证副本（或三证合一或五证合一的营业执照副本）；（</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）具有良好的商业信誉和健全的财务会计制度：提供</w:t>
      </w:r>
      <w:r>
        <w:rPr>
          <w:rFonts w:hint="eastAsia" w:ascii="宋体" w:hAnsi="宋体" w:eastAsia="宋体" w:cs="宋体"/>
          <w:color w:val="000000"/>
          <w:sz w:val="24"/>
          <w:szCs w:val="24"/>
          <w:lang w:val="en-US" w:eastAsia="zh-CN"/>
        </w:rPr>
        <w:t>2018年度</w:t>
      </w:r>
      <w:r>
        <w:rPr>
          <w:rFonts w:hint="eastAsia" w:ascii="宋体" w:hAnsi="宋体" w:cs="宋体"/>
          <w:color w:val="000000"/>
          <w:sz w:val="24"/>
          <w:szCs w:val="24"/>
          <w:lang w:val="en-US" w:eastAsia="zh-CN"/>
        </w:rPr>
        <w:t>或2019年度</w:t>
      </w:r>
      <w:r>
        <w:rPr>
          <w:rFonts w:hint="eastAsia" w:ascii="宋体" w:hAnsi="宋体" w:eastAsia="宋体" w:cs="宋体"/>
          <w:color w:val="000000"/>
          <w:sz w:val="24"/>
          <w:szCs w:val="24"/>
          <w:lang w:val="en-US" w:eastAsia="zh-CN"/>
        </w:rPr>
        <w:t>会计师事务所出具的审计报告复印件（扫描件）的，审计报告包括企业提供的财务报表。</w:t>
      </w:r>
      <w:r>
        <w:rPr>
          <w:rFonts w:hint="eastAsia" w:ascii="宋体" w:hAnsi="宋体" w:eastAsia="宋体" w:cs="宋体"/>
          <w:sz w:val="24"/>
          <w:szCs w:val="24"/>
        </w:rPr>
        <w:t>审计报告应盖有会计师事务所单位章和注册会计师的执业专用</w:t>
      </w:r>
      <w:r>
        <w:rPr>
          <w:rFonts w:hint="eastAsia" w:ascii="宋体" w:hAnsi="宋体" w:eastAsia="宋体" w:cs="宋体"/>
          <w:color w:val="auto"/>
          <w:sz w:val="24"/>
          <w:szCs w:val="24"/>
        </w:rPr>
        <w:t>章。成立不足一年的公司须提供验资报告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具有依法缴纳税和社会保</w:t>
      </w:r>
      <w:r>
        <w:rPr>
          <w:rFonts w:hint="eastAsia" w:ascii="宋体" w:hAnsi="宋体" w:eastAsia="宋体" w:cs="宋体"/>
          <w:sz w:val="24"/>
          <w:szCs w:val="24"/>
        </w:rPr>
        <w:t>障资金的收良好记录：提供相关证</w:t>
      </w:r>
      <w:r>
        <w:rPr>
          <w:rFonts w:hint="eastAsia" w:ascii="宋体" w:hAnsi="宋体" w:eastAsia="宋体" w:cs="宋体"/>
          <w:spacing w:val="-6"/>
          <w:sz w:val="24"/>
          <w:szCs w:val="24"/>
        </w:rPr>
        <w:t>明材料</w:t>
      </w:r>
      <w:r>
        <w:rPr>
          <w:rFonts w:hint="eastAsia" w:ascii="宋体" w:hAnsi="宋体" w:eastAsia="宋体" w:cs="宋体"/>
          <w:spacing w:val="-6"/>
          <w:sz w:val="24"/>
          <w:szCs w:val="24"/>
          <w:lang w:eastAsia="zh-CN"/>
        </w:rPr>
        <w:t>或</w:t>
      </w:r>
      <w:r>
        <w:rPr>
          <w:rFonts w:hint="eastAsia" w:ascii="宋体" w:hAnsi="宋体" w:eastAsia="宋体" w:cs="宋体"/>
          <w:sz w:val="24"/>
          <w:szCs w:val="24"/>
        </w:rPr>
        <w:t>提供开户银行资信证明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参加政府采购活动前三年内在经营活动中没有重大违法记录的书面声明；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法定代表人到场须提供身份证明原件及本人身份证，委托代理人到场须提供法定代表人的授权委托书原件及本人身份证原件；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供应商信用信息查询截图：对列入失信被执行人、重大税收违法案件当事人名单、政府采购严重违法失信行为记录名单且还在执行期的供应商，拒绝其参与本次采购活动。信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用记录查询渠道为“信用中国”网站（www.creditchina.gov.cn）、中国政府采购网</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（www.ccgp.gov.cn），查询时间为购买采购文件之日起至开标前任意一天（供应商提供查</w:t>
      </w:r>
      <w:r>
        <w:rPr>
          <w:rFonts w:hint="eastAsia" w:ascii="宋体" w:hAnsi="宋体" w:eastAsia="宋体" w:cs="宋体"/>
          <w:sz w:val="24"/>
          <w:szCs w:val="24"/>
        </w:rPr>
        <w:fldChar w:fldCharType="end"/>
      </w:r>
      <w:r>
        <w:rPr>
          <w:rFonts w:hint="eastAsia" w:ascii="宋体" w:hAnsi="宋体" w:eastAsia="宋体" w:cs="宋体"/>
          <w:sz w:val="24"/>
          <w:szCs w:val="24"/>
        </w:rPr>
        <w:t>询记录网页截图并加盖单位公章）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rPr>
        <w:t>特殊资格要求：</w:t>
      </w:r>
      <w:r>
        <w:rPr>
          <w:rFonts w:hint="eastAsia" w:ascii="宋体" w:hAnsi="宋体" w:eastAsia="宋体" w:cs="宋体"/>
          <w:sz w:val="24"/>
          <w:szCs w:val="24"/>
          <w:lang w:eastAsia="zh-CN"/>
        </w:rPr>
        <w:t>无</w:t>
      </w:r>
    </w:p>
    <w:p>
      <w:pPr>
        <w:keepNext w:val="0"/>
        <w:keepLines w:val="0"/>
        <w:pageBreakBefore w:val="0"/>
        <w:widowControl w:val="0"/>
        <w:kinsoku/>
        <w:wordWrap/>
        <w:overflowPunct/>
        <w:topLinePunct w:val="0"/>
        <w:bidi w:val="0"/>
        <w:snapToGrid/>
        <w:spacing w:line="480" w:lineRule="auto"/>
        <w:textAlignment w:val="auto"/>
        <w:rPr>
          <w:rFonts w:hint="default" w:ascii="宋体" w:hAnsi="宋体" w:eastAsia="宋体" w:cs="宋体"/>
          <w:color w:val="auto"/>
          <w:sz w:val="24"/>
          <w:szCs w:val="24"/>
          <w:lang w:val="en-US"/>
        </w:rPr>
      </w:pPr>
      <w:r>
        <w:rPr>
          <w:rFonts w:hint="eastAsia" w:ascii="宋体" w:hAnsi="宋体" w:eastAsia="宋体" w:cs="宋体"/>
          <w:b/>
          <w:bCs/>
          <w:color w:val="auto"/>
          <w:sz w:val="24"/>
          <w:szCs w:val="24"/>
        </w:rPr>
        <w:t>2、采购内容</w:t>
      </w:r>
      <w:r>
        <w:rPr>
          <w:rFonts w:hint="eastAsia" w:ascii="宋体" w:hAnsi="宋体" w:cs="宋体"/>
          <w:b/>
          <w:bCs/>
          <w:color w:val="auto"/>
          <w:sz w:val="24"/>
          <w:szCs w:val="24"/>
          <w:u w:val="none"/>
          <w:lang w:eastAsia="zh-CN"/>
        </w:rPr>
        <w:t>：</w:t>
      </w:r>
      <w:r>
        <w:rPr>
          <w:rFonts w:hint="eastAsia" w:ascii="宋体" w:hAnsi="宋体"/>
          <w:color w:val="auto"/>
          <w:sz w:val="24"/>
          <w:u w:val="none"/>
          <w:lang w:eastAsia="zh-CN"/>
        </w:rPr>
        <w:t>微机室二学生电脑及教师电脑采购，以及两个机房转移以及线路安装，详见采购需求清单</w:t>
      </w:r>
      <w:r>
        <w:rPr>
          <w:rFonts w:hint="eastAsia" w:ascii="宋体" w:hAnsi="宋体"/>
          <w:color w:val="auto"/>
          <w:sz w:val="24"/>
          <w:u w:val="none"/>
          <w:lang w:val="en-US" w:eastAsia="zh-CN"/>
        </w:rPr>
        <w:t>.</w:t>
      </w:r>
      <w:bookmarkStart w:id="0" w:name="_GoBack"/>
      <w:bookmarkEnd w:id="0"/>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3、商务要求</w:t>
      </w:r>
      <w:r>
        <w:rPr>
          <w:rFonts w:hint="eastAsia" w:ascii="宋体" w:hAnsi="宋体" w:cs="宋体"/>
          <w:b/>
          <w:bCs/>
          <w:color w:val="auto"/>
          <w:sz w:val="24"/>
          <w:szCs w:val="24"/>
          <w:lang w:eastAsia="zh-CN"/>
        </w:rPr>
        <w:t>：</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1、质保期：自验收合格之日起三年。</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2、安装调试完毕后供应商需要对采购人的使用部门免费提供不少于一周的驻域使用培训。</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3、在质保期内，提供7×24小时热线电话服务，并指定专人负责上门日常维护</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4、服务响应承诺：（</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）电话不超过2小时，现场不超过6小时，超过</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小时不能解决提供备用方案；（</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原厂商具备24小时智能在线服务；由于学校教学的特殊情况，为便于提供更快捷的服务，生产厂商具有微信公众号可报修的，并能实时查询报修状态、工程师电话及其位置；提供以上服务状态查询页面截屏加盖厂商鲜章为有效证明文件。</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5、每季度提供一次巡检，每半年提供一次保养；</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6、所有消耗材料，免费送货上门；定期寄发技术资料；加供应商举办的用户培训班、展会等。</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免费送货至采购人指定地点。</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交货期及地点：合同签订后5个工作日内、采购人指定地点。</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9、支付方式：项目验收完毕且合格后，采购人支付95%合同货款，剩余5%作为质量保证金，一年后（以验收合格之日起计算）无息支付。</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中标后须在领取中标通知书后5日内安排样机供采购人对投标产品的参数功能进行验证，采购人对产品参数存在质疑的，有权要求第三方权威机构对投标产品进行相关功能检测（测试费用由投标人自行承担），检测合格后签署合同，检测不通过，按照虚假应标报送相关主管部门进行处理。</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4、评分办法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本次评标采用</w:t>
      </w:r>
      <w:r>
        <w:rPr>
          <w:rFonts w:hint="eastAsia" w:ascii="宋体" w:hAnsi="宋体" w:cs="宋体"/>
          <w:color w:val="auto"/>
          <w:sz w:val="24"/>
          <w:szCs w:val="24"/>
          <w:lang w:val="en-US" w:eastAsia="zh-CN"/>
        </w:rPr>
        <w:t>最低评标价法</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sz w:val="24"/>
          <w:lang w:val="en-US" w:eastAsia="zh-CN"/>
        </w:rPr>
      </w:pPr>
      <w:r>
        <w:rPr>
          <w:rFonts w:hint="eastAsia" w:ascii="宋体" w:hAnsi="宋体"/>
          <w:sz w:val="24"/>
          <w:lang w:val="en-US" w:eastAsia="zh-CN"/>
        </w:rPr>
        <w:t>即供应商提供的产品质量和服务均能满足谈判文件规定的实质性要求，以最低评标价的供应商为供应商。</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b/>
          <w:bCs/>
          <w:sz w:val="24"/>
          <w:lang w:val="en-US" w:eastAsia="zh-CN"/>
        </w:rPr>
      </w:pPr>
      <w:r>
        <w:rPr>
          <w:rFonts w:hint="eastAsia" w:ascii="宋体" w:hAnsi="宋体"/>
          <w:b/>
          <w:bCs/>
          <w:sz w:val="24"/>
          <w:lang w:val="en-US" w:eastAsia="zh-CN"/>
        </w:rPr>
        <w:t>最终评审办法以采购文件为准。</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b/>
          <w:bCs/>
          <w:sz w:val="24"/>
          <w:lang w:val="en-US" w:eastAsia="zh-CN"/>
        </w:rPr>
      </w:pPr>
    </w:p>
    <w:p>
      <w:pPr>
        <w:keepNext w:val="0"/>
        <w:keepLines w:val="0"/>
        <w:pageBreakBefore w:val="0"/>
        <w:widowControl w:val="0"/>
        <w:kinsoku/>
        <w:wordWrap/>
        <w:overflowPunct/>
        <w:topLinePunct w:val="0"/>
        <w:bidi w:val="0"/>
        <w:snapToGrid/>
        <w:spacing w:line="480" w:lineRule="auto"/>
        <w:textAlignment w:val="auto"/>
        <w:rPr>
          <w:rFonts w:hint="eastAsia" w:ascii="宋体" w:hAnsi="宋体"/>
          <w:b/>
          <w:bCs/>
          <w:sz w:val="24"/>
          <w:lang w:val="en-US" w:eastAsia="zh-CN"/>
        </w:rPr>
      </w:pPr>
      <w:r>
        <w:rPr>
          <w:rFonts w:hint="eastAsia" w:ascii="宋体" w:hAnsi="宋体"/>
          <w:b/>
          <w:bCs/>
          <w:sz w:val="24"/>
          <w:lang w:val="en-US" w:eastAsia="zh-CN"/>
        </w:rPr>
        <w:t>采购需求清单：</w:t>
      </w:r>
    </w:p>
    <w:tbl>
      <w:tblPr>
        <w:tblStyle w:val="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15"/>
        <w:gridCol w:w="2100"/>
        <w:gridCol w:w="4335"/>
        <w:gridCol w:w="407"/>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品名</w:t>
            </w:r>
          </w:p>
        </w:tc>
        <w:tc>
          <w:tcPr>
            <w:tcW w:w="6435" w:type="dxa"/>
            <w:gridSpan w:val="2"/>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规格、型号</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教师机</w:t>
            </w:r>
          </w:p>
        </w:tc>
        <w:tc>
          <w:tcPr>
            <w:tcW w:w="6435" w:type="dxa"/>
            <w:gridSpan w:val="2"/>
            <w:vAlign w:val="center"/>
          </w:tcPr>
          <w:p>
            <w:r>
              <w:rPr>
                <w:rFonts w:hint="eastAsia"/>
              </w:rPr>
              <w:t>配置要求：</w:t>
            </w:r>
          </w:p>
          <w:p>
            <w:r>
              <w:t>1</w:t>
            </w:r>
            <w:r>
              <w:rPr>
                <w:rFonts w:hint="eastAsia"/>
              </w:rPr>
              <w:t>．</w:t>
            </w:r>
            <w:r>
              <w:t>商用台式电脑</w:t>
            </w:r>
          </w:p>
          <w:p>
            <w:r>
              <w:t>2</w:t>
            </w:r>
            <w:r>
              <w:rPr>
                <w:rFonts w:hint="eastAsia"/>
              </w:rPr>
              <w:t>．</w:t>
            </w:r>
            <w:r>
              <w:t>CPU：Intel Core i</w:t>
            </w:r>
            <w:r>
              <w:rPr>
                <w:rFonts w:hint="eastAsia"/>
              </w:rPr>
              <w:t>7</w:t>
            </w:r>
            <w:r>
              <w:t>-</w:t>
            </w:r>
            <w:r>
              <w:rPr>
                <w:rFonts w:hint="eastAsia"/>
              </w:rPr>
              <w:t>87</w:t>
            </w:r>
            <w:r>
              <w:t>00 3</w:t>
            </w:r>
            <w:r>
              <w:rPr>
                <w:rFonts w:hint="eastAsia"/>
              </w:rPr>
              <w:t>.</w:t>
            </w:r>
            <w:r>
              <w:t>2GHz,6C</w:t>
            </w:r>
            <w:r>
              <w:rPr>
                <w:rFonts w:hint="eastAsia"/>
              </w:rPr>
              <w:t>及以上；</w:t>
            </w:r>
          </w:p>
          <w:p>
            <w:r>
              <w:t>3</w:t>
            </w:r>
            <w:r>
              <w:rPr>
                <w:rFonts w:hint="eastAsia"/>
              </w:rPr>
              <w:t>．</w:t>
            </w:r>
            <w:r>
              <w:t>内存：</w:t>
            </w:r>
            <w:r>
              <w:rPr>
                <w:rFonts w:hint="eastAsia"/>
              </w:rPr>
              <w:t>8</w:t>
            </w:r>
            <w:r>
              <w:t>GB DDR4 2666 UDIMM，支持双内存插槽</w:t>
            </w:r>
            <w:r>
              <w:rPr>
                <w:rFonts w:hint="eastAsia"/>
              </w:rPr>
              <w:t>及以上；</w:t>
            </w:r>
          </w:p>
          <w:p>
            <w:r>
              <w:t>4</w:t>
            </w:r>
            <w:r>
              <w:rPr>
                <w:rFonts w:hint="eastAsia"/>
              </w:rPr>
              <w:t>．</w:t>
            </w:r>
            <w:r>
              <w:t>硬盘：</w:t>
            </w:r>
            <w:r>
              <w:rPr>
                <w:rFonts w:hint="eastAsia"/>
              </w:rPr>
              <w:t>1T 7200RPM SATA机械硬盘+256</w:t>
            </w:r>
            <w:r>
              <w:t xml:space="preserve">GB SSD M.2 </w:t>
            </w:r>
            <w:r>
              <w:rPr>
                <w:rFonts w:hint="eastAsia"/>
              </w:rPr>
              <w:t>2280</w:t>
            </w:r>
            <w:r>
              <w:t xml:space="preserve"> NVMe TLC；持双硬盘</w:t>
            </w:r>
            <w:r>
              <w:rPr>
                <w:rFonts w:hint="eastAsia"/>
              </w:rPr>
              <w:t>及以上；</w:t>
            </w:r>
          </w:p>
          <w:p>
            <w:r>
              <w:t>5</w:t>
            </w:r>
            <w:r>
              <w:rPr>
                <w:rFonts w:hint="eastAsia"/>
              </w:rPr>
              <w:t>．</w:t>
            </w:r>
            <w:r>
              <w:t>★主板芯片组</w:t>
            </w:r>
            <w:r>
              <w:rPr>
                <w:rFonts w:hint="eastAsia"/>
              </w:rPr>
              <w:t>：</w:t>
            </w:r>
            <w:r>
              <w:t>INTEL B3</w:t>
            </w:r>
            <w:r>
              <w:rPr>
                <w:rFonts w:hint="eastAsia"/>
              </w:rPr>
              <w:t>6</w:t>
            </w:r>
            <w:r>
              <w:t>0芯片组及以上；</w:t>
            </w:r>
          </w:p>
          <w:p>
            <w:r>
              <w:t>6</w:t>
            </w:r>
            <w:r>
              <w:rPr>
                <w:rFonts w:hint="eastAsia"/>
              </w:rPr>
              <w:t>．</w:t>
            </w:r>
            <w:r>
              <w:t>显卡：RX550X 4GB</w:t>
            </w:r>
            <w:r>
              <w:rPr>
                <w:rFonts w:hint="eastAsia"/>
              </w:rPr>
              <w:t>独立显卡</w:t>
            </w:r>
            <w:r>
              <w:t>；</w:t>
            </w:r>
          </w:p>
          <w:p>
            <w:r>
              <w:t>7</w:t>
            </w:r>
            <w:r>
              <w:rPr>
                <w:rFonts w:hint="eastAsia"/>
              </w:rPr>
              <w:t>．</w:t>
            </w:r>
            <w:r>
              <w:t>★端口：不少于8个USB接口（不少于6个USB 3.1 Gen 1端口，其中前置4个USB 3.1 Gen 1）；5.1声道声卡，提供前2后3共5个音频接口；可支持串口、并口；主板集成2个视频接口（其中至少1个VGA）扩展槽：1个PCI-E*16、2个PCI-E*1、</w:t>
            </w:r>
          </w:p>
          <w:p>
            <w:r>
              <w:t>8</w:t>
            </w:r>
            <w:r>
              <w:rPr>
                <w:rFonts w:hint="eastAsia"/>
              </w:rPr>
              <w:t>．</w:t>
            </w:r>
            <w:r>
              <w:t>★安全：原厂USB屏蔽技术，管理员权限开启后仅识别USB键鼠设备，无法识别USB读写设备（优盘、移动硬盘），有效管理设备，保护数据</w:t>
            </w:r>
            <w:r>
              <w:rPr>
                <w:rFonts w:hint="eastAsia"/>
              </w:rPr>
              <w:t>；（不开启此功能U</w:t>
            </w:r>
            <w:r>
              <w:t>SB</w:t>
            </w:r>
            <w:r>
              <w:rPr>
                <w:rFonts w:hint="eastAsia"/>
              </w:rPr>
              <w:t>接口可以正常使用。）</w:t>
            </w:r>
          </w:p>
          <w:p>
            <w:r>
              <w:t>9</w:t>
            </w:r>
            <w:r>
              <w:rPr>
                <w:rFonts w:hint="eastAsia"/>
              </w:rPr>
              <w:t xml:space="preserve">． </w:t>
            </w:r>
            <w:r>
              <w:t>电源 ：不大于180W高效节能环保电源；                               </w:t>
            </w:r>
          </w:p>
          <w:p>
            <w:r>
              <w:t>10</w:t>
            </w:r>
            <w:r>
              <w:rPr>
                <w:rFonts w:hint="eastAsia"/>
              </w:rPr>
              <w:t>．</w:t>
            </w:r>
            <w:r>
              <w:t>机箱：不大于15L标准MATX立式机箱，可带机箱防尘罩，顶置电源键；</w:t>
            </w:r>
          </w:p>
          <w:p>
            <w:r>
              <w:t>11</w:t>
            </w:r>
            <w:r>
              <w:rPr>
                <w:rFonts w:hint="eastAsia"/>
              </w:rPr>
              <w:t>．配置2.</w:t>
            </w:r>
            <w:r>
              <w:t>0</w:t>
            </w:r>
            <w:r>
              <w:rPr>
                <w:rFonts w:hint="eastAsia"/>
              </w:rPr>
              <w:t>音箱一对，木质箱体，功率不小于2</w:t>
            </w:r>
            <w:r>
              <w:t>0W</w:t>
            </w:r>
            <w:r>
              <w:rPr>
                <w:rFonts w:hint="eastAsia"/>
              </w:rPr>
              <w:t>。</w:t>
            </w:r>
          </w:p>
          <w:p>
            <w:r>
              <w:t>12. 随机应用：智能云教室应用，能实现网络同传、云部署功能镜像集中管理和压缩上传，支持跨网段，不停机后台自动部署。</w:t>
            </w:r>
          </w:p>
          <w:p>
            <w:r>
              <w:t>13. 显示器：</w:t>
            </w:r>
            <w:r>
              <w:rPr>
                <w:rFonts w:hint="eastAsia"/>
              </w:rPr>
              <w:t xml:space="preserve">24寸 </w:t>
            </w:r>
            <w:r>
              <w:t>宽屏液晶显示器</w:t>
            </w:r>
            <w:r>
              <w:rPr>
                <w:rFonts w:hint="eastAsia"/>
              </w:rPr>
              <w:t>及以上；</w:t>
            </w:r>
          </w:p>
          <w:p>
            <w:r>
              <w:t>14</w:t>
            </w:r>
            <w:r>
              <w:rPr>
                <w:rFonts w:hint="eastAsia"/>
              </w:rPr>
              <w:t>.</w:t>
            </w:r>
            <w:r>
              <w:t xml:space="preserve"> USB</w:t>
            </w:r>
            <w:r>
              <w:rPr>
                <w:rFonts w:hint="eastAsia"/>
              </w:rPr>
              <w:t>接口有线键盘鼠标；</w:t>
            </w:r>
          </w:p>
          <w:p>
            <w:r>
              <w:t>15</w:t>
            </w:r>
            <w:r>
              <w:rPr>
                <w:rFonts w:hint="eastAsia"/>
              </w:rPr>
              <w:t>．</w:t>
            </w:r>
            <w:r>
              <w:t>系统：Windows 10 64bit简体中文版</w:t>
            </w:r>
          </w:p>
          <w:p>
            <w:r>
              <w:rPr>
                <w:rFonts w:hint="eastAsia"/>
              </w:rPr>
              <w:t>1</w:t>
            </w:r>
            <w:r>
              <w:t>6</w:t>
            </w:r>
            <w:r>
              <w:rPr>
                <w:rFonts w:hint="eastAsia"/>
              </w:rPr>
              <w:t>．售后服务：</w:t>
            </w:r>
            <w:r>
              <w:rPr>
                <w:rFonts w:hint="eastAsia" w:ascii="宋体" w:hAnsi="宋体" w:eastAsia="宋体" w:cs="宋体"/>
                <w:szCs w:val="21"/>
              </w:rPr>
              <w:t>保修：三年免费保修+三年免费上门服务；</w:t>
            </w:r>
          </w:p>
          <w:p>
            <w:r>
              <w:t>17</w:t>
            </w:r>
            <w:r>
              <w:rPr>
                <w:rFonts w:hint="eastAsia"/>
              </w:rPr>
              <w:t>．</w:t>
            </w:r>
            <w:r>
              <w:t>投标供应商必须出具生产厂家针对此项目的项目授权书原件和售后服务承诺函原件，加盖原厂鲜章。</w:t>
            </w:r>
          </w:p>
          <w:p>
            <w:r>
              <w:t>18</w:t>
            </w:r>
            <w:r>
              <w:rPr>
                <w:rFonts w:hint="eastAsia"/>
              </w:rPr>
              <w:t>．台机无故障运行时间（MTBF）≥100万小时认证，提供相关证明；</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学生电脑</w:t>
            </w:r>
          </w:p>
        </w:tc>
        <w:tc>
          <w:tcPr>
            <w:tcW w:w="6435" w:type="dxa"/>
            <w:gridSpan w:val="2"/>
            <w:vAlign w:val="center"/>
          </w:tcPr>
          <w:p>
            <w:r>
              <w:rPr>
                <w:rFonts w:hint="eastAsia"/>
              </w:rPr>
              <w:t>配置要求：</w:t>
            </w:r>
          </w:p>
          <w:p>
            <w:r>
              <w:t>1</w:t>
            </w:r>
            <w:r>
              <w:rPr>
                <w:rFonts w:hint="eastAsia"/>
              </w:rPr>
              <w:t>．</w:t>
            </w:r>
            <w:r>
              <w:t>商用台式电脑；</w:t>
            </w:r>
          </w:p>
          <w:p>
            <w:r>
              <w:t>2</w:t>
            </w:r>
            <w:r>
              <w:rPr>
                <w:rFonts w:hint="eastAsia"/>
              </w:rPr>
              <w:t>．</w:t>
            </w:r>
            <w:r>
              <w:t>CPU：Intel酷睿系列八代处理器 I5-</w:t>
            </w:r>
            <w:r>
              <w:rPr>
                <w:rFonts w:hint="eastAsia"/>
              </w:rPr>
              <w:t>9</w:t>
            </w:r>
            <w:r>
              <w:t>500</w:t>
            </w:r>
            <w:r>
              <w:rPr>
                <w:rFonts w:hint="eastAsia"/>
              </w:rPr>
              <w:t>,</w:t>
            </w:r>
            <w:r>
              <w:t>3.0GHz,6C</w:t>
            </w:r>
            <w:r>
              <w:rPr>
                <w:rFonts w:hint="eastAsia"/>
              </w:rPr>
              <w:t>及以上</w:t>
            </w:r>
          </w:p>
          <w:p>
            <w:r>
              <w:t>3</w:t>
            </w:r>
            <w:r>
              <w:rPr>
                <w:rFonts w:hint="eastAsia"/>
              </w:rPr>
              <w:t>．</w:t>
            </w:r>
            <w:r>
              <w:t>内存：8</w:t>
            </w:r>
            <w:r>
              <w:rPr>
                <w:rFonts w:hint="eastAsia"/>
              </w:rPr>
              <w:t>G</w:t>
            </w:r>
            <w:r>
              <w:t xml:space="preserve"> DDR4 2666，双内存插槽</w:t>
            </w:r>
            <w:r>
              <w:rPr>
                <w:rFonts w:hint="eastAsia"/>
              </w:rPr>
              <w:t>及以上；</w:t>
            </w:r>
          </w:p>
          <w:p>
            <w:r>
              <w:t>4</w:t>
            </w:r>
            <w:r>
              <w:rPr>
                <w:rFonts w:hint="eastAsia"/>
              </w:rPr>
              <w:t>．</w:t>
            </w:r>
            <w:r>
              <w:t>硬盘：</w:t>
            </w:r>
            <w:r>
              <w:rPr>
                <w:rFonts w:hint="eastAsia"/>
              </w:rPr>
              <w:t>256G固态硬盘及以上；</w:t>
            </w:r>
          </w:p>
          <w:p>
            <w:r>
              <w:t>5</w:t>
            </w:r>
            <w:r>
              <w:rPr>
                <w:rFonts w:hint="eastAsia"/>
              </w:rPr>
              <w:t>．</w:t>
            </w:r>
            <w:r>
              <w:t>主板芯片组：不低于INTEL 300系列B360芯片组；</w:t>
            </w:r>
          </w:p>
          <w:p>
            <w:r>
              <w:t>6</w:t>
            </w:r>
            <w:r>
              <w:rPr>
                <w:rFonts w:hint="eastAsia"/>
              </w:rPr>
              <w:t>．</w:t>
            </w:r>
            <w:r>
              <w:t>显卡：</w:t>
            </w:r>
            <w:r>
              <w:rPr>
                <w:rFonts w:hint="eastAsia"/>
              </w:rPr>
              <w:t>集成显卡</w:t>
            </w:r>
            <w:r>
              <w:t>；</w:t>
            </w:r>
          </w:p>
          <w:p>
            <w:r>
              <w:t>7</w:t>
            </w:r>
            <w:r>
              <w:rPr>
                <w:rFonts w:hint="eastAsia"/>
              </w:rPr>
              <w:t>．</w:t>
            </w:r>
            <w:r>
              <w:t>端口：8个USB端口（其中6个USB 3.1 Gen 1高速端口，包含2个USB 3.1 Gen 2超高速端口）；带双视频接口VGA+HDMI；</w:t>
            </w:r>
          </w:p>
          <w:p>
            <w:r>
              <w:t>8</w:t>
            </w:r>
            <w:r>
              <w:rPr>
                <w:rFonts w:hint="eastAsia"/>
              </w:rPr>
              <w:t>．</w:t>
            </w:r>
            <w:r>
              <w:t>安全：原厂USB屏蔽技术，管理员权限开启后仅识别USB键鼠，无法识别USB读写设备（优盘、移动硬盘），有效管理机房设备，防止数据丢失；</w:t>
            </w:r>
            <w:r>
              <w:rPr>
                <w:rFonts w:hint="eastAsia"/>
              </w:rPr>
              <w:t>（不开启此功能U</w:t>
            </w:r>
            <w:r>
              <w:t>SB</w:t>
            </w:r>
            <w:r>
              <w:rPr>
                <w:rFonts w:hint="eastAsia"/>
              </w:rPr>
              <w:t>接口可以正常使用。）</w:t>
            </w:r>
          </w:p>
          <w:p>
            <w:r>
              <w:t>9</w:t>
            </w:r>
            <w:r>
              <w:rPr>
                <w:rFonts w:hint="eastAsia"/>
              </w:rPr>
              <w:t>．</w:t>
            </w:r>
            <w:r>
              <w:t>电源：不大于180W节能环保电源，须满足85% Plus高能效转换比电源；</w:t>
            </w:r>
          </w:p>
          <w:p>
            <w:r>
              <w:t>10</w:t>
            </w:r>
            <w:r>
              <w:rPr>
                <w:rFonts w:hint="eastAsia"/>
              </w:rPr>
              <w:t>．</w:t>
            </w:r>
            <w:r>
              <w:t>机箱：标准MATX立式机箱，机箱尺寸≤10L，顶置电源键；</w:t>
            </w:r>
          </w:p>
          <w:p>
            <w:r>
              <w:t>11</w:t>
            </w:r>
            <w:r>
              <w:rPr>
                <w:rFonts w:hint="eastAsia"/>
              </w:rPr>
              <w:t>．</w:t>
            </w:r>
            <w:r>
              <w:t>系统：原厂预装正版Windows 10 64bit简体中文版操作系统，微软正版可查；</w:t>
            </w:r>
          </w:p>
          <w:p>
            <w:r>
              <w:t>12</w:t>
            </w:r>
            <w:r>
              <w:rPr>
                <w:rFonts w:hint="eastAsia"/>
              </w:rPr>
              <w:t>．</w:t>
            </w:r>
            <w:r>
              <w:t>显示器：</w:t>
            </w:r>
            <w:r>
              <w:rPr>
                <w:rFonts w:hint="eastAsia"/>
              </w:rPr>
              <w:t>19</w:t>
            </w:r>
            <w:r>
              <w:t>.5’寸宽屏低蓝光护眼液晶显示器，提供国际莱茵TUV低蓝光</w:t>
            </w:r>
            <w:r>
              <w:rPr>
                <w:rFonts w:hint="eastAsia"/>
              </w:rPr>
              <w:t>认证证书</w:t>
            </w:r>
            <w:r>
              <w:t>，加盖原厂鲜章；</w:t>
            </w:r>
          </w:p>
          <w:p>
            <w:r>
              <w:rPr>
                <w:rFonts w:hint="eastAsia"/>
              </w:rPr>
              <w:t>1</w:t>
            </w:r>
            <w:r>
              <w:t>3</w:t>
            </w:r>
            <w:r>
              <w:rPr>
                <w:rFonts w:hint="eastAsia"/>
              </w:rPr>
              <w:t>.</w:t>
            </w:r>
            <w:r>
              <w:t xml:space="preserve">  USB</w:t>
            </w:r>
            <w:r>
              <w:rPr>
                <w:rFonts w:hint="eastAsia"/>
              </w:rPr>
              <w:t>接口有线键盘鼠标；</w:t>
            </w:r>
          </w:p>
          <w:p>
            <w:r>
              <w:rPr>
                <w:rFonts w:hint="eastAsia"/>
              </w:rPr>
              <w:t>1</w:t>
            </w:r>
            <w:r>
              <w:t>4</w:t>
            </w:r>
            <w:r>
              <w:rPr>
                <w:rFonts w:hint="eastAsia"/>
              </w:rPr>
              <w:t>．售后服务：</w:t>
            </w:r>
            <w:r>
              <w:rPr>
                <w:rFonts w:hint="eastAsia" w:ascii="宋体" w:hAnsi="宋体" w:eastAsia="宋体" w:cs="宋体"/>
                <w:szCs w:val="21"/>
              </w:rPr>
              <w:t>保修：三年免费保修+三年免费上门服务；</w:t>
            </w:r>
          </w:p>
          <w:p>
            <w:r>
              <w:t>15</w:t>
            </w:r>
            <w:r>
              <w:rPr>
                <w:rFonts w:hint="eastAsia"/>
              </w:rPr>
              <w:t>．</w:t>
            </w:r>
            <w:r>
              <w:t xml:space="preserve">投标供应商必须出具生产厂家针对此项目的项目授权书原件和售后服务承诺函原件，加盖原厂鲜章。 </w:t>
            </w:r>
          </w:p>
          <w:p>
            <w:r>
              <w:t>17</w:t>
            </w:r>
            <w:r>
              <w:rPr>
                <w:rFonts w:hint="eastAsia"/>
              </w:rPr>
              <w:t>．台机无故障运行时间（MTBF）≥100万小时认证，提供相关证明；</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套</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ascii="宋体" w:hAnsi="宋体" w:eastAsia="宋体" w:cs="宋体"/>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计算机教室教学软件</w:t>
            </w:r>
          </w:p>
        </w:tc>
        <w:tc>
          <w:tcPr>
            <w:tcW w:w="6435" w:type="dxa"/>
            <w:gridSpan w:val="2"/>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满足教学所需,1个教师控制点,5</w:t>
            </w: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个学生点。</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实现屏幕教学演示与示范、屏幕监视、遥控辅导、黑屏肃静、屏幕录制、屏幕回放、VCD/MPEG/AVI/MP3/WAV/MOV/RM/RMVB等视频流的网络播放、网络考试和在线考试、试卷管理和共享、网上语音广播、两人对讲和多方讨论、语音监听、联机讨论、同步文件传输、提交作业、远程命令、电子教鞭、电子黑板与白板、电子抢答、电子点名、网上消息、电子举手、获取远端信息、获取学生机打开的程序和进程信息、学生上线情况即时监测、锁定学生机的键盘和鼠标、远程开关机和重启、学生机同步升级服务、计划任务、时间提醒、自定义功能面板、班级和学生管理等；并可以直接使用软件厂商搭建的考试服务器，无须自行安装和维护，就可以完全使用网络考试和在线考试功能，以实现在学校里的课堂练习与考试功能，同时实现在学生家里的电子作业功能。</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套</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教师桌椅</w:t>
            </w:r>
          </w:p>
        </w:tc>
        <w:tc>
          <w:tcPr>
            <w:tcW w:w="6435" w:type="dxa"/>
            <w:gridSpan w:val="2"/>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教师桌：1200mm×600mm×760mm，1、桌面、键盘与抽屉面板材质：优质三聚氰胺防火板，厚16mm。旁板、背板、中竖板、中隔板及其它板材：三聚氰胺防火板，厚16mm。3、桌面正面封边：采用PVC鸭嘴带，厚12mm。4、板材暴露断面封边：采用PVC同色封边条，厚1mm。5、抽屉滑轨：采用优质厚度为1.3mm冷轧钢滑轨。6、有专门的穿线槽。教师椅：可升降电脑转椅。</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套</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网络机柜</w:t>
            </w:r>
          </w:p>
        </w:tc>
        <w:tc>
          <w:tcPr>
            <w:tcW w:w="6435" w:type="dxa"/>
            <w:gridSpan w:val="2"/>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U 墙柜1.5mm冷轧钢板</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60" w:type="dxa"/>
            <w:vMerge w:val="restart"/>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交换机</w:t>
            </w:r>
          </w:p>
        </w:tc>
        <w:tc>
          <w:tcPr>
            <w:tcW w:w="2100" w:type="dxa"/>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24口千兆交换机</w:t>
            </w:r>
          </w:p>
        </w:tc>
        <w:tc>
          <w:tcPr>
            <w:tcW w:w="4335" w:type="dxa"/>
            <w:vMerge w:val="restart"/>
            <w:vAlign w:val="center"/>
          </w:tcPr>
          <w:p>
            <w:pPr>
              <w:textAlignment w:val="center"/>
              <w:outlineLvl w:val="1"/>
              <w:rPr>
                <w:rFonts w:ascii="宋体" w:hAnsi="宋体" w:eastAsia="宋体" w:cs="宋体"/>
                <w:color w:val="0070C0"/>
                <w:sz w:val="24"/>
              </w:rPr>
            </w:pPr>
            <w:r>
              <w:rPr>
                <w:rFonts w:hint="eastAsia" w:ascii="宋体" w:hAnsi="宋体" w:eastAsia="宋体" w:cs="宋体"/>
                <w:color w:val="0070C0"/>
                <w:sz w:val="24"/>
              </w:rPr>
              <w:t>（同一品牌）</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60" w:type="dxa"/>
            <w:vMerge w:val="continue"/>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交换机</w:t>
            </w:r>
          </w:p>
        </w:tc>
        <w:tc>
          <w:tcPr>
            <w:tcW w:w="2100" w:type="dxa"/>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16</w:t>
            </w:r>
            <w:r>
              <w:rPr>
                <w:rFonts w:hint="eastAsia" w:ascii="宋体" w:hAnsi="宋体" w:eastAsia="宋体" w:cs="宋体"/>
                <w:color w:val="000000" w:themeColor="text1"/>
                <w:sz w:val="24"/>
                <w14:textFill>
                  <w14:solidFill>
                    <w14:schemeClr w14:val="tx1"/>
                  </w14:solidFill>
                </w14:textFill>
              </w:rPr>
              <w:t>口千兆交换机</w:t>
            </w:r>
          </w:p>
        </w:tc>
        <w:tc>
          <w:tcPr>
            <w:tcW w:w="4335" w:type="dxa"/>
            <w:vMerge w:val="continue"/>
            <w:vAlign w:val="center"/>
          </w:tcPr>
          <w:p>
            <w:pPr>
              <w:textAlignment w:val="center"/>
              <w:outlineLvl w:val="1"/>
              <w:rPr>
                <w:rFonts w:ascii="宋体" w:hAnsi="宋体" w:eastAsia="宋体" w:cs="宋体"/>
                <w:color w:val="000000" w:themeColor="text1"/>
                <w:sz w:val="24"/>
                <w14:textFill>
                  <w14:solidFill>
                    <w14:schemeClr w14:val="tx1"/>
                  </w14:solidFill>
                </w14:textFill>
              </w:rPr>
            </w:pP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学生桌凳</w:t>
            </w:r>
          </w:p>
        </w:tc>
        <w:tc>
          <w:tcPr>
            <w:tcW w:w="6435" w:type="dxa"/>
            <w:gridSpan w:val="2"/>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drawing>
                <wp:anchor distT="0" distB="0" distL="114300" distR="114300" simplePos="0" relativeHeight="251662336" behindDoc="0" locked="0" layoutInCell="1" allowOverlap="1">
                  <wp:simplePos x="0" y="0"/>
                  <wp:positionH relativeFrom="column">
                    <wp:posOffset>213995</wp:posOffset>
                  </wp:positionH>
                  <wp:positionV relativeFrom="paragraph">
                    <wp:posOffset>-39370</wp:posOffset>
                  </wp:positionV>
                  <wp:extent cx="2505075" cy="1881505"/>
                  <wp:effectExtent l="0" t="0" r="9525" b="8255"/>
                  <wp:wrapNone/>
                  <wp:docPr id="3" name="图片 1" descr="C:\Users\Administrator\Desktop\学生机桌子摆放（正六边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学生机桌子摆放（正六边形）.jpg"/>
                          <pic:cNvPicPr>
                            <a:picLocks noChangeAspect="1" noChangeArrowheads="1"/>
                          </pic:cNvPicPr>
                        </pic:nvPicPr>
                        <pic:blipFill>
                          <a:blip r:embed="rId4" cstate="print"/>
                          <a:srcRect/>
                          <a:stretch>
                            <a:fillRect/>
                          </a:stretch>
                        </pic:blipFill>
                        <pic:spPr>
                          <a:xfrm>
                            <a:off x="0" y="0"/>
                            <a:ext cx="2505075" cy="1881505"/>
                          </a:xfrm>
                          <a:prstGeom prst="rect">
                            <a:avLst/>
                          </a:prstGeom>
                          <a:noFill/>
                          <a:ln w="9525">
                            <a:noFill/>
                            <a:miter lim="800000"/>
                            <a:headEnd/>
                            <a:tailEnd/>
                          </a:ln>
                        </pic:spPr>
                      </pic:pic>
                    </a:graphicData>
                  </a:graphic>
                </wp:anchor>
              </w:drawing>
            </w: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drawing>
                <wp:anchor distT="0" distB="0" distL="114300" distR="114300" simplePos="0" relativeHeight="251664384" behindDoc="0" locked="0" layoutInCell="1" allowOverlap="1">
                  <wp:simplePos x="0" y="0"/>
                  <wp:positionH relativeFrom="column">
                    <wp:posOffset>172085</wp:posOffset>
                  </wp:positionH>
                  <wp:positionV relativeFrom="paragraph">
                    <wp:posOffset>157480</wp:posOffset>
                  </wp:positionV>
                  <wp:extent cx="3065780" cy="2076450"/>
                  <wp:effectExtent l="0" t="0" r="12700" b="11430"/>
                  <wp:wrapNone/>
                  <wp:docPr id="4" name="图片 2" descr="C:\Users\Administrator\Desktop\学生机桌子摆放（正六边形）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学生机桌子摆放（正六边形）2.jpg"/>
                          <pic:cNvPicPr>
                            <a:picLocks noChangeAspect="1" noChangeArrowheads="1"/>
                          </pic:cNvPicPr>
                        </pic:nvPicPr>
                        <pic:blipFill>
                          <a:blip r:embed="rId5" cstate="print"/>
                          <a:srcRect/>
                          <a:stretch>
                            <a:fillRect/>
                          </a:stretch>
                        </pic:blipFill>
                        <pic:spPr>
                          <a:xfrm>
                            <a:off x="0" y="0"/>
                            <a:ext cx="3065780" cy="2076450"/>
                          </a:xfrm>
                          <a:prstGeom prst="rect">
                            <a:avLst/>
                          </a:prstGeom>
                          <a:noFill/>
                          <a:ln w="9525">
                            <a:noFill/>
                            <a:miter lim="800000"/>
                            <a:headEnd/>
                            <a:tailEnd/>
                          </a:ln>
                        </pic:spPr>
                      </pic:pic>
                    </a:graphicData>
                  </a:graphic>
                </wp:anchor>
              </w:drawing>
            </w: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textAlignment w:val="center"/>
              <w:outlineLvl w:val="1"/>
              <w:rPr>
                <w:rFonts w:ascii="宋体" w:hAnsi="宋体" w:eastAsia="宋体" w:cs="宋体"/>
                <w:color w:val="000000" w:themeColor="text1"/>
                <w:sz w:val="24"/>
                <w14:textFill>
                  <w14:solidFill>
                    <w14:schemeClr w14:val="tx1"/>
                  </w14:solidFill>
                </w14:textFill>
              </w:rPr>
            </w:pPr>
          </w:p>
          <w:p>
            <w:pPr>
              <w:rPr>
                <w:rFonts w:ascii="宋体" w:hAnsi="宋体" w:eastAsia="宋体" w:cs="宋体"/>
                <w:color w:val="000000" w:themeColor="text1"/>
                <w:sz w:val="24"/>
                <w14:textFill>
                  <w14:solidFill>
                    <w14:schemeClr w14:val="tx1"/>
                  </w14:solidFill>
                </w14:textFill>
              </w:rPr>
            </w:pPr>
          </w:p>
          <w:p>
            <w:pPr>
              <w:rPr>
                <w:rFonts w:ascii="宋体" w:hAnsi="宋体" w:eastAsia="宋体" w:cs="宋体"/>
                <w:color w:val="000000" w:themeColor="text1"/>
                <w:sz w:val="24"/>
                <w:lang w:bidi="ar"/>
                <w14:textFill>
                  <w14:solidFill>
                    <w14:schemeClr w14:val="tx1"/>
                  </w14:solidFill>
                </w14:textFill>
              </w:rPr>
            </w:pPr>
          </w:p>
          <w:p>
            <w:pPr>
              <w:rPr>
                <w:rFonts w:ascii="宋体" w:hAnsi="宋体" w:eastAsia="宋体" w:cs="宋体"/>
                <w:color w:val="000000" w:themeColor="text1"/>
                <w:sz w:val="24"/>
                <w:lang w:bidi="ar"/>
                <w14:textFill>
                  <w14:solidFill>
                    <w14:schemeClr w14:val="tx1"/>
                  </w14:solidFill>
                </w14:textFill>
              </w:rPr>
            </w:pPr>
          </w:p>
          <w:p>
            <w:pPr>
              <w:rPr>
                <w:rFonts w:ascii="宋体" w:hAnsi="宋体" w:eastAsia="宋体" w:cs="宋体"/>
                <w:color w:val="000000" w:themeColor="text1"/>
                <w:sz w:val="24"/>
                <w:lang w:bidi="ar"/>
                <w14:textFill>
                  <w14:solidFill>
                    <w14:schemeClr w14:val="tx1"/>
                  </w14:solidFill>
                </w14:textFill>
              </w:rPr>
            </w:pPr>
          </w:p>
          <w:p>
            <w:pPr>
              <w:rPr>
                <w:rFonts w:ascii="宋体" w:hAnsi="宋体" w:eastAsia="宋体" w:cs="宋体"/>
                <w:color w:val="000000" w:themeColor="text1"/>
                <w:sz w:val="24"/>
                <w:lang w:bidi="ar"/>
                <w14:textFill>
                  <w14:solidFill>
                    <w14:schemeClr w14:val="tx1"/>
                  </w14:solidFill>
                </w14:textFill>
              </w:rPr>
            </w:pPr>
          </w:p>
          <w:p>
            <w:pPr>
              <w:rPr>
                <w:rFonts w:ascii="宋体" w:hAnsi="宋体" w:eastAsia="宋体" w:cs="宋体"/>
                <w:color w:val="000000" w:themeColor="text1"/>
                <w:sz w:val="24"/>
                <w:lang w:bidi="ar"/>
                <w14:textFill>
                  <w14:solidFill>
                    <w14:schemeClr w14:val="tx1"/>
                  </w14:solidFill>
                </w14:textFill>
              </w:rPr>
            </w:pPr>
          </w:p>
          <w:p>
            <w:pPr>
              <w:rPr>
                <w:rFonts w:ascii="宋体" w:hAnsi="宋体" w:eastAsia="宋体" w:cs="宋体"/>
                <w:color w:val="000000" w:themeColor="text1"/>
                <w:sz w:val="24"/>
                <w:lang w:bidi="ar"/>
                <w14:textFill>
                  <w14:solidFill>
                    <w14:schemeClr w14:val="tx1"/>
                  </w14:solidFill>
                </w14:textFill>
              </w:rPr>
            </w:pPr>
          </w:p>
          <w:p>
            <w:pPr>
              <w:rPr>
                <w:rFonts w:ascii="宋体" w:hAnsi="宋体" w:eastAsia="宋体" w:cs="宋体"/>
                <w:color w:val="000000" w:themeColor="text1"/>
                <w:sz w:val="24"/>
                <w:lang w:bidi="ar"/>
                <w14:textFill>
                  <w14:solidFill>
                    <w14:schemeClr w14:val="tx1"/>
                  </w14:solidFill>
                </w14:textFill>
              </w:rPr>
            </w:pPr>
          </w:p>
          <w:p>
            <w:pPr>
              <w:rPr>
                <w:rFonts w:ascii="宋体" w:hAnsi="宋体" w:eastAsia="宋体" w:cs="宋体"/>
                <w:sz w:val="24"/>
              </w:rPr>
            </w:pPr>
            <w:r>
              <w:rPr>
                <w:rFonts w:hint="eastAsia" w:ascii="宋体" w:hAnsi="宋体" w:eastAsia="宋体" w:cs="宋体"/>
                <w:color w:val="000000" w:themeColor="text1"/>
                <w:sz w:val="24"/>
                <w:lang w:bidi="ar"/>
                <w14:textFill>
                  <w14:solidFill>
                    <w14:schemeClr w14:val="tx1"/>
                  </w14:solidFill>
                </w14:textFill>
              </w:rPr>
              <w:t>1、桌面、键盘与抽屉面板材质：优质三聚氰胺防火板，厚16mm。旁板、背板、中竖板、中隔板及其它板材：三聚氰胺防火板，厚16mm。3、桌面正面封边：采用PVC鸭嘴带，厚12mm。4、板材暴露断面封边：采用PVC同色封边条，厚1mm。5、抽屉滑轨：采用优质厚度为1.3mm冷轧钢滑轨。6、有专门的穿线槽。7、规格：370*270*420mm，凳面采用PP工程塑料注塑成型。凳架立柱采用20*40mm方钢，连接杆采用20*20mm方钢，壁厚1.0mm，架子需经过打磨，喷塑。整体结构设计合理，牢固。脚垫采用ABS注塑一体成型，耐磨，安装方便。</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套</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稳压电源</w:t>
            </w:r>
          </w:p>
        </w:tc>
        <w:tc>
          <w:tcPr>
            <w:tcW w:w="6435" w:type="dxa"/>
            <w:gridSpan w:val="2"/>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输入电压范围：单相：180V～260VAC 额定输出电压：220V±1% 额定频率：50/60HZ 额定功率≥30KVA</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UPS</w:t>
            </w:r>
          </w:p>
        </w:tc>
        <w:tc>
          <w:tcPr>
            <w:tcW w:w="6435" w:type="dxa"/>
            <w:gridSpan w:val="2"/>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UPS 1000VA</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0" w:type="dxa"/>
            <w:vAlign w:val="center"/>
          </w:tcPr>
          <w:p>
            <w:pPr>
              <w:jc w:val="center"/>
              <w:textAlignment w:val="center"/>
              <w:outlineLvl w:val="1"/>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w:t>
            </w:r>
          </w:p>
        </w:tc>
        <w:tc>
          <w:tcPr>
            <w:tcW w:w="1215" w:type="dxa"/>
            <w:vAlign w:val="center"/>
          </w:tcPr>
          <w:p>
            <w:pPr>
              <w:jc w:val="center"/>
              <w:textAlignment w:val="center"/>
              <w:outlineLvl w:val="1"/>
              <w:rPr>
                <w:rFonts w:ascii="宋体" w:hAnsi="宋体" w:eastAsia="宋体" w:cs="宋体"/>
                <w:sz w:val="24"/>
              </w:rPr>
            </w:pPr>
            <w:r>
              <w:rPr>
                <w:rFonts w:hint="eastAsia" w:ascii="宋体" w:hAnsi="宋体" w:eastAsia="宋体" w:cs="宋体"/>
                <w:sz w:val="24"/>
              </w:rPr>
              <w:t>光纤</w:t>
            </w:r>
          </w:p>
        </w:tc>
        <w:tc>
          <w:tcPr>
            <w:tcW w:w="6435" w:type="dxa"/>
            <w:gridSpan w:val="2"/>
            <w:vAlign w:val="center"/>
          </w:tcPr>
          <w:p>
            <w:pPr>
              <w:textAlignment w:val="center"/>
              <w:outlineLvl w:val="1"/>
              <w:rPr>
                <w:rFonts w:ascii="宋体" w:hAnsi="宋体" w:eastAsia="宋体" w:cs="宋体"/>
                <w:sz w:val="24"/>
              </w:rPr>
            </w:pPr>
            <w:r>
              <w:rPr>
                <w:rFonts w:ascii="宋体" w:hAnsi="宋体" w:eastAsia="宋体" w:cs="宋体"/>
                <w:sz w:val="24"/>
              </w:rPr>
              <w:t>300</w:t>
            </w:r>
            <w:r>
              <w:rPr>
                <w:rFonts w:hint="eastAsia" w:ascii="宋体" w:hAnsi="宋体" w:eastAsia="宋体" w:cs="宋体"/>
                <w:sz w:val="24"/>
              </w:rPr>
              <w:t>米4芯光纤，千兆光纤收发器一对及配套辅材，从前楼中心机房至后楼计算机机房光纤连通，包括放线，融纤等，保证机房网络联通。</w:t>
            </w:r>
          </w:p>
        </w:tc>
        <w:tc>
          <w:tcPr>
            <w:tcW w:w="407" w:type="dxa"/>
            <w:vAlign w:val="center"/>
          </w:tcPr>
          <w:p>
            <w:pPr>
              <w:jc w:val="center"/>
              <w:textAlignment w:val="center"/>
              <w:outlineLvl w:val="1"/>
              <w:rPr>
                <w:rFonts w:ascii="宋体" w:hAnsi="宋体" w:eastAsia="宋体" w:cs="宋体"/>
                <w:sz w:val="24"/>
              </w:rPr>
            </w:pPr>
            <w:r>
              <w:rPr>
                <w:rFonts w:hint="eastAsia" w:ascii="宋体" w:hAnsi="宋体" w:eastAsia="宋体" w:cs="宋体"/>
                <w:sz w:val="24"/>
              </w:rPr>
              <w:t>项</w:t>
            </w:r>
          </w:p>
        </w:tc>
        <w:tc>
          <w:tcPr>
            <w:tcW w:w="529" w:type="dxa"/>
            <w:vAlign w:val="center"/>
          </w:tcPr>
          <w:p>
            <w:pPr>
              <w:jc w:val="center"/>
              <w:textAlignment w:val="center"/>
              <w:outlineLvl w:val="1"/>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0" w:type="dxa"/>
            <w:vAlign w:val="center"/>
          </w:tcPr>
          <w:p>
            <w:pPr>
              <w:jc w:val="center"/>
              <w:textAlignment w:val="center"/>
              <w:outlineLvl w:val="1"/>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p>
        </w:tc>
        <w:tc>
          <w:tcPr>
            <w:tcW w:w="1215" w:type="dxa"/>
            <w:vAlign w:val="center"/>
          </w:tcPr>
          <w:p>
            <w:pPr>
              <w:jc w:val="center"/>
              <w:textAlignment w:val="center"/>
              <w:outlineLvl w:val="1"/>
              <w:rPr>
                <w:rFonts w:ascii="宋体" w:hAnsi="宋体" w:eastAsia="宋体" w:cs="宋体"/>
                <w:sz w:val="24"/>
              </w:rPr>
            </w:pPr>
            <w:r>
              <w:rPr>
                <w:rFonts w:hint="eastAsia" w:ascii="宋体" w:hAnsi="宋体" w:eastAsia="宋体" w:cs="宋体"/>
                <w:sz w:val="24"/>
              </w:rPr>
              <w:t>机房搬迁</w:t>
            </w:r>
          </w:p>
        </w:tc>
        <w:tc>
          <w:tcPr>
            <w:tcW w:w="6435" w:type="dxa"/>
            <w:gridSpan w:val="2"/>
            <w:vAlign w:val="center"/>
          </w:tcPr>
          <w:p>
            <w:pPr>
              <w:textAlignment w:val="center"/>
              <w:outlineLvl w:val="1"/>
              <w:rPr>
                <w:rFonts w:ascii="宋体" w:hAnsi="宋体" w:eastAsia="宋体" w:cs="宋体"/>
                <w:sz w:val="24"/>
              </w:rPr>
            </w:pPr>
            <w:r>
              <w:rPr>
                <w:rFonts w:hint="eastAsia" w:ascii="宋体" w:hAnsi="宋体" w:eastAsia="宋体" w:cs="宋体"/>
                <w:sz w:val="24"/>
              </w:rPr>
              <w:t>现有</w:t>
            </w:r>
            <w:r>
              <w:rPr>
                <w:rFonts w:hint="eastAsia" w:ascii="宋体" w:hAnsi="宋体" w:eastAsia="宋体" w:cs="宋体"/>
                <w:sz w:val="24"/>
                <w:lang w:val="en-US" w:eastAsia="zh-CN"/>
              </w:rPr>
              <w:t>之前</w:t>
            </w:r>
            <w:r>
              <w:rPr>
                <w:rFonts w:hint="eastAsia" w:ascii="宋体" w:hAnsi="宋体" w:eastAsia="宋体" w:cs="宋体"/>
                <w:sz w:val="24"/>
              </w:rPr>
              <w:t>微机机房由前楼1楼整体搬迁至后楼4楼，包含</w:t>
            </w:r>
            <w:r>
              <w:rPr>
                <w:rFonts w:hint="eastAsia" w:ascii="宋体" w:hAnsi="宋体" w:eastAsia="宋体" w:cs="宋体"/>
                <w:sz w:val="24"/>
                <w:lang w:val="en-US" w:eastAsia="zh-CN"/>
              </w:rPr>
              <w:t>55</w:t>
            </w:r>
            <w:r>
              <w:rPr>
                <w:rFonts w:hint="eastAsia" w:ascii="宋体" w:hAnsi="宋体" w:eastAsia="宋体" w:cs="宋体"/>
                <w:sz w:val="24"/>
              </w:rPr>
              <w:t>台电脑，</w:t>
            </w:r>
            <w:r>
              <w:rPr>
                <w:rFonts w:hint="eastAsia" w:ascii="宋体" w:hAnsi="宋体" w:eastAsia="宋体" w:cs="宋体"/>
                <w:sz w:val="24"/>
                <w:lang w:val="en-US" w:eastAsia="zh-CN"/>
              </w:rPr>
              <w:t>55</w:t>
            </w:r>
            <w:r>
              <w:rPr>
                <w:rFonts w:hint="eastAsia" w:ascii="宋体" w:hAnsi="宋体" w:eastAsia="宋体" w:cs="宋体"/>
                <w:sz w:val="24"/>
              </w:rPr>
              <w:t>套桌椅，搬迁到新机房后的电脑安装、网线及电源线安装，搬迁工作完成后保证机房正常工作。</w:t>
            </w:r>
          </w:p>
        </w:tc>
        <w:tc>
          <w:tcPr>
            <w:tcW w:w="407" w:type="dxa"/>
            <w:vAlign w:val="center"/>
          </w:tcPr>
          <w:p>
            <w:pPr>
              <w:jc w:val="center"/>
              <w:textAlignment w:val="center"/>
              <w:outlineLvl w:val="1"/>
              <w:rPr>
                <w:rFonts w:ascii="宋体" w:hAnsi="宋体" w:eastAsia="宋体" w:cs="宋体"/>
                <w:sz w:val="24"/>
              </w:rPr>
            </w:pPr>
            <w:r>
              <w:rPr>
                <w:rFonts w:hint="eastAsia" w:ascii="宋体" w:hAnsi="宋体" w:eastAsia="宋体" w:cs="宋体"/>
                <w:sz w:val="24"/>
              </w:rPr>
              <w:t>项</w:t>
            </w:r>
          </w:p>
        </w:tc>
        <w:tc>
          <w:tcPr>
            <w:tcW w:w="529" w:type="dxa"/>
            <w:vAlign w:val="center"/>
          </w:tcPr>
          <w:p>
            <w:pPr>
              <w:jc w:val="center"/>
              <w:textAlignment w:val="center"/>
              <w:outlineLvl w:val="1"/>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460"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2</w:t>
            </w:r>
          </w:p>
        </w:tc>
        <w:tc>
          <w:tcPr>
            <w:tcW w:w="1215"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系统集成</w:t>
            </w:r>
          </w:p>
        </w:tc>
        <w:tc>
          <w:tcPr>
            <w:tcW w:w="6435" w:type="dxa"/>
            <w:gridSpan w:val="2"/>
            <w:vAlign w:val="center"/>
          </w:tcPr>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1、网线、电线使用纯铜芯线缆，一体化系统安装需要的辅材辅料，控制线、网络线、音频、多位多口插板、PVC管件等。</w:t>
            </w: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2.网线产品性能及技术参数</w:t>
            </w: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（1）纯铜芯网线：1000BASE-T以太网（1000Mbps）；（2）网线通过Fluke测试；（3）导体：实心无氧裸铜导体 Φ0.57mm；（4）绝缘：HDPE Φ0.9mm；（5）线对数: 8芯4对双绞线；（6）护套：阻燃PVC或低烟无卤阻燃料LSZH；（7）屏蔽：编织网+铝箔+地线；（9）超过TIA/EIA-568B.2-1六类标准；（10）阻抗；100ohms±15﹪，IMHzto 600MHz；（11）传输延迟：536ns/100m max.@250MHz；（12）延迟偏移：45ns max；（13）导体电阻：66.58 ohms max/km；（14）电容：5.6NF max/100m；（15）直流电阻：≤7.55Ω；（16）耐压：300 volts AC or DC；（17）弯曲半径：1英寸（4倍电缆直径）；（18）额定速率：70 nom％；（19）UL/NEC等级：CMR;（20）数字通信用水平对绞电缆，应用于大楼综合布线系统中工作区通信引出端与交接间的配线架之间的布线，以及住宅综合布线系统的用户通信引出端到配线架之间的布线，按ANSI/TIA/EIA-568-B颜色编码标色;（21）适合EIA/TIA 568A/B通用线序。               </w:t>
            </w: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3.水晶头：1000M，六类千兆水晶头，高标准、高品质，镀金50U  符合六类传输标准；</w:t>
            </w: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4.绞合导体纯铜芯电线：主线使用符合20千瓦功率，其他使用符合5千瓦功率，纯度≥％99.90  </w:t>
            </w: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抗拉强度≥N/mm2  A8(120-150)  伸长率 ≥％40 A8(6)</w:t>
            </w: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冷变形：一般不大于4％  塑性材料，电线电缆用软铜线要求断裂伸长率不下于25％。</w:t>
            </w: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5、布线要规范，安全、网线要留口</w:t>
            </w:r>
          </w:p>
          <w:p>
            <w:pP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6.所有布线要用PVC管埋地、穿墙，不露线在外。</w:t>
            </w:r>
          </w:p>
        </w:tc>
        <w:tc>
          <w:tcPr>
            <w:tcW w:w="407"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批</w:t>
            </w:r>
          </w:p>
        </w:tc>
        <w:tc>
          <w:tcPr>
            <w:tcW w:w="529" w:type="dxa"/>
            <w:vAlign w:val="center"/>
          </w:tcPr>
          <w:p>
            <w:pPr>
              <w:jc w:val="center"/>
              <w:textAlignment w:val="center"/>
              <w:outlineLvl w:val="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bl>
    <w:p>
      <w:pPr>
        <w:rPr>
          <w:sz w:val="28"/>
          <w:szCs w:val="28"/>
          <w:highlight w:val="none"/>
        </w:rPr>
      </w:pPr>
      <w:r>
        <w:rPr>
          <w:rFonts w:hint="eastAsia"/>
          <w:sz w:val="28"/>
          <w:szCs w:val="28"/>
          <w:highlight w:val="none"/>
          <w:lang w:val="en-US" w:eastAsia="zh-CN"/>
        </w:rPr>
        <w:t>注：</w:t>
      </w:r>
      <w:r>
        <w:rPr>
          <w:sz w:val="28"/>
          <w:szCs w:val="28"/>
          <w:highlight w:val="none"/>
        </w:rPr>
        <w:t>以上辅材以完成项目实际</w:t>
      </w:r>
      <w:r>
        <w:rPr>
          <w:rFonts w:hint="eastAsia"/>
          <w:sz w:val="28"/>
          <w:szCs w:val="28"/>
          <w:highlight w:val="none"/>
          <w:lang w:eastAsia="zh-CN"/>
        </w:rPr>
        <w:t>需要</w:t>
      </w:r>
      <w:r>
        <w:rPr>
          <w:sz w:val="28"/>
          <w:szCs w:val="28"/>
          <w:highlight w:val="none"/>
        </w:rPr>
        <w:t>为准，以上数量仅供参考！</w:t>
      </w:r>
    </w:p>
    <w:p>
      <w:pPr>
        <w:keepNext w:val="0"/>
        <w:keepLines w:val="0"/>
        <w:pageBreakBefore w:val="0"/>
        <w:widowControl w:val="0"/>
        <w:kinsoku/>
        <w:wordWrap/>
        <w:overflowPunct/>
        <w:topLinePunct w:val="0"/>
        <w:bidi w:val="0"/>
        <w:snapToGrid/>
        <w:spacing w:line="480" w:lineRule="auto"/>
        <w:textAlignment w:val="auto"/>
        <w:rPr>
          <w:rFonts w:hint="eastAsia" w:ascii="宋体" w:hAnsi="宋体"/>
          <w:b/>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362A9"/>
    <w:rsid w:val="02B727BB"/>
    <w:rsid w:val="07C77146"/>
    <w:rsid w:val="352A0BCF"/>
    <w:rsid w:val="45323CA5"/>
    <w:rsid w:val="601362A9"/>
    <w:rsid w:val="6E67646A"/>
    <w:rsid w:val="7C59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sz w:val="24"/>
    </w:rPr>
  </w:style>
  <w:style w:type="paragraph" w:styleId="3">
    <w:name w:val="Plain Text"/>
    <w:basedOn w:val="1"/>
    <w:qFormat/>
    <w:uiPriority w:val="0"/>
    <w:rPr>
      <w:rFonts w:ascii="宋体" w:hAnsi="Courier New"/>
      <w:szCs w:val="20"/>
    </w:rPr>
  </w:style>
  <w:style w:type="paragraph" w:customStyle="1" w:styleId="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2019-04-08T05:51:00Z</dcterms:created>
  <dc:creator>Administrator</dc:creator>
  <cp:lastModifiedBy>ASUS</cp:lastModifiedBy>
  <dcterms:modified xsi:type="dcterms:W3CDTF">2020-06-10T05:44:00Z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