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36"/>
          <w:szCs w:val="36"/>
        </w:rPr>
      </w:pP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bCs w:val="0"/>
          <w:color w:val="000000"/>
          <w:spacing w:val="-4"/>
          <w:sz w:val="44"/>
          <w:szCs w:val="44"/>
        </w:rPr>
      </w:pP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2"/>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2"/>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铜仁市中心城区标定地价制定</w:t>
      </w:r>
    </w:p>
    <w:p>
      <w:pPr>
        <w:pStyle w:val="2"/>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TRZFCG-2020-063</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6"/>
        <w:spacing w:line="360" w:lineRule="auto"/>
        <w:ind w:firstLine="0"/>
        <w:jc w:val="both"/>
        <w:rPr>
          <w:rFonts w:hint="eastAsia" w:cs="Arial"/>
          <w:b/>
          <w:bCs/>
          <w:sz w:val="32"/>
        </w:rPr>
      </w:pPr>
    </w:p>
    <w:p>
      <w:pPr>
        <w:pStyle w:val="6"/>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8"/>
        <w:rPr>
          <w:rFonts w:hint="eastAsia" w:ascii="宋体" w:hAnsi="宋体"/>
          <w:b/>
          <w:bCs/>
          <w:sz w:val="30"/>
          <w:szCs w:val="30"/>
        </w:rPr>
      </w:pPr>
    </w:p>
    <w:p>
      <w:pPr>
        <w:pStyle w:val="8"/>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铜仁市自然资源局</w:t>
      </w:r>
      <w:r>
        <w:rPr>
          <w:rFonts w:hint="eastAsia" w:hAnsi="宋体"/>
          <w:color w:val="000000"/>
          <w:sz w:val="24"/>
          <w:szCs w:val="24"/>
        </w:rPr>
        <w:t>委托，对</w:t>
      </w:r>
      <w:r>
        <w:rPr>
          <w:rFonts w:hint="eastAsia" w:hAnsi="宋体"/>
          <w:b/>
          <w:bCs/>
          <w:color w:val="000000"/>
          <w:sz w:val="24"/>
          <w:szCs w:val="24"/>
          <w:lang w:eastAsia="zh-CN"/>
        </w:rPr>
        <w:t>铜仁市中心城区标定地价制定</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铜仁市中心城区标定地价制定</w:t>
      </w:r>
    </w:p>
    <w:p>
      <w:pPr>
        <w:pStyle w:val="2"/>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TRZFCG-2020-063</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 xml:space="preserve"> 6</w:t>
      </w:r>
      <w:r>
        <w:rPr>
          <w:rFonts w:hint="eastAsia" w:ascii="宋体" w:hAnsi="宋体"/>
          <w:color w:val="0000FF"/>
          <w:sz w:val="24"/>
        </w:rPr>
        <w:t>月</w:t>
      </w:r>
      <w:r>
        <w:rPr>
          <w:rFonts w:hint="eastAsia" w:ascii="宋体" w:hAnsi="宋体"/>
          <w:color w:val="0000FF"/>
          <w:sz w:val="24"/>
          <w:lang w:val="en-US" w:eastAsia="zh-CN"/>
        </w:rPr>
        <w:t>5</w:t>
      </w:r>
      <w:r>
        <w:rPr>
          <w:rFonts w:hint="eastAsia" w:ascii="宋体" w:hAnsi="宋体"/>
          <w:color w:val="0000FF"/>
          <w:sz w:val="24"/>
        </w:rPr>
        <w:t>日</w:t>
      </w:r>
      <w:r>
        <w:rPr>
          <w:rFonts w:hint="eastAsia" w:ascii="宋体" w:hAnsi="宋体"/>
          <w:color w:val="0000FF"/>
          <w:sz w:val="24"/>
          <w:lang w:val="en-US" w:eastAsia="zh-CN"/>
        </w:rPr>
        <w:t>9:00</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9日17:00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18"/>
          <w:color w:val="000000"/>
          <w:sz w:val="24"/>
          <w:szCs w:val="24"/>
        </w:rPr>
        <w:t>http://</w:t>
      </w:r>
      <w:r>
        <w:rPr>
          <w:rStyle w:val="18"/>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7"/>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2"/>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2"/>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2020年6月10日10:00前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2"/>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730000</w:t>
      </w:r>
      <w:r>
        <w:rPr>
          <w:rFonts w:hint="eastAsia" w:ascii="宋体" w:hAnsi="宋体"/>
          <w:color w:val="000000"/>
          <w:sz w:val="24"/>
        </w:rPr>
        <w:t>元</w:t>
      </w:r>
      <w:r>
        <w:rPr>
          <w:rFonts w:hint="eastAsia" w:ascii="宋体" w:hAnsi="宋体"/>
          <w:color w:val="000000"/>
          <w:sz w:val="24"/>
          <w:lang w:val="en-US" w:eastAsia="zh-CN"/>
        </w:rPr>
        <w:t>(最高限价：730000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20年6</w:t>
      </w:r>
      <w:r>
        <w:rPr>
          <w:rFonts w:hint="eastAsia" w:ascii="宋体" w:hAnsi="宋体"/>
          <w:b/>
          <w:bCs/>
          <w:color w:val="0000FF"/>
          <w:sz w:val="24"/>
        </w:rPr>
        <w:t>月</w:t>
      </w:r>
      <w:r>
        <w:rPr>
          <w:rFonts w:hint="eastAsia" w:ascii="宋体" w:hAnsi="宋体"/>
          <w:b/>
          <w:bCs/>
          <w:color w:val="0000FF"/>
          <w:sz w:val="24"/>
          <w:lang w:val="en-US" w:eastAsia="zh-CN"/>
        </w:rPr>
        <w:t>10</w:t>
      </w:r>
      <w:r>
        <w:rPr>
          <w:rFonts w:hint="eastAsia" w:ascii="宋体" w:hAnsi="宋体"/>
          <w:b/>
          <w:bCs/>
          <w:color w:val="0000FF"/>
          <w:sz w:val="24"/>
        </w:rPr>
        <w:t>日</w:t>
      </w:r>
      <w:r>
        <w:rPr>
          <w:rFonts w:hint="eastAsia" w:ascii="宋体" w:hAnsi="宋体"/>
          <w:b/>
          <w:bCs/>
          <w:color w:val="0000FF"/>
          <w:sz w:val="24"/>
          <w:lang w:val="en-US" w:eastAsia="zh-CN"/>
        </w:rPr>
        <w:t>10:00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：杨玄</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铜仁市自然资源局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杨桂林</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18386029766</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2"/>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0"/>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铜仁市中心城区标定地价制定</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铜仁市自然资源局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铜仁市自然资源局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铜仁市中心城区标定地价制定</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TRZFCG-2020-063</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73万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5000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bookmarkStart w:id="35" w:name="_GoBack"/>
      <w:bookmarkEnd w:id="35"/>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0"/>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0"/>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left"/>
        <w:rPr>
          <w:rFonts w:hint="eastAsia" w:hAnsi="宋体"/>
          <w:sz w:val="24"/>
          <w:lang w:eastAsia="zh-CN"/>
        </w:rPr>
      </w:pPr>
    </w:p>
    <w:p>
      <w:pPr>
        <w:pStyle w:val="2"/>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left="0" w:leftChars="0" w:right="0" w:rightChars="0" w:firstLine="218" w:firstLineChars="91"/>
        <w:jc w:val="left"/>
        <w:textAlignment w:val="auto"/>
        <w:rPr>
          <w:rFonts w:hint="eastAsia" w:hAnsi="宋体"/>
          <w:sz w:val="24"/>
          <w:lang w:eastAsia="zh-CN"/>
        </w:rPr>
      </w:pPr>
      <w:r>
        <w:rPr>
          <w:rFonts w:hint="eastAsia" w:hAnsi="宋体"/>
          <w:sz w:val="24"/>
          <w:lang w:val="en-US" w:eastAsia="zh-CN"/>
        </w:rPr>
        <w:t xml:space="preserve"> </w:t>
      </w: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8"/>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10.7资质声明函</w:t>
      </w:r>
    </w:p>
    <w:p>
      <w:pPr>
        <w:pStyle w:val="2"/>
        <w:rPr>
          <w:rFonts w:hint="eastAsia" w:ascii="宋体" w:hAnsi="宋体" w:eastAsia="宋体" w:cs="宋体"/>
          <w:kern w:val="2"/>
          <w:sz w:val="24"/>
          <w:szCs w:val="24"/>
          <w:lang w:val="en-US" w:eastAsia="zh-CN" w:bidi="ar"/>
        </w:rPr>
      </w:pPr>
      <w:r>
        <w:rPr>
          <w:rFonts w:hint="eastAsia" w:hAnsi="宋体" w:eastAsia="宋体" w:cs="宋体"/>
          <w:kern w:val="2"/>
          <w:sz w:val="24"/>
          <w:szCs w:val="24"/>
          <w:lang w:val="en-US" w:eastAsia="zh-CN" w:bidi="ar"/>
        </w:rPr>
        <w:t xml:space="preserve">    10.8</w:t>
      </w:r>
      <w:r>
        <w:rPr>
          <w:rFonts w:hint="eastAsia" w:ascii="宋体" w:hAnsi="宋体" w:eastAsia="宋体" w:cs="宋体"/>
          <w:kern w:val="2"/>
          <w:sz w:val="24"/>
          <w:szCs w:val="24"/>
          <w:lang w:val="en-US" w:eastAsia="zh-CN" w:bidi="ar"/>
        </w:rPr>
        <w:t>谈判响应供应商提交的其他资料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Fonts w:hint="eastAsia" w:hAnsi="宋体"/>
          <w:sz w:val="24"/>
          <w:lang w:val="en-US" w:eastAsia="zh-CN"/>
        </w:rPr>
        <w:t>12.9</w:t>
      </w:r>
      <w:r>
        <w:rPr>
          <w:rStyle w:val="30"/>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1.</w:t>
      </w:r>
      <w:r>
        <w:rPr>
          <w:rStyle w:val="30"/>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·登录公共资源电子交易系统（</w:t>
      </w:r>
      <w:r>
        <w:rPr>
          <w:rStyle w:val="30"/>
          <w:rFonts w:hint="eastAsia" w:ascii="宋体" w:hAnsi="宋体"/>
          <w:sz w:val="24"/>
          <w:szCs w:val="24"/>
          <w:lang w:val="en-US" w:eastAsia="zh-CN"/>
        </w:rPr>
        <w:t>jyzx.trs.gov.cn</w:t>
      </w:r>
      <w:r>
        <w:rPr>
          <w:rStyle w:val="30"/>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2.</w:t>
      </w:r>
      <w:r>
        <w:rPr>
          <w:rStyle w:val="30"/>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0"/>
          <w:rFonts w:hint="eastAsia" w:ascii="宋体" w:hAnsi="宋体" w:eastAsia="宋体"/>
          <w:sz w:val="24"/>
          <w:szCs w:val="24"/>
          <w:lang w:val="en-US" w:eastAsia="zh-CN"/>
        </w:rPr>
      </w:pPr>
      <w:r>
        <w:rPr>
          <w:rStyle w:val="30"/>
          <w:rFonts w:hint="eastAsia" w:ascii="宋体" w:hAnsi="宋体"/>
          <w:sz w:val="24"/>
          <w:szCs w:val="24"/>
          <w:lang w:val="en-US" w:eastAsia="zh-CN"/>
        </w:rPr>
        <w:t>·点【打印保证金回执单】按钮，查看确认到账回执信息，打印留存备用。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pStyle w:val="2"/>
        <w:spacing w:line="360" w:lineRule="auto"/>
        <w:jc w:val="both"/>
        <w:rPr>
          <w:rFonts w:ascii="Times New Roman" w:hAnsi="Times New Roman" w:eastAsia="仿宋_GB2312"/>
          <w:b/>
          <w:bCs/>
          <w:sz w:val="44"/>
        </w:rPr>
      </w:pPr>
    </w:p>
    <w:p>
      <w:pPr>
        <w:pStyle w:val="2"/>
        <w:spacing w:line="360" w:lineRule="auto"/>
        <w:jc w:val="center"/>
        <w:rPr>
          <w:rFonts w:hint="eastAsia" w:ascii="宋体" w:hAnsi="宋体" w:eastAsiaTheme="minorEastAsia" w:cstheme="minorBidi"/>
          <w:b/>
          <w:bCs/>
          <w:kern w:val="2"/>
          <w:sz w:val="36"/>
          <w:szCs w:val="36"/>
          <w:lang w:val="en-US" w:eastAsia="zh-CN" w:bidi="ar-SA"/>
        </w:rPr>
      </w:pPr>
      <w:r>
        <w:rPr>
          <w:rFonts w:hint="eastAsia" w:ascii="宋体" w:hAnsi="宋体" w:eastAsiaTheme="minorEastAsia" w:cstheme="minorBidi"/>
          <w:b/>
          <w:bCs/>
          <w:kern w:val="2"/>
          <w:sz w:val="36"/>
          <w:szCs w:val="36"/>
          <w:lang w:val="en-US" w:eastAsia="zh-CN" w:bidi="ar-SA"/>
        </w:rPr>
        <w:t>铜仁市中心城区标定地价制定项目</w:t>
      </w:r>
    </w:p>
    <w:p>
      <w:pPr>
        <w:pStyle w:val="2"/>
        <w:spacing w:line="360" w:lineRule="auto"/>
        <w:jc w:val="center"/>
        <w:rPr>
          <w:rFonts w:ascii="Times New Roman" w:hAnsi="Times New Roman" w:eastAsia="黑体"/>
          <w:bCs/>
          <w:sz w:val="48"/>
          <w:szCs w:val="44"/>
        </w:rPr>
      </w:pPr>
      <w:r>
        <w:rPr>
          <w:rFonts w:hint="eastAsia" w:ascii="宋体" w:hAnsi="宋体" w:eastAsiaTheme="minorEastAsia" w:cstheme="minorBidi"/>
          <w:b/>
          <w:bCs/>
          <w:kern w:val="2"/>
          <w:sz w:val="36"/>
          <w:szCs w:val="36"/>
          <w:lang w:val="en-US" w:eastAsia="zh-CN" w:bidi="ar-SA"/>
        </w:rPr>
        <w:t>工作方案</w:t>
      </w:r>
    </w:p>
    <w:p>
      <w:pPr>
        <w:spacing w:line="360" w:lineRule="auto"/>
        <w:ind w:firstLine="640" w:firstLineChars="200"/>
        <w:rPr>
          <w:rFonts w:ascii="Times New Roman" w:hAnsi="Times New Roman" w:eastAsia="仿宋_GB2312"/>
          <w:color w:val="auto"/>
          <w:sz w:val="32"/>
          <w:szCs w:val="28"/>
        </w:rPr>
      </w:pPr>
      <w:bookmarkStart w:id="3" w:name="_Toc492022538"/>
      <w:bookmarkStart w:id="4" w:name="_Toc492022540"/>
      <w:bookmarkStart w:id="5" w:name="_Toc492022712"/>
      <w:bookmarkStart w:id="6" w:name="_Toc23662"/>
      <w:bookmarkStart w:id="7" w:name="_Toc492022765"/>
      <w:r>
        <w:rPr>
          <w:rFonts w:ascii="Times New Roman" w:hAnsi="Times New Roman" w:eastAsia="仿宋_GB2312"/>
          <w:color w:val="auto"/>
          <w:sz w:val="32"/>
          <w:szCs w:val="28"/>
        </w:rPr>
        <w:t>根据《国土资源部办公厅关于加强公示地价体系建设和管理有关问题的通知》（国土资厅发〔2017〕27号），提出将于2017年8月开始，在全国范围内全面开展基准地价电子化备案、制订公共服务项目用地基准地价、完善农用地和集体建设用地基准地价、加快推进标定地价体系建设等四项工作。</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贵州省自然资源</w:t>
      </w:r>
      <w:r>
        <w:rPr>
          <w:rFonts w:hint="eastAsia" w:ascii="Times New Roman" w:hAnsi="Times New Roman" w:eastAsia="仿宋_GB2312"/>
          <w:color w:val="auto"/>
          <w:sz w:val="32"/>
          <w:szCs w:val="28"/>
        </w:rPr>
        <w:t>厅</w:t>
      </w:r>
      <w:r>
        <w:rPr>
          <w:rFonts w:ascii="Times New Roman" w:hAnsi="Times New Roman" w:eastAsia="仿宋_GB2312"/>
          <w:color w:val="auto"/>
          <w:sz w:val="32"/>
          <w:szCs w:val="28"/>
        </w:rPr>
        <w:t>下发《省国土资源厅关于开展公示地价体系建设和管理工作的通知》（黔国土资地政函〔2017〕102号）和《省自然资源关于做好我省自然资源评估工作的通知》（黔自然资源函〔2019〕882号）文件精神，部署省内公示地价体系建设和管理，要求在全省范围内全面启动所有县（市、区）城镇标定地价公示工作，将该项工作列入2020年度工作目标，确保在2020年12月31日前完成。</w:t>
      </w:r>
    </w:p>
    <w:p>
      <w:pPr>
        <w:pStyle w:val="3"/>
        <w:spacing w:line="360" w:lineRule="auto"/>
        <w:rPr>
          <w:rFonts w:hint="eastAsia" w:ascii="仿宋_GB2312" w:hAnsi="Times New Roman" w:eastAsia="仿宋_GB2312"/>
          <w:color w:val="auto"/>
        </w:rPr>
      </w:pPr>
      <w:bookmarkStart w:id="8" w:name="_Toc492022710"/>
      <w:bookmarkStart w:id="9" w:name="_Toc492022763"/>
      <w:bookmarkStart w:id="10" w:name="_Toc15577"/>
      <w:r>
        <w:rPr>
          <w:rFonts w:hint="eastAsia" w:ascii="仿宋_GB2312" w:hAnsi="Times New Roman" w:eastAsia="仿宋_GB2312"/>
          <w:color w:val="auto"/>
        </w:rPr>
        <w:t>一、标定地价的内涵</w:t>
      </w:r>
      <w:bookmarkEnd w:id="3"/>
      <w:bookmarkEnd w:id="8"/>
      <w:bookmarkEnd w:id="9"/>
      <w:bookmarkEnd w:id="10"/>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根据最新的技术规程及规范“标定地价”定义为“政府为管理需要确定的，标准宗地在现状开发利用、正常市场条件下，某一估价期日法定最高使用年期下的土地权利价格”。</w:t>
      </w:r>
    </w:p>
    <w:p>
      <w:pPr>
        <w:pStyle w:val="3"/>
        <w:spacing w:line="360" w:lineRule="auto"/>
        <w:rPr>
          <w:rFonts w:hint="eastAsia" w:ascii="仿宋_GB2312" w:hAnsi="Times New Roman" w:eastAsia="仿宋_GB2312"/>
          <w:color w:val="auto"/>
        </w:rPr>
      </w:pPr>
      <w:bookmarkStart w:id="11" w:name="_Toc492022539"/>
      <w:bookmarkStart w:id="12" w:name="_Toc1255"/>
      <w:bookmarkStart w:id="13" w:name="_Toc492022711"/>
      <w:bookmarkStart w:id="14" w:name="_Toc492022764"/>
      <w:r>
        <w:rPr>
          <w:rFonts w:hint="eastAsia" w:ascii="仿宋_GB2312" w:hAnsi="Times New Roman" w:eastAsia="仿宋_GB2312"/>
          <w:color w:val="auto"/>
        </w:rPr>
        <w:t>二、城市标定地价公示工作的意义</w:t>
      </w:r>
      <w:bookmarkEnd w:id="11"/>
      <w:bookmarkEnd w:id="12"/>
      <w:bookmarkEnd w:id="13"/>
      <w:bookmarkEnd w:id="14"/>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标定地价公示工作的意义主要体现在以下几个方面：</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1</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标定地价的确定有利于完善地价体系</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标定地价与基准地价是地价管理的基础。通过标定地价的确立，由基准地价、地价动态监测体系以及标定地价构成的“三位一体”公示地价体系，将有利于地价体系的完善。</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2</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标定地价可以为政府管理提供依据</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标定地价可以为国有土地使用权出让评估提供依据，为政府进行土地管理提供参考。通过标定地价的确立，可以精准确定具体宗地的情况，从而更好的调控土地市场。</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3</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标定地价成果的公示有利于建立公开的土地市场</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相对于土地总量来说，交易的土地数量较少，若将标定地价体系中的标准宗地以及评估结果作为公示地价公开，将使得土地市场价格更加地公开。</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4</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标定地价可以比较区域内的地价情况，由此实现土地的合理配置</w:t>
      </w:r>
    </w:p>
    <w:p>
      <w:pPr>
        <w:pStyle w:val="3"/>
        <w:spacing w:line="360" w:lineRule="auto"/>
        <w:rPr>
          <w:rFonts w:hint="eastAsia" w:ascii="仿宋_GB2312" w:hAnsi="Times New Roman" w:eastAsia="仿宋_GB2312"/>
          <w:color w:val="auto"/>
          <w:lang w:eastAsia="zh-CN"/>
        </w:rPr>
      </w:pPr>
      <w:r>
        <w:rPr>
          <w:rFonts w:ascii="Times New Roman" w:hAnsi="Times New Roman" w:eastAsia="仿宋_GB2312"/>
          <w:color w:val="auto"/>
          <w:sz w:val="32"/>
          <w:szCs w:val="28"/>
        </w:rPr>
        <w:t>标定地价的确立，可以掌握同一均质区域类不同用途的标准宗地的地价情况，并且可以以此为基础比较其他宗地的地价情况，从而能够明确土地情况，实现土地的合理配置。</w:t>
      </w:r>
    </w:p>
    <w:p>
      <w:pPr>
        <w:pStyle w:val="3"/>
        <w:spacing w:line="360" w:lineRule="auto"/>
        <w:rPr>
          <w:rFonts w:ascii="仿宋_GB2312" w:hAnsi="Times New Roman" w:eastAsia="仿宋_GB2312"/>
        </w:rPr>
      </w:pPr>
      <w:r>
        <w:rPr>
          <w:rFonts w:hint="eastAsia" w:ascii="仿宋_GB2312" w:hAnsi="Times New Roman" w:eastAsia="仿宋_GB2312"/>
          <w:lang w:eastAsia="zh-CN"/>
        </w:rPr>
        <w:t>三</w:t>
      </w:r>
      <w:r>
        <w:rPr>
          <w:rFonts w:ascii="仿宋_GB2312" w:hAnsi="Times New Roman" w:eastAsia="仿宋_GB2312"/>
        </w:rPr>
        <w:t>、技术路线</w:t>
      </w:r>
      <w:bookmarkEnd w:id="4"/>
      <w:bookmarkEnd w:id="5"/>
      <w:bookmarkEnd w:id="6"/>
      <w:bookmarkEnd w:id="7"/>
    </w:p>
    <w:p>
      <w:pPr>
        <w:spacing w:line="360" w:lineRule="auto"/>
        <w:ind w:firstLine="640" w:firstLineChars="200"/>
        <w:rPr>
          <w:rFonts w:ascii="Times New Roman" w:hAnsi="Times New Roman" w:eastAsia="仿宋_GB2312"/>
          <w:sz w:val="32"/>
          <w:szCs w:val="28"/>
        </w:rPr>
      </w:pPr>
      <w:r>
        <w:rPr>
          <w:rFonts w:ascii="Times New Roman" w:hAnsi="Times New Roman" w:eastAsia="仿宋_GB2312"/>
          <w:sz w:val="32"/>
          <w:szCs w:val="28"/>
        </w:rPr>
        <w:t>根据中国土地勘测规划院《标定地价公示工作试点方案》，结合铜仁市</w:t>
      </w:r>
      <w:r>
        <w:rPr>
          <w:rFonts w:hint="eastAsia" w:ascii="Times New Roman" w:hAnsi="Times New Roman" w:eastAsia="仿宋_GB2312"/>
          <w:sz w:val="32"/>
          <w:szCs w:val="28"/>
        </w:rPr>
        <w:t>中心城区</w:t>
      </w:r>
      <w:r>
        <w:rPr>
          <w:rFonts w:ascii="Times New Roman" w:hAnsi="Times New Roman" w:eastAsia="仿宋_GB2312"/>
          <w:sz w:val="32"/>
          <w:szCs w:val="28"/>
        </w:rPr>
        <w:t>实际情况，标定地价评估主要包括确定评估范围，</w:t>
      </w:r>
      <w:bookmarkStart w:id="15" w:name="_Hlk492121449"/>
      <w:r>
        <w:rPr>
          <w:rFonts w:ascii="Times New Roman" w:hAnsi="Times New Roman" w:eastAsia="仿宋_GB2312"/>
          <w:sz w:val="32"/>
          <w:szCs w:val="28"/>
        </w:rPr>
        <w:t>划分均质地域，代表性标准宗地的布设，标准宗地所处区域市场案例生物调查与分析，标准宗地地价资料收集，标准宗地地价评估，标准宗地地价确定、</w:t>
      </w:r>
      <w:bookmarkStart w:id="16" w:name="_Hlk492121075"/>
      <w:r>
        <w:rPr>
          <w:rFonts w:ascii="Times New Roman" w:hAnsi="Times New Roman" w:eastAsia="仿宋_GB2312"/>
          <w:sz w:val="32"/>
          <w:szCs w:val="28"/>
        </w:rPr>
        <w:t>编制宗地地价修正体系</w:t>
      </w:r>
      <w:bookmarkEnd w:id="15"/>
      <w:bookmarkEnd w:id="16"/>
      <w:r>
        <w:rPr>
          <w:rFonts w:ascii="Times New Roman" w:hAnsi="Times New Roman" w:eastAsia="仿宋_GB2312"/>
          <w:sz w:val="32"/>
          <w:szCs w:val="28"/>
        </w:rPr>
        <w:t>等部分内容。</w:t>
      </w:r>
    </w:p>
    <w:p>
      <w:pPr>
        <w:spacing w:line="360" w:lineRule="auto"/>
        <w:ind w:firstLine="640" w:firstLineChars="200"/>
        <w:rPr>
          <w:rFonts w:ascii="Times New Roman" w:hAnsi="Times New Roman" w:eastAsia="仿宋_GB2312"/>
          <w:sz w:val="32"/>
          <w:szCs w:val="28"/>
        </w:rPr>
      </w:pPr>
      <w:r>
        <w:rPr>
          <w:rFonts w:ascii="Times New Roman" w:hAnsi="Times New Roman" w:eastAsia="仿宋_GB2312"/>
          <w:sz w:val="32"/>
          <w:szCs w:val="28"/>
        </w:rPr>
        <w:t xml:space="preserve">铜仁市标定地价评估技术路线见图1： </w:t>
      </w:r>
    </w:p>
    <w:p>
      <w:pPr>
        <w:spacing w:line="360" w:lineRule="auto"/>
        <w:jc w:val="center"/>
        <w:rPr>
          <w:rFonts w:ascii="Times New Roman" w:hAnsi="Times New Roman" w:eastAsia="仿宋_GB2312"/>
          <w:sz w:val="28"/>
          <w:szCs w:val="18"/>
        </w:rPr>
      </w:pPr>
      <w:r>
        <w:rPr>
          <w:rFonts w:ascii="Times New Roman" w:hAnsi="Times New Roman"/>
        </w:rPr>
        <w:drawing>
          <wp:inline distT="0" distB="0" distL="114300" distR="114300">
            <wp:extent cx="5152390" cy="7315200"/>
            <wp:effectExtent l="0" t="0" r="1016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152390" cy="7315200"/>
                    </a:xfrm>
                    <a:prstGeom prst="rect">
                      <a:avLst/>
                    </a:prstGeom>
                    <a:noFill/>
                    <a:ln w="9525">
                      <a:noFill/>
                    </a:ln>
                  </pic:spPr>
                </pic:pic>
              </a:graphicData>
            </a:graphic>
          </wp:inline>
        </w:drawing>
      </w:r>
    </w:p>
    <w:p>
      <w:pPr>
        <w:spacing w:line="360" w:lineRule="auto"/>
        <w:ind w:firstLine="482" w:firstLineChars="200"/>
        <w:jc w:val="center"/>
        <w:rPr>
          <w:rFonts w:ascii="Times New Roman" w:hAnsi="Times New Roman" w:eastAsia="仿宋_GB2312"/>
          <w:b/>
          <w:sz w:val="24"/>
          <w:szCs w:val="24"/>
        </w:rPr>
      </w:pPr>
      <w:r>
        <w:rPr>
          <w:rFonts w:ascii="Times New Roman" w:hAnsi="Times New Roman" w:eastAsia="仿宋_GB2312"/>
          <w:b/>
          <w:sz w:val="24"/>
          <w:szCs w:val="24"/>
        </w:rPr>
        <w:t xml:space="preserve">图1  </w:t>
      </w:r>
      <w:r>
        <w:rPr>
          <w:rFonts w:hint="eastAsia" w:ascii="Times New Roman" w:hAnsi="Times New Roman" w:eastAsia="仿宋_GB2312"/>
          <w:b/>
          <w:sz w:val="24"/>
          <w:szCs w:val="24"/>
        </w:rPr>
        <w:t>铜仁市</w:t>
      </w:r>
      <w:r>
        <w:rPr>
          <w:rFonts w:ascii="Times New Roman" w:hAnsi="Times New Roman" w:eastAsia="仿宋_GB2312"/>
          <w:b/>
          <w:sz w:val="24"/>
          <w:szCs w:val="24"/>
        </w:rPr>
        <w:t>标定地价工作技术路线图</w:t>
      </w:r>
    </w:p>
    <w:p>
      <w:pPr>
        <w:pStyle w:val="3"/>
        <w:spacing w:line="360" w:lineRule="auto"/>
        <w:ind w:left="0" w:leftChars="0" w:firstLine="0" w:firstLineChars="0"/>
        <w:rPr>
          <w:rFonts w:ascii="仿宋_GB2312" w:hAnsi="Times New Roman" w:eastAsia="仿宋_GB2312"/>
        </w:rPr>
      </w:pPr>
      <w:bookmarkStart w:id="17" w:name="_Toc22024007"/>
      <w:bookmarkStart w:id="18" w:name="_Toc30517"/>
      <w:r>
        <w:rPr>
          <w:rFonts w:hint="eastAsia" w:ascii="仿宋_GB2312" w:hAnsi="Times New Roman" w:eastAsia="仿宋_GB2312"/>
          <w:lang w:val="en-US" w:eastAsia="zh-CN"/>
        </w:rPr>
        <w:t xml:space="preserve">    </w:t>
      </w:r>
      <w:r>
        <w:rPr>
          <w:rFonts w:hint="eastAsia" w:ascii="仿宋_GB2312" w:hAnsi="Times New Roman" w:eastAsia="仿宋_GB2312"/>
          <w:lang w:eastAsia="zh-CN"/>
        </w:rPr>
        <w:t>四</w:t>
      </w:r>
      <w:r>
        <w:rPr>
          <w:rFonts w:ascii="仿宋_GB2312" w:hAnsi="Times New Roman" w:eastAsia="仿宋_GB2312"/>
        </w:rPr>
        <w:t>、技术依据</w:t>
      </w:r>
      <w:bookmarkEnd w:id="17"/>
      <w:bookmarkEnd w:id="18"/>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lang w:val="en-US" w:eastAsia="zh-CN"/>
        </w:rPr>
        <w:t>1</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《标定地价公示工作试点方案》</w:t>
      </w:r>
    </w:p>
    <w:p>
      <w:pPr>
        <w:spacing w:line="360" w:lineRule="auto"/>
        <w:ind w:firstLine="640" w:firstLineChars="200"/>
        <w:rPr>
          <w:rFonts w:ascii="Times New Roman" w:hAnsi="Times New Roman" w:eastAsia="仿宋_GB2312"/>
          <w:color w:val="auto"/>
          <w:sz w:val="32"/>
          <w:szCs w:val="28"/>
        </w:rPr>
      </w:pPr>
      <w:r>
        <w:rPr>
          <w:rFonts w:hint="eastAsia" w:ascii="Times New Roman" w:hAnsi="Times New Roman" w:eastAsia="仿宋_GB2312"/>
          <w:color w:val="auto"/>
          <w:sz w:val="32"/>
          <w:szCs w:val="28"/>
          <w:lang w:val="en-US" w:eastAsia="zh-CN"/>
        </w:rPr>
        <w:t>2</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《城镇土地估价规程》</w:t>
      </w:r>
    </w:p>
    <w:p>
      <w:pPr>
        <w:spacing w:line="360" w:lineRule="auto"/>
        <w:ind w:firstLine="640" w:firstLineChars="200"/>
        <w:rPr>
          <w:rFonts w:ascii="Times New Roman" w:hAnsi="Times New Roman" w:eastAsia="仿宋_GB2312"/>
          <w:color w:val="auto"/>
          <w:sz w:val="32"/>
          <w:szCs w:val="28"/>
        </w:rPr>
      </w:pPr>
      <w:r>
        <w:rPr>
          <w:rFonts w:hint="eastAsia" w:ascii="Times New Roman" w:hAnsi="Times New Roman" w:eastAsia="仿宋_GB2312"/>
          <w:color w:val="auto"/>
          <w:sz w:val="32"/>
          <w:szCs w:val="28"/>
          <w:lang w:val="en-US" w:eastAsia="zh-CN"/>
        </w:rPr>
        <w:t>3</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《国土资源部办公厅关于部署开展2016年度城乡地价调查与监测工作的通知》（国土资厅发[2016]17号）</w:t>
      </w:r>
    </w:p>
    <w:p>
      <w:pPr>
        <w:spacing w:line="360" w:lineRule="auto"/>
        <w:ind w:firstLine="640" w:firstLineChars="200"/>
        <w:rPr>
          <w:rFonts w:ascii="Times New Roman" w:hAnsi="Times New Roman" w:eastAsia="仿宋_GB2312"/>
          <w:color w:val="auto"/>
          <w:sz w:val="32"/>
          <w:szCs w:val="28"/>
        </w:rPr>
      </w:pPr>
      <w:r>
        <w:rPr>
          <w:rFonts w:hint="eastAsia" w:ascii="Times New Roman" w:hAnsi="Times New Roman" w:eastAsia="仿宋_GB2312"/>
          <w:color w:val="auto"/>
          <w:sz w:val="32"/>
          <w:szCs w:val="28"/>
          <w:lang w:val="en-US" w:eastAsia="zh-CN"/>
        </w:rPr>
        <w:t>4</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《国土资源部办公厅关于部署开展2017年度城乡地价调查与监测工作的通知》（国土资厅发[2017]16号）</w:t>
      </w:r>
    </w:p>
    <w:p>
      <w:pPr>
        <w:spacing w:line="360" w:lineRule="auto"/>
        <w:ind w:firstLine="640" w:firstLineChars="200"/>
        <w:rPr>
          <w:rFonts w:ascii="Times New Roman" w:hAnsi="Times New Roman" w:eastAsia="仿宋_GB2312"/>
          <w:color w:val="auto"/>
          <w:sz w:val="32"/>
          <w:szCs w:val="28"/>
        </w:rPr>
      </w:pPr>
      <w:r>
        <w:rPr>
          <w:rFonts w:hint="eastAsia" w:ascii="Times New Roman" w:hAnsi="Times New Roman" w:eastAsia="仿宋_GB2312"/>
          <w:color w:val="auto"/>
          <w:sz w:val="32"/>
          <w:szCs w:val="28"/>
          <w:lang w:val="en-US" w:eastAsia="zh-CN"/>
        </w:rPr>
        <w:t>5</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《省国土资源厅关于开展公示地价体系建设和管理工作的通知》（黔国土资地政函〔2017〕102号）</w:t>
      </w:r>
    </w:p>
    <w:p>
      <w:pPr>
        <w:spacing w:line="360" w:lineRule="auto"/>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auto"/>
          <w:sz w:val="32"/>
          <w:szCs w:val="28"/>
          <w:lang w:val="en-US" w:eastAsia="zh-CN"/>
        </w:rPr>
        <w:t>6</w:t>
      </w:r>
      <w:r>
        <w:rPr>
          <w:rFonts w:hint="eastAsia" w:ascii="Times New Roman" w:hAnsi="Times New Roman" w:eastAsia="仿宋_GB2312"/>
          <w:color w:val="auto"/>
          <w:sz w:val="32"/>
          <w:szCs w:val="28"/>
        </w:rPr>
        <w:t>.</w:t>
      </w:r>
      <w:r>
        <w:rPr>
          <w:rFonts w:ascii="Times New Roman" w:hAnsi="Times New Roman" w:eastAsia="仿宋_GB2312"/>
          <w:color w:val="auto"/>
          <w:sz w:val="32"/>
          <w:szCs w:val="28"/>
        </w:rPr>
        <w:t>《</w:t>
      </w:r>
      <w:r>
        <w:rPr>
          <w:rFonts w:hint="eastAsia" w:ascii="Times New Roman" w:hAnsi="Times New Roman" w:eastAsia="仿宋_GB2312"/>
          <w:color w:val="auto"/>
          <w:sz w:val="32"/>
          <w:szCs w:val="28"/>
        </w:rPr>
        <w:t>省自然资源关于做好我省自然资源评估工作的通知</w:t>
      </w:r>
      <w:r>
        <w:rPr>
          <w:rFonts w:ascii="Times New Roman" w:hAnsi="Times New Roman" w:eastAsia="仿宋_GB2312"/>
          <w:color w:val="auto"/>
          <w:sz w:val="32"/>
          <w:szCs w:val="28"/>
        </w:rPr>
        <w:t>》（黔</w:t>
      </w:r>
      <w:r>
        <w:rPr>
          <w:rFonts w:hint="eastAsia" w:ascii="Times New Roman" w:hAnsi="Times New Roman" w:eastAsia="仿宋_GB2312"/>
          <w:color w:val="auto"/>
          <w:sz w:val="32"/>
          <w:szCs w:val="28"/>
        </w:rPr>
        <w:t>自然资源函</w:t>
      </w:r>
      <w:r>
        <w:rPr>
          <w:rFonts w:ascii="Times New Roman" w:hAnsi="Times New Roman" w:eastAsia="仿宋_GB2312"/>
          <w:color w:val="auto"/>
          <w:sz w:val="32"/>
          <w:szCs w:val="28"/>
        </w:rPr>
        <w:t>〔2019〕882号）</w:t>
      </w:r>
      <w:r>
        <w:rPr>
          <w:rFonts w:hint="eastAsia" w:ascii="Times New Roman" w:hAnsi="Times New Roman" w:eastAsia="仿宋_GB2312"/>
          <w:color w:val="auto"/>
          <w:sz w:val="32"/>
          <w:szCs w:val="28"/>
        </w:rPr>
        <w:t xml:space="preserve"> </w:t>
      </w:r>
      <w:r>
        <w:rPr>
          <w:rFonts w:ascii="Times New Roman" w:hAnsi="Times New Roman" w:eastAsia="仿宋_GB2312"/>
          <w:color w:val="000000"/>
          <w:sz w:val="32"/>
          <w:szCs w:val="32"/>
        </w:rPr>
        <w:t xml:space="preserve"> </w:t>
      </w:r>
    </w:p>
    <w:p>
      <w:pPr>
        <w:pStyle w:val="3"/>
        <w:spacing w:line="360" w:lineRule="auto"/>
        <w:ind w:left="0" w:leftChars="0" w:firstLine="0" w:firstLineChars="0"/>
        <w:rPr>
          <w:rFonts w:ascii="仿宋_GB2312" w:hAnsi="Times New Roman" w:eastAsia="仿宋_GB2312"/>
        </w:rPr>
      </w:pPr>
      <w:bookmarkStart w:id="19" w:name="_Toc470259398"/>
      <w:bookmarkStart w:id="20" w:name="_Toc492022720"/>
      <w:bookmarkStart w:id="21" w:name="_Toc490664339"/>
      <w:bookmarkStart w:id="22" w:name="_Toc29052"/>
      <w:bookmarkStart w:id="23" w:name="_Toc492022548"/>
      <w:bookmarkStart w:id="24" w:name="_Toc471726306"/>
      <w:bookmarkStart w:id="25" w:name="_Toc492022773"/>
      <w:r>
        <w:rPr>
          <w:rFonts w:hint="eastAsia" w:ascii="仿宋_GB2312" w:hAnsi="Times New Roman" w:eastAsia="仿宋_GB2312"/>
          <w:lang w:val="en-US" w:eastAsia="zh-CN"/>
        </w:rPr>
        <w:t xml:space="preserve">    </w:t>
      </w:r>
      <w:r>
        <w:rPr>
          <w:rFonts w:hint="eastAsia" w:ascii="仿宋_GB2312" w:hAnsi="Times New Roman" w:eastAsia="仿宋_GB2312"/>
          <w:lang w:eastAsia="zh-CN"/>
        </w:rPr>
        <w:t>五</w:t>
      </w:r>
      <w:r>
        <w:rPr>
          <w:rFonts w:ascii="仿宋_GB2312" w:hAnsi="Times New Roman" w:eastAsia="仿宋_GB2312"/>
        </w:rPr>
        <w:t>、工作组织与人员安排</w:t>
      </w:r>
      <w:bookmarkEnd w:id="19"/>
      <w:bookmarkEnd w:id="20"/>
      <w:bookmarkEnd w:id="21"/>
      <w:bookmarkEnd w:id="22"/>
      <w:bookmarkEnd w:id="23"/>
      <w:bookmarkEnd w:id="24"/>
      <w:bookmarkEnd w:id="25"/>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项目技术组，主要由技术承担单位的工作人员组成，全面负责铜仁市</w:t>
      </w:r>
      <w:r>
        <w:rPr>
          <w:rFonts w:hint="eastAsia" w:ascii="Times New Roman" w:hAnsi="Times New Roman" w:eastAsia="仿宋_GB2312"/>
          <w:color w:val="auto"/>
          <w:sz w:val="32"/>
          <w:szCs w:val="28"/>
        </w:rPr>
        <w:t>中心城区</w:t>
      </w:r>
      <w:r>
        <w:rPr>
          <w:rFonts w:ascii="Times New Roman" w:hAnsi="Times New Roman" w:eastAsia="仿宋_GB2312"/>
          <w:color w:val="auto"/>
          <w:sz w:val="32"/>
          <w:szCs w:val="28"/>
        </w:rPr>
        <w:t>标定地价</w:t>
      </w:r>
      <w:r>
        <w:rPr>
          <w:rFonts w:hint="eastAsia" w:ascii="Times New Roman" w:hAnsi="Times New Roman" w:eastAsia="仿宋_GB2312"/>
          <w:color w:val="auto"/>
          <w:sz w:val="32"/>
          <w:szCs w:val="28"/>
        </w:rPr>
        <w:t>制订工作</w:t>
      </w:r>
      <w:r>
        <w:rPr>
          <w:rFonts w:ascii="Times New Roman" w:hAnsi="Times New Roman" w:eastAsia="仿宋_GB2312"/>
          <w:color w:val="auto"/>
          <w:sz w:val="32"/>
          <w:szCs w:val="28"/>
        </w:rPr>
        <w:t>，拟定工作技术方案、收集与整理分析资料，完成标定地价</w:t>
      </w:r>
      <w:r>
        <w:rPr>
          <w:rFonts w:hint="eastAsia" w:ascii="Times New Roman" w:hAnsi="Times New Roman" w:eastAsia="仿宋_GB2312"/>
          <w:color w:val="auto"/>
          <w:sz w:val="32"/>
          <w:szCs w:val="28"/>
        </w:rPr>
        <w:t>制订</w:t>
      </w:r>
      <w:r>
        <w:rPr>
          <w:rFonts w:ascii="Times New Roman" w:hAnsi="Times New Roman" w:eastAsia="仿宋_GB2312"/>
          <w:color w:val="auto"/>
          <w:sz w:val="32"/>
          <w:szCs w:val="28"/>
        </w:rPr>
        <w:t>，编制宗地地价修正体系，完成数据库建设，负责提交符合技术标准的项目成果。</w:t>
      </w:r>
    </w:p>
    <w:p>
      <w:pPr>
        <w:pStyle w:val="3"/>
        <w:spacing w:line="360" w:lineRule="auto"/>
        <w:ind w:left="0" w:leftChars="0" w:firstLine="0" w:firstLineChars="0"/>
        <w:rPr>
          <w:rFonts w:ascii="仿宋_GB2312" w:hAnsi="Times New Roman" w:eastAsia="仿宋_GB2312"/>
        </w:rPr>
      </w:pPr>
      <w:bookmarkStart w:id="26" w:name="_Toc22211"/>
      <w:bookmarkStart w:id="27" w:name="_Toc387754697"/>
      <w:bookmarkStart w:id="28" w:name="_Toc492022721"/>
      <w:bookmarkStart w:id="29" w:name="_Toc492022774"/>
      <w:bookmarkStart w:id="30" w:name="_Toc492022549"/>
      <w:r>
        <w:rPr>
          <w:rFonts w:hint="eastAsia" w:ascii="仿宋_GB2312" w:hAnsi="Times New Roman" w:eastAsia="仿宋_GB2312"/>
          <w:lang w:val="en-US" w:eastAsia="zh-CN"/>
        </w:rPr>
        <w:t xml:space="preserve">    </w:t>
      </w:r>
      <w:r>
        <w:rPr>
          <w:rFonts w:hint="eastAsia" w:ascii="仿宋_GB2312" w:hAnsi="Times New Roman" w:eastAsia="仿宋_GB2312"/>
          <w:lang w:eastAsia="zh-CN"/>
        </w:rPr>
        <w:t>六</w:t>
      </w:r>
      <w:r>
        <w:rPr>
          <w:rFonts w:ascii="仿宋_GB2312" w:hAnsi="Times New Roman" w:eastAsia="仿宋_GB2312"/>
        </w:rPr>
        <w:t>、经费</w:t>
      </w:r>
      <w:r>
        <w:rPr>
          <w:rFonts w:hint="eastAsia" w:ascii="仿宋_GB2312" w:hAnsi="Times New Roman" w:eastAsia="仿宋_GB2312"/>
          <w:lang w:eastAsia="zh-CN"/>
        </w:rPr>
        <w:t>测</w:t>
      </w:r>
      <w:r>
        <w:rPr>
          <w:rFonts w:ascii="仿宋_GB2312" w:hAnsi="Times New Roman" w:eastAsia="仿宋_GB2312"/>
        </w:rPr>
        <w:t>算</w:t>
      </w:r>
      <w:bookmarkEnd w:id="26"/>
      <w:r>
        <w:rPr>
          <w:rFonts w:hint="eastAsia" w:ascii="仿宋_GB2312" w:hAnsi="Times New Roman" w:eastAsia="仿宋_GB2312"/>
          <w:lang w:eastAsia="zh-CN"/>
        </w:rPr>
        <w:t>方法</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标定地价</w:t>
      </w:r>
      <w:r>
        <w:rPr>
          <w:rFonts w:hint="eastAsia" w:ascii="Times New Roman" w:hAnsi="Times New Roman" w:eastAsia="仿宋_GB2312"/>
          <w:color w:val="auto"/>
          <w:sz w:val="32"/>
          <w:szCs w:val="28"/>
        </w:rPr>
        <w:t>制订</w:t>
      </w:r>
      <w:r>
        <w:rPr>
          <w:rFonts w:ascii="Times New Roman" w:hAnsi="Times New Roman" w:eastAsia="仿宋_GB2312"/>
          <w:color w:val="auto"/>
          <w:sz w:val="32"/>
          <w:szCs w:val="28"/>
        </w:rPr>
        <w:t>工作相关部门没有对应的收费标准，但与标定地价性质相</w:t>
      </w:r>
      <w:r>
        <w:rPr>
          <w:rFonts w:hint="eastAsia" w:ascii="Times New Roman" w:hAnsi="Times New Roman" w:eastAsia="仿宋_GB2312"/>
          <w:color w:val="auto"/>
          <w:sz w:val="32"/>
          <w:szCs w:val="28"/>
        </w:rPr>
        <w:t>似</w:t>
      </w:r>
      <w:r>
        <w:rPr>
          <w:rFonts w:ascii="Times New Roman" w:hAnsi="Times New Roman" w:eastAsia="仿宋_GB2312"/>
          <w:color w:val="auto"/>
          <w:sz w:val="32"/>
          <w:szCs w:val="28"/>
        </w:rPr>
        <w:t>的城市地价监测工作有相关收费标准，可参考该项工作的收费标准预测标定地价工作的费用收取。</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城市</w:t>
      </w:r>
      <w:r>
        <w:rPr>
          <w:rFonts w:hint="eastAsia" w:ascii="Times New Roman" w:hAnsi="Times New Roman" w:eastAsia="仿宋_GB2312"/>
          <w:color w:val="auto"/>
          <w:sz w:val="32"/>
          <w:szCs w:val="28"/>
        </w:rPr>
        <w:t>标定</w:t>
      </w:r>
      <w:r>
        <w:rPr>
          <w:rFonts w:ascii="Times New Roman" w:hAnsi="Times New Roman" w:eastAsia="仿宋_GB2312"/>
          <w:color w:val="auto"/>
          <w:sz w:val="32"/>
          <w:szCs w:val="28"/>
        </w:rPr>
        <w:t>地价</w:t>
      </w:r>
      <w:r>
        <w:rPr>
          <w:rFonts w:hint="eastAsia" w:ascii="Times New Roman" w:hAnsi="Times New Roman" w:eastAsia="仿宋_GB2312"/>
          <w:color w:val="auto"/>
          <w:sz w:val="32"/>
          <w:szCs w:val="28"/>
        </w:rPr>
        <w:t>制订工作</w:t>
      </w:r>
      <w:r>
        <w:rPr>
          <w:rFonts w:ascii="Times New Roman" w:hAnsi="Times New Roman" w:eastAsia="仿宋_GB2312"/>
          <w:color w:val="auto"/>
          <w:sz w:val="32"/>
          <w:szCs w:val="28"/>
        </w:rPr>
        <w:t>预算费用测算公式如下：</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公式：Y=A*P*Q(AS+AZ+AG)/(M*C)</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注释：</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Y为城市</w:t>
      </w:r>
      <w:r>
        <w:rPr>
          <w:rFonts w:hint="eastAsia" w:ascii="Times New Roman" w:hAnsi="Times New Roman" w:eastAsia="仿宋_GB2312"/>
          <w:color w:val="auto"/>
          <w:sz w:val="32"/>
          <w:szCs w:val="28"/>
        </w:rPr>
        <w:t>标定地价制订</w:t>
      </w:r>
      <w:r>
        <w:rPr>
          <w:rFonts w:ascii="Times New Roman" w:hAnsi="Times New Roman" w:eastAsia="仿宋_GB2312"/>
          <w:color w:val="auto"/>
          <w:sz w:val="32"/>
          <w:szCs w:val="28"/>
        </w:rPr>
        <w:t>费用；</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P为样点单价，直辖市6000元/宗、省会城市和副省级城市5000元/宗、一般城市4000元/宗；</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Q为面设</w:t>
      </w:r>
      <w:r>
        <w:rPr>
          <w:rFonts w:hint="eastAsia" w:ascii="Times New Roman" w:hAnsi="Times New Roman" w:eastAsia="仿宋_GB2312"/>
          <w:color w:val="auto"/>
          <w:sz w:val="32"/>
          <w:szCs w:val="28"/>
        </w:rPr>
        <w:t>的</w:t>
      </w:r>
      <w:r>
        <w:rPr>
          <w:rFonts w:ascii="Times New Roman" w:hAnsi="Times New Roman" w:eastAsia="仿宋_GB2312"/>
          <w:color w:val="auto"/>
          <w:sz w:val="32"/>
          <w:szCs w:val="28"/>
        </w:rPr>
        <w:t>商、住、工用途监测样点总数；</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A为</w:t>
      </w:r>
      <w:r>
        <w:rPr>
          <w:rFonts w:hint="eastAsia" w:ascii="Times New Roman" w:hAnsi="Times New Roman" w:eastAsia="仿宋_GB2312"/>
          <w:color w:val="auto"/>
          <w:sz w:val="32"/>
          <w:szCs w:val="28"/>
        </w:rPr>
        <w:t>城市建成区</w:t>
      </w:r>
      <w:r>
        <w:rPr>
          <w:rFonts w:ascii="Times New Roman" w:hAnsi="Times New Roman" w:eastAsia="仿宋_GB2312"/>
          <w:color w:val="auto"/>
          <w:sz w:val="32"/>
          <w:szCs w:val="28"/>
        </w:rPr>
        <w:t>实际监测面积，其中S、Z、G分别代表商、住、工用途；</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M为单个监测点控制最大面积标准，其中直辖市为8平方公里、省会城市和副省级城市6平方公里、一般城市4平方公里；</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C为城市应布设的最低样点总数标准，其中直辖市为200宗、省会城市和副省级城市120宗、一般城市60宗；</w:t>
      </w:r>
    </w:p>
    <w:p>
      <w:pPr>
        <w:spacing w:line="360" w:lineRule="auto"/>
        <w:ind w:firstLine="640" w:firstLineChars="200"/>
        <w:rPr>
          <w:rFonts w:ascii="Times New Roman" w:hAnsi="Times New Roman" w:eastAsia="仿宋_GB2312"/>
          <w:color w:val="auto"/>
          <w:sz w:val="32"/>
          <w:szCs w:val="28"/>
        </w:rPr>
      </w:pPr>
      <w:r>
        <w:rPr>
          <w:rFonts w:ascii="Times New Roman" w:hAnsi="Times New Roman" w:eastAsia="仿宋_GB2312"/>
          <w:color w:val="auto"/>
          <w:sz w:val="32"/>
          <w:szCs w:val="28"/>
        </w:rPr>
        <w:t>A为区域修正系数，其中直辖市不小于1.2，省会城市和副省级城市不小1.4，一般城市中，各用途监测总面积与城市建成区面积比值大于1.8（四舍五入，含1.8）的，修正系数取值不大于0.6，其它城市可根据实际情况，参照相关城市确定修正系数，但修正系数最大不超过5.2。</w:t>
      </w:r>
    </w:p>
    <w:p>
      <w:pPr>
        <w:pStyle w:val="3"/>
        <w:spacing w:line="360" w:lineRule="auto"/>
        <w:ind w:left="0" w:leftChars="0" w:firstLine="0" w:firstLineChars="0"/>
        <w:rPr>
          <w:rFonts w:ascii="仿宋_GB2312" w:hAnsi="Times New Roman" w:eastAsia="仿宋_GB2312"/>
        </w:rPr>
      </w:pPr>
      <w:bookmarkStart w:id="31" w:name="_Toc20172"/>
      <w:r>
        <w:rPr>
          <w:rFonts w:hint="eastAsia" w:ascii="仿宋_GB2312" w:hAnsi="Times New Roman" w:eastAsia="仿宋_GB2312"/>
          <w:lang w:val="en-US" w:eastAsia="zh-CN"/>
        </w:rPr>
        <w:t xml:space="preserve">    七</w:t>
      </w:r>
      <w:r>
        <w:rPr>
          <w:rFonts w:ascii="仿宋_GB2312" w:hAnsi="Times New Roman" w:eastAsia="仿宋_GB2312"/>
        </w:rPr>
        <w:t>、</w:t>
      </w:r>
      <w:r>
        <w:rPr>
          <w:rFonts w:hint="eastAsia" w:ascii="仿宋_GB2312" w:hAnsi="Times New Roman" w:eastAsia="仿宋_GB2312"/>
          <w:lang w:eastAsia="zh-CN"/>
        </w:rPr>
        <w:t>预期</w:t>
      </w:r>
      <w:r>
        <w:rPr>
          <w:rFonts w:ascii="仿宋_GB2312" w:hAnsi="Times New Roman" w:eastAsia="仿宋_GB2312"/>
        </w:rPr>
        <w:t>提交成果</w:t>
      </w:r>
      <w:bookmarkEnd w:id="31"/>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（一）文本成果</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1.铜仁市标定地价评估术报告</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2.铜仁市标定地价体系建设报告</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（二）表格成果</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1.标准宗地信息登记表</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2.标准宗地评估技术要点表</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3.标定地价建议及审核结果表</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4．标定地价信息公示表</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5.标定地价修正体系表</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（三）图件成果</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标准宗地与标定区域布设图</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（四）数据库成果</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（五）标定地价管理信息系统</w:t>
      </w:r>
      <w:bookmarkEnd w:id="27"/>
      <w:bookmarkEnd w:id="28"/>
      <w:bookmarkEnd w:id="29"/>
      <w:bookmarkEnd w:id="30"/>
      <w:bookmarkStart w:id="32" w:name="_Toc17029"/>
    </w:p>
    <w:p>
      <w:pPr>
        <w:rPr>
          <w:rFonts w:hint="eastAsia" w:ascii="仿宋_GB2312" w:hAnsi="Times New Roman" w:eastAsia="仿宋_GB2312" w:cstheme="minorBidi"/>
          <w:b/>
          <w:bCs/>
          <w:kern w:val="44"/>
          <w:sz w:val="32"/>
          <w:szCs w:val="32"/>
          <w:lang w:val="en-US" w:eastAsia="zh-CN" w:bidi="ar-SA"/>
        </w:rPr>
      </w:pPr>
      <w:r>
        <w:rPr>
          <w:rFonts w:hint="eastAsia" w:ascii="仿宋_GB2312" w:hAnsi="Times New Roman" w:eastAsia="仿宋_GB2312" w:cstheme="minorBidi"/>
          <w:b/>
          <w:bCs/>
          <w:kern w:val="44"/>
          <w:sz w:val="32"/>
          <w:szCs w:val="32"/>
          <w:lang w:val="en-US" w:eastAsia="zh-CN" w:bidi="ar-SA"/>
        </w:rPr>
        <w:t xml:space="preserve">    八、用户需求</w:t>
      </w:r>
      <w:bookmarkEnd w:id="32"/>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（一）采购内容需求</w:t>
      </w:r>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1.铜仁市中心城区建成区61.03平方公里的商业、住宅、工业等用途的标定地价制定。</w:t>
      </w:r>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2.标定宗地设定不少于60宗。</w:t>
      </w:r>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（二）投标供应商需求</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rPr>
        <w:t>1.具备省</w:t>
      </w:r>
      <w:r>
        <w:rPr>
          <w:rFonts w:hint="eastAsia" w:ascii="Times New Roman" w:hAnsi="Times New Roman" w:eastAsia="仿宋_GB2312"/>
          <w:color w:val="auto"/>
          <w:sz w:val="32"/>
          <w:szCs w:val="28"/>
          <w:lang w:eastAsia="zh-CN"/>
        </w:rPr>
        <w:t>级及以上</w:t>
      </w:r>
      <w:r>
        <w:rPr>
          <w:rFonts w:hint="eastAsia" w:ascii="Times New Roman" w:hAnsi="Times New Roman" w:eastAsia="仿宋_GB2312"/>
          <w:color w:val="auto"/>
          <w:sz w:val="32"/>
          <w:szCs w:val="28"/>
        </w:rPr>
        <w:t>自然资源（或原国土资源）</w:t>
      </w:r>
      <w:r>
        <w:rPr>
          <w:rFonts w:hint="eastAsia" w:ascii="Times New Roman" w:hAnsi="Times New Roman" w:eastAsia="仿宋_GB2312"/>
          <w:color w:val="auto"/>
          <w:sz w:val="32"/>
          <w:szCs w:val="28"/>
          <w:lang w:eastAsia="zh-CN"/>
        </w:rPr>
        <w:t>行政</w:t>
      </w:r>
      <w:r>
        <w:rPr>
          <w:rFonts w:hint="eastAsia" w:ascii="Times New Roman" w:hAnsi="Times New Roman" w:eastAsia="仿宋_GB2312"/>
          <w:color w:val="auto"/>
          <w:sz w:val="32"/>
          <w:szCs w:val="28"/>
        </w:rPr>
        <w:t>主管部门颁发的土地估价机构备案函。</w:t>
      </w:r>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2.项目技术承担单位（投标人）有土地估价师8人以上（含）；项目负责人具有土地估价师资格和土地管理专业中级及以上职称；项目组成员（含项目负责人）具有土地估价师资格8人以上（含）。（提供资格证书、职称证书复印件加盖投标单位鲜章）</w:t>
      </w:r>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3.项目技术承担单位（投标人）2016年1月（含）至今承担1个（含）以上市级城镇土地定级与基准地价项目或者承担2个（含）以上县级城镇土地定级与基准地价项目；</w:t>
      </w:r>
    </w:p>
    <w:p>
      <w:pPr>
        <w:spacing w:line="360" w:lineRule="auto"/>
        <w:ind w:firstLine="640" w:firstLineChars="200"/>
        <w:rPr>
          <w:rFonts w:hint="eastAsia" w:ascii="Times New Roman" w:hAnsi="Times New Roman" w:eastAsia="仿宋_GB2312"/>
          <w:color w:val="auto"/>
          <w:sz w:val="32"/>
          <w:szCs w:val="28"/>
          <w:lang w:val="en-US" w:eastAsia="zh-CN"/>
        </w:rPr>
      </w:pPr>
      <w:r>
        <w:rPr>
          <w:rFonts w:hint="eastAsia" w:ascii="Times New Roman" w:hAnsi="Times New Roman" w:eastAsia="仿宋_GB2312"/>
          <w:color w:val="auto"/>
          <w:sz w:val="32"/>
          <w:szCs w:val="28"/>
          <w:lang w:val="en-US" w:eastAsia="zh-CN"/>
        </w:rPr>
        <w:t>4.项目技术承担单位（投标人）2016年1月（含）至今承担过1个以上（含）县（市、区、开发区）节约集约利用评价等基础性工作。</w:t>
      </w:r>
    </w:p>
    <w:p>
      <w:pPr>
        <w:spacing w:line="360" w:lineRule="auto"/>
        <w:ind w:firstLine="640" w:firstLineChars="200"/>
        <w:rPr>
          <w:rFonts w:hint="eastAsia" w:ascii="Times New Roman" w:hAnsi="Times New Roman" w:eastAsia="仿宋_GB2312"/>
          <w:color w:val="auto"/>
          <w:sz w:val="32"/>
          <w:szCs w:val="28"/>
        </w:rPr>
      </w:pPr>
      <w:r>
        <w:rPr>
          <w:rFonts w:hint="eastAsia" w:ascii="Times New Roman" w:hAnsi="Times New Roman" w:eastAsia="仿宋_GB2312"/>
          <w:color w:val="auto"/>
          <w:sz w:val="32"/>
          <w:szCs w:val="28"/>
          <w:lang w:val="en-US" w:eastAsia="zh-CN"/>
        </w:rPr>
        <w:t>5.项目技术承担单位（投标人）制定的工作方案要求框架完整，重点突出，研究方法手段多样化，技术路线正确。投标人现场阐述要求思路清晰、内容完整、对项目了解程度较深。</w:t>
      </w:r>
    </w:p>
    <w:p>
      <w:pPr>
        <w:rPr>
          <w:b/>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b/>
          <w:bCs/>
          <w:sz w:val="32"/>
          <w:szCs w:val="32"/>
          <w:lang w:val="en-US" w:eastAsia="zh-CN"/>
        </w:rPr>
        <w:t>备注：专家论证费和专家评审费由中标人承担。</w:t>
      </w:r>
    </w:p>
    <w:p>
      <w:pPr>
        <w:spacing w:line="360" w:lineRule="auto"/>
        <w:jc w:val="center"/>
        <w:rPr>
          <w:rFonts w:ascii="宋体" w:hAnsi="宋体"/>
          <w:b/>
          <w:sz w:val="36"/>
          <w:szCs w:val="36"/>
        </w:rPr>
      </w:pPr>
      <w:bookmarkStart w:id="3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3"/>
    <w:p>
      <w:pPr>
        <w:wordWrap w:val="0"/>
        <w:spacing w:line="360" w:lineRule="auto"/>
        <w:jc w:val="right"/>
        <w:rPr>
          <w:rFonts w:hint="eastAsia" w:ascii="宋体" w:hAnsi="宋体" w:eastAsia="宋体" w:cs="宋体"/>
          <w:sz w:val="24"/>
          <w:szCs w:val="24"/>
          <w:u w:val="single"/>
        </w:rPr>
      </w:pPr>
      <w:bookmarkStart w:id="3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3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20"/>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6"/>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0"/>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Layout w:type="fixed"/>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Layout w:type="fixed"/>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0"/>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66"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2"/>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2"/>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snapToGrid w:val="0"/>
        <w:spacing w:line="360" w:lineRule="auto"/>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9"/>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9"/>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9"/>
        <w:spacing w:line="360" w:lineRule="auto"/>
        <w:jc w:val="center"/>
        <w:rPr>
          <w:rFonts w:ascii="宋体" w:hAnsi="宋体"/>
          <w:b/>
          <w:spacing w:val="6"/>
          <w:sz w:val="28"/>
          <w:szCs w:val="28"/>
        </w:rPr>
      </w:pP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993300"/>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9"/>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9"/>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49217A3"/>
    <w:rsid w:val="05BC6033"/>
    <w:rsid w:val="06207CB0"/>
    <w:rsid w:val="066E0BAD"/>
    <w:rsid w:val="073E597E"/>
    <w:rsid w:val="0765431F"/>
    <w:rsid w:val="07F54EC7"/>
    <w:rsid w:val="08740320"/>
    <w:rsid w:val="088F1CE8"/>
    <w:rsid w:val="08D529BC"/>
    <w:rsid w:val="08FF3BEB"/>
    <w:rsid w:val="098C26B6"/>
    <w:rsid w:val="09D77B2D"/>
    <w:rsid w:val="09EC07A7"/>
    <w:rsid w:val="0B457893"/>
    <w:rsid w:val="0B5C74A2"/>
    <w:rsid w:val="0C01614A"/>
    <w:rsid w:val="0C5343E7"/>
    <w:rsid w:val="10931C8E"/>
    <w:rsid w:val="11832DFB"/>
    <w:rsid w:val="11EC2642"/>
    <w:rsid w:val="13196CD2"/>
    <w:rsid w:val="134E6EF3"/>
    <w:rsid w:val="18C014B9"/>
    <w:rsid w:val="19B24C99"/>
    <w:rsid w:val="1A346FDF"/>
    <w:rsid w:val="1BA45F28"/>
    <w:rsid w:val="1C9D20D0"/>
    <w:rsid w:val="1CEC3418"/>
    <w:rsid w:val="1E6543E0"/>
    <w:rsid w:val="21683C00"/>
    <w:rsid w:val="217F3246"/>
    <w:rsid w:val="218E58F5"/>
    <w:rsid w:val="219E3F32"/>
    <w:rsid w:val="230F0C1C"/>
    <w:rsid w:val="23B97A52"/>
    <w:rsid w:val="240262CF"/>
    <w:rsid w:val="247501C3"/>
    <w:rsid w:val="24D44CF5"/>
    <w:rsid w:val="26C87EEC"/>
    <w:rsid w:val="278A6F12"/>
    <w:rsid w:val="27DD1869"/>
    <w:rsid w:val="281828B6"/>
    <w:rsid w:val="2834714C"/>
    <w:rsid w:val="28435CD3"/>
    <w:rsid w:val="287B133B"/>
    <w:rsid w:val="293C4B55"/>
    <w:rsid w:val="29F17C07"/>
    <w:rsid w:val="2AD00B25"/>
    <w:rsid w:val="2B140C6C"/>
    <w:rsid w:val="2B2C7D39"/>
    <w:rsid w:val="2B5D0CA9"/>
    <w:rsid w:val="2BC97CEA"/>
    <w:rsid w:val="2C6728F5"/>
    <w:rsid w:val="2CAB398E"/>
    <w:rsid w:val="2CE7704A"/>
    <w:rsid w:val="2D710FB9"/>
    <w:rsid w:val="2E1D0482"/>
    <w:rsid w:val="2F316610"/>
    <w:rsid w:val="329C0274"/>
    <w:rsid w:val="34D31919"/>
    <w:rsid w:val="35B62C85"/>
    <w:rsid w:val="3624374B"/>
    <w:rsid w:val="364D18B3"/>
    <w:rsid w:val="36CC77A9"/>
    <w:rsid w:val="36EE7004"/>
    <w:rsid w:val="37A74DC9"/>
    <w:rsid w:val="38443194"/>
    <w:rsid w:val="3A412E59"/>
    <w:rsid w:val="3AF84CD2"/>
    <w:rsid w:val="3B0F30BB"/>
    <w:rsid w:val="3C424668"/>
    <w:rsid w:val="3D88538C"/>
    <w:rsid w:val="3E4A1F14"/>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AB805F6"/>
    <w:rsid w:val="4AFD3876"/>
    <w:rsid w:val="4C6F2E9D"/>
    <w:rsid w:val="4C8A6549"/>
    <w:rsid w:val="4C9D77B7"/>
    <w:rsid w:val="517F43E6"/>
    <w:rsid w:val="52962030"/>
    <w:rsid w:val="533A4FD1"/>
    <w:rsid w:val="53E31007"/>
    <w:rsid w:val="5425148C"/>
    <w:rsid w:val="558D15D3"/>
    <w:rsid w:val="56C0562F"/>
    <w:rsid w:val="57A27FC9"/>
    <w:rsid w:val="57F70A8E"/>
    <w:rsid w:val="57F85DD6"/>
    <w:rsid w:val="582F1881"/>
    <w:rsid w:val="58BF4595"/>
    <w:rsid w:val="58CB7AFD"/>
    <w:rsid w:val="594407E9"/>
    <w:rsid w:val="59446C96"/>
    <w:rsid w:val="5A8A188C"/>
    <w:rsid w:val="5CB1049E"/>
    <w:rsid w:val="5CFC2F0B"/>
    <w:rsid w:val="5DDD6E0E"/>
    <w:rsid w:val="5EA90A7C"/>
    <w:rsid w:val="60113D47"/>
    <w:rsid w:val="60FE0EE5"/>
    <w:rsid w:val="61D4111E"/>
    <w:rsid w:val="6243041C"/>
    <w:rsid w:val="62C40AC2"/>
    <w:rsid w:val="637755AC"/>
    <w:rsid w:val="64585BCD"/>
    <w:rsid w:val="645D7BB1"/>
    <w:rsid w:val="6495363F"/>
    <w:rsid w:val="6660073E"/>
    <w:rsid w:val="66770E5A"/>
    <w:rsid w:val="6717287C"/>
    <w:rsid w:val="67AD0559"/>
    <w:rsid w:val="68A20C82"/>
    <w:rsid w:val="68BC2178"/>
    <w:rsid w:val="6C530126"/>
    <w:rsid w:val="6C7E1D4F"/>
    <w:rsid w:val="6E3A5686"/>
    <w:rsid w:val="6E9A5852"/>
    <w:rsid w:val="6F092244"/>
    <w:rsid w:val="6F1D22B0"/>
    <w:rsid w:val="6F5F0672"/>
    <w:rsid w:val="6F713DE8"/>
    <w:rsid w:val="710B4326"/>
    <w:rsid w:val="712651C2"/>
    <w:rsid w:val="72C32A0D"/>
    <w:rsid w:val="734041BA"/>
    <w:rsid w:val="73D85379"/>
    <w:rsid w:val="74132D01"/>
    <w:rsid w:val="743B3A02"/>
    <w:rsid w:val="744971C5"/>
    <w:rsid w:val="745F1574"/>
    <w:rsid w:val="74C33E55"/>
    <w:rsid w:val="7547471D"/>
    <w:rsid w:val="76C14EF7"/>
    <w:rsid w:val="77A062F1"/>
    <w:rsid w:val="78810655"/>
    <w:rsid w:val="789A2CD5"/>
    <w:rsid w:val="78D77983"/>
    <w:rsid w:val="79DA2459"/>
    <w:rsid w:val="7A1A716A"/>
    <w:rsid w:val="7A86457F"/>
    <w:rsid w:val="7B5D51B4"/>
    <w:rsid w:val="7B893339"/>
    <w:rsid w:val="7BEE2FE6"/>
    <w:rsid w:val="7C412075"/>
    <w:rsid w:val="7D0A1188"/>
    <w:rsid w:val="7D6F6B2D"/>
    <w:rsid w:val="7E200FB6"/>
    <w:rsid w:val="7E884497"/>
    <w:rsid w:val="7F77224A"/>
    <w:rsid w:val="7FFD6E5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240" w:after="120"/>
      <w:ind w:firstLine="643" w:firstLineChars="200"/>
      <w:jc w:val="left"/>
      <w:outlineLvl w:val="0"/>
    </w:pPr>
    <w:rPr>
      <w:rFonts w:ascii="宋体" w:hAnsi="宋体"/>
      <w:b/>
      <w:bCs/>
      <w:kern w:val="44"/>
      <w:sz w:val="32"/>
      <w:szCs w:val="32"/>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toc 2"/>
    <w:basedOn w:val="1"/>
    <w:next w:val="1"/>
    <w:qFormat/>
    <w:uiPriority w:val="0"/>
    <w:pPr>
      <w:tabs>
        <w:tab w:val="right" w:leader="dot" w:pos="8296"/>
      </w:tabs>
      <w:spacing w:line="360" w:lineRule="auto"/>
      <w:ind w:left="420" w:leftChars="200"/>
      <w:jc w:val="center"/>
    </w:pPr>
    <w:rPr>
      <w:rFonts w:ascii="黑体" w:hAnsi="黑体" w:eastAsia="仿宋_GB2312"/>
      <w:sz w:val="32"/>
      <w:szCs w:val="3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Char Char Char Char Char Char"/>
    <w:basedOn w:val="1"/>
    <w:link w:val="15"/>
    <w:qFormat/>
    <w:uiPriority w:val="0"/>
    <w:rPr>
      <w:rFonts w:ascii="Times New Roman" w:hAnsi="Times New Roman"/>
      <w:szCs w:val="24"/>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9">
    <w:name w:val="Normal_22"/>
    <w:qFormat/>
    <w:uiPriority w:val="0"/>
    <w:rPr>
      <w:rFonts w:ascii="Times New Roman" w:hAnsi="Times New Roman" w:eastAsia="宋体" w:cs="Times New Roman"/>
      <w:kern w:val="0"/>
      <w:sz w:val="21"/>
      <w:szCs w:val="20"/>
    </w:rPr>
  </w:style>
  <w:style w:type="character" w:customStyle="1" w:styleId="30">
    <w:name w:val="p141"/>
    <w:qFormat/>
    <w:uiPriority w:val="0"/>
    <w:rPr>
      <w:sz w:val="21"/>
      <w:szCs w:val="21"/>
    </w:rPr>
  </w:style>
  <w:style w:type="character" w:customStyle="1" w:styleId="31">
    <w:name w:val="font01"/>
    <w:basedOn w:val="15"/>
    <w:qFormat/>
    <w:uiPriority w:val="0"/>
    <w:rPr>
      <w:rFonts w:hint="eastAsia" w:ascii="宋体" w:hAnsi="宋体" w:eastAsia="宋体" w:cs="宋体"/>
      <w:color w:val="000000"/>
      <w:sz w:val="24"/>
      <w:szCs w:val="24"/>
      <w:u w:val="none"/>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ScaleCrop>false</ScaleCrop>
  <LinksUpToDate>false</LinksUpToDate>
  <CharactersWithSpaces>27005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2019-09-16T03:02:00Z</cp:lastPrinted>
  <dcterms:modified xsi:type="dcterms:W3CDTF">2020-06-04T03:00:21Z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