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9"/>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9"/>
        <w:spacing w:line="700" w:lineRule="exact"/>
        <w:jc w:val="center"/>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bCs w:val="0"/>
          <w:color w:val="000000"/>
          <w:spacing w:val="-4"/>
          <w:sz w:val="44"/>
          <w:szCs w:val="44"/>
        </w:rPr>
      </w:pP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9"/>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9"/>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9"/>
        <w:spacing w:line="360" w:lineRule="auto"/>
        <w:ind w:firstLine="1265" w:firstLineChars="450"/>
        <w:rPr>
          <w:rFonts w:hint="eastAsia" w:ascii="黑体" w:hAnsi="黑体" w:eastAsia="黑体"/>
          <w:b/>
          <w:color w:val="000000"/>
          <w:sz w:val="28"/>
          <w:szCs w:val="28"/>
        </w:rPr>
      </w:pPr>
    </w:p>
    <w:p>
      <w:pPr>
        <w:pStyle w:val="9"/>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9"/>
        <w:spacing w:line="560" w:lineRule="exact"/>
        <w:ind w:firstLine="694" w:firstLineChars="247"/>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铜仁市自然资源局《铜仁市矿产资源规划（2021-2025年）》编制服务采购（二次）（二次）</w:t>
      </w:r>
    </w:p>
    <w:p>
      <w:pPr>
        <w:pStyle w:val="9"/>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TRZFCG-2020-074</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类</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9"/>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9"/>
        <w:spacing w:line="360" w:lineRule="auto"/>
        <w:jc w:val="left"/>
        <w:rPr>
          <w:rFonts w:hint="eastAsia" w:hAnsi="宋体"/>
          <w:b/>
          <w:bCs/>
          <w:sz w:val="30"/>
          <w:szCs w:val="30"/>
          <w:lang w:eastAsia="zh-CN"/>
        </w:rPr>
      </w:pPr>
    </w:p>
    <w:p>
      <w:pPr>
        <w:pStyle w:val="6"/>
        <w:spacing w:line="360" w:lineRule="auto"/>
        <w:ind w:firstLine="0"/>
        <w:jc w:val="center"/>
        <w:rPr>
          <w:rFonts w:hint="eastAsia" w:cs="Arial"/>
          <w:b/>
          <w:bCs/>
          <w:sz w:val="32"/>
        </w:rPr>
      </w:pPr>
    </w:p>
    <w:p>
      <w:pPr>
        <w:spacing w:line="360" w:lineRule="auto"/>
        <w:jc w:val="center"/>
        <w:rPr>
          <w:rFonts w:hint="eastAsia" w:ascii="宋体" w:hAnsi="宋体"/>
          <w:b/>
          <w:sz w:val="52"/>
          <w:szCs w:val="52"/>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9"/>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Cs/>
          <w:sz w:val="24"/>
          <w:lang w:eastAsia="zh-CN"/>
        </w:rPr>
        <w:t>铜仁市生态环境局</w:t>
      </w:r>
      <w:r>
        <w:rPr>
          <w:rFonts w:hint="eastAsia" w:hAnsi="宋体"/>
          <w:color w:val="000000"/>
          <w:sz w:val="24"/>
          <w:szCs w:val="24"/>
        </w:rPr>
        <w:t>委托，对</w:t>
      </w:r>
      <w:r>
        <w:rPr>
          <w:rFonts w:hint="eastAsia" w:hAnsi="宋体"/>
          <w:color w:val="000000"/>
          <w:sz w:val="24"/>
          <w:szCs w:val="24"/>
          <w:lang w:eastAsia="zh-CN"/>
        </w:rPr>
        <w:t>铜仁市自然资源局《铜仁市矿产资源规划（2021-2025年）》编制服务采购（二次）</w:t>
      </w:r>
      <w:r>
        <w:rPr>
          <w:rFonts w:hint="eastAsia" w:hAnsi="宋体"/>
          <w:color w:val="000000"/>
          <w:sz w:val="24"/>
          <w:szCs w:val="24"/>
        </w:rPr>
        <w:t>项目采用竞争性谈判的方式进行采购，欢迎具备投标资质条件的供货商参加投标。</w:t>
      </w:r>
    </w:p>
    <w:p>
      <w:pPr>
        <w:pStyle w:val="9"/>
        <w:spacing w:line="440" w:lineRule="exact"/>
        <w:ind w:firstLine="482" w:firstLineChars="200"/>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Cs/>
          <w:sz w:val="24"/>
          <w:lang w:eastAsia="zh-CN"/>
        </w:rPr>
        <w:t>铜仁市自然资源局《铜仁市矿产资源规划（2021-2025年）》编制服务采购（二次）</w:t>
      </w:r>
    </w:p>
    <w:p>
      <w:pPr>
        <w:pStyle w:val="9"/>
        <w:spacing w:line="440" w:lineRule="exact"/>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TRZFCG-2020-074</w:t>
      </w:r>
    </w:p>
    <w:p>
      <w:pPr>
        <w:spacing w:line="440" w:lineRule="exact"/>
        <w:ind w:firstLine="472" w:firstLineChars="196"/>
        <w:outlineLvl w:val="0"/>
        <w:rPr>
          <w:rFonts w:hint="default" w:ascii="宋体" w:hAnsi="宋体"/>
          <w:color w:val="000000"/>
          <w:sz w:val="24"/>
          <w:lang w:val="en-US"/>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6</w:t>
      </w:r>
      <w:r>
        <w:rPr>
          <w:rFonts w:hint="eastAsia" w:ascii="宋体" w:hAnsi="宋体"/>
          <w:color w:val="000000"/>
          <w:sz w:val="24"/>
        </w:rPr>
        <w:t>月</w:t>
      </w:r>
      <w:r>
        <w:rPr>
          <w:rFonts w:hint="eastAsia" w:ascii="宋体" w:hAnsi="宋体"/>
          <w:color w:val="000000"/>
          <w:sz w:val="24"/>
          <w:lang w:val="en-US" w:eastAsia="zh-CN"/>
        </w:rPr>
        <w:t>22</w:t>
      </w:r>
      <w:r>
        <w:rPr>
          <w:rFonts w:hint="eastAsia" w:ascii="宋体" w:hAnsi="宋体"/>
          <w:color w:val="000000"/>
          <w:sz w:val="24"/>
        </w:rPr>
        <w:t>日至</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6</w:t>
      </w:r>
      <w:r>
        <w:rPr>
          <w:rFonts w:hint="eastAsia" w:ascii="宋体" w:hAnsi="宋体"/>
          <w:color w:val="000000"/>
          <w:sz w:val="24"/>
        </w:rPr>
        <w:t>月</w:t>
      </w:r>
      <w:r>
        <w:rPr>
          <w:rFonts w:hint="eastAsia" w:ascii="宋体" w:hAnsi="宋体"/>
          <w:color w:val="000000"/>
          <w:sz w:val="24"/>
          <w:lang w:val="en-US" w:eastAsia="zh-CN"/>
        </w:rPr>
        <w:t>28日17点</w:t>
      </w:r>
    </w:p>
    <w:p>
      <w:pPr>
        <w:spacing w:line="440" w:lineRule="exact"/>
        <w:ind w:firstLine="472" w:firstLineChars="196"/>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color w:val="000000"/>
          <w:sz w:val="24"/>
          <w:szCs w:val="24"/>
          <w:lang w:val="en-US" w:eastAsia="zh-CN"/>
        </w:rPr>
        <w:t>jyzx.trs.gov.cn</w:t>
      </w:r>
      <w:r>
        <w:rPr>
          <w:rFonts w:hint="eastAsia" w:ascii="宋体" w:hAnsi="宋体"/>
          <w:color w:val="000000"/>
          <w:sz w:val="24"/>
        </w:rPr>
        <w:t>）</w:t>
      </w:r>
    </w:p>
    <w:p>
      <w:pPr>
        <w:spacing w:line="440" w:lineRule="exact"/>
        <w:ind w:firstLine="472" w:firstLineChars="196"/>
        <w:rPr>
          <w:rFonts w:hint="eastAsia" w:ascii="宋体" w:hAnsi="宋体"/>
          <w:b/>
          <w:color w:val="000000"/>
          <w:sz w:val="24"/>
        </w:rPr>
      </w:pPr>
      <w:r>
        <w:rPr>
          <w:rFonts w:hint="eastAsia" w:ascii="宋体" w:hAnsi="宋体"/>
          <w:b/>
          <w:color w:val="000000"/>
          <w:sz w:val="24"/>
        </w:rPr>
        <w:t>5、投标有效期：投标截止日算起，30天。</w:t>
      </w:r>
    </w:p>
    <w:p>
      <w:pPr>
        <w:pStyle w:val="9"/>
        <w:spacing w:line="360" w:lineRule="auto"/>
        <w:ind w:firstLine="472" w:firstLineChars="196"/>
        <w:rPr>
          <w:rFonts w:hint="eastAsia" w:hAnsi="宋体"/>
          <w:b/>
          <w:color w:val="000000"/>
          <w:sz w:val="24"/>
          <w:szCs w:val="24"/>
        </w:rPr>
      </w:pPr>
      <w:r>
        <w:rPr>
          <w:rFonts w:hint="eastAsia" w:hAnsi="宋体"/>
          <w:b/>
          <w:color w:val="000000"/>
          <w:sz w:val="24"/>
          <w:szCs w:val="24"/>
        </w:rPr>
        <w:t>6、本项目不接受联合体。</w:t>
      </w:r>
    </w:p>
    <w:p>
      <w:pPr>
        <w:pStyle w:val="9"/>
        <w:spacing w:line="360" w:lineRule="auto"/>
        <w:ind w:firstLine="472" w:firstLineChars="196"/>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9"/>
        <w:spacing w:line="440" w:lineRule="exact"/>
        <w:ind w:firstLine="840" w:firstLineChars="350"/>
        <w:rPr>
          <w:rFonts w:hint="eastAsia"/>
          <w:color w:val="000000"/>
          <w:sz w:val="24"/>
          <w:szCs w:val="24"/>
        </w:rPr>
      </w:pPr>
      <w:r>
        <w:rPr>
          <w:rFonts w:hint="eastAsia"/>
          <w:color w:val="000000"/>
          <w:sz w:val="24"/>
          <w:szCs w:val="24"/>
        </w:rPr>
        <w:t>地址：铜仁市公共资源交易中心官方网址（</w:t>
      </w:r>
      <w:r>
        <w:rPr>
          <w:rFonts w:hint="eastAsia"/>
          <w:color w:val="000000"/>
          <w:sz w:val="24"/>
          <w:szCs w:val="24"/>
          <w:lang w:val="en-US" w:eastAsia="zh-CN"/>
        </w:rPr>
        <w:t>jyzx.trs.gov.cn</w:t>
      </w:r>
      <w:r>
        <w:rPr>
          <w:color w:val="000000"/>
          <w:sz w:val="24"/>
          <w:szCs w:val="24"/>
        </w:rPr>
        <w:t>）</w:t>
      </w:r>
    </w:p>
    <w:p>
      <w:pPr>
        <w:pStyle w:val="9"/>
        <w:spacing w:line="440" w:lineRule="exact"/>
        <w:ind w:firstLine="840" w:firstLineChars="350"/>
        <w:rPr>
          <w:rFonts w:hint="eastAsia" w:hAnsi="宋体"/>
          <w:color w:val="000000"/>
          <w:sz w:val="24"/>
          <w:lang w:val="en-US" w:eastAsia="zh-CN"/>
        </w:rPr>
      </w:pPr>
      <w:r>
        <w:rPr>
          <w:rFonts w:hint="eastAsia" w:hAnsi="宋体"/>
          <w:color w:val="000000"/>
          <w:sz w:val="24"/>
        </w:rPr>
        <w:t>联系电话：</w:t>
      </w:r>
      <w:r>
        <w:rPr>
          <w:rFonts w:hint="eastAsia" w:hAnsi="宋体"/>
          <w:color w:val="000000"/>
          <w:sz w:val="24"/>
          <w:lang w:val="en-US" w:eastAsia="zh-CN"/>
        </w:rPr>
        <w:t>0856-3912922</w:t>
      </w:r>
    </w:p>
    <w:p>
      <w:pPr>
        <w:pStyle w:val="9"/>
        <w:spacing w:line="440" w:lineRule="exact"/>
        <w:ind w:firstLine="843" w:firstLineChars="350"/>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人民币0元/套</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w:t>
      </w:r>
      <w:r>
        <w:rPr>
          <w:rFonts w:hint="eastAsia" w:asciiTheme="minorEastAsia" w:hAnsiTheme="minorEastAsia" w:eastAsiaTheme="minorEastAsia" w:cstheme="minorEastAsia"/>
          <w:b w:val="0"/>
          <w:bCs w:val="0"/>
          <w:sz w:val="24"/>
          <w:szCs w:val="24"/>
          <w:u w:val="none"/>
          <w:lang w:val="en-US" w:eastAsia="zh-CN"/>
        </w:rPr>
        <w:t>（http://www.ccgp-guizhou.gov.cn/ ）或铜仁市公共资源交易中心网（http://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 xml:space="preserve"> 9、评标时，投标供应商需提供以下资料复印件加盖公章：</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（1）工商营业执照副本；</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（2）税务登记证；（“三证合一”可不提供）</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（3）组织机构代码证；（“三证合一”可不提供）</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（4）</w:t>
      </w:r>
      <w:r>
        <w:rPr>
          <w:rFonts w:hint="eastAsia" w:hAnsi="宋体"/>
          <w:b/>
          <w:color w:val="000000"/>
          <w:sz w:val="24"/>
          <w:szCs w:val="24"/>
          <w:lang w:eastAsia="zh-CN"/>
        </w:rPr>
        <w:t>法人</w:t>
      </w:r>
      <w:r>
        <w:rPr>
          <w:rFonts w:hint="eastAsia" w:hAnsi="宋体"/>
          <w:b/>
          <w:color w:val="000000"/>
          <w:sz w:val="24"/>
          <w:szCs w:val="24"/>
        </w:rPr>
        <w:t>身份证或委托代理人持授权委托书及代理人身份证；</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（6）20</w:t>
      </w:r>
      <w:r>
        <w:rPr>
          <w:rFonts w:hint="eastAsia" w:hAnsi="宋体"/>
          <w:b/>
          <w:color w:val="000000"/>
          <w:sz w:val="24"/>
          <w:szCs w:val="24"/>
          <w:lang w:val="en-US" w:eastAsia="zh-CN"/>
        </w:rPr>
        <w:t>20</w:t>
      </w:r>
      <w:r>
        <w:rPr>
          <w:rFonts w:hint="eastAsia" w:hAnsi="宋体"/>
          <w:b/>
          <w:color w:val="000000"/>
          <w:sz w:val="24"/>
          <w:szCs w:val="24"/>
        </w:rPr>
        <w:t>年任意</w:t>
      </w:r>
      <w:r>
        <w:rPr>
          <w:rFonts w:hint="eastAsia" w:hAnsi="宋体"/>
          <w:b/>
          <w:color w:val="000000"/>
          <w:sz w:val="24"/>
          <w:szCs w:val="24"/>
          <w:lang w:val="en-US" w:eastAsia="zh-CN"/>
        </w:rPr>
        <w:t>1</w:t>
      </w:r>
      <w:r>
        <w:rPr>
          <w:rFonts w:hint="eastAsia" w:hAnsi="宋体"/>
          <w:b/>
          <w:color w:val="000000"/>
          <w:sz w:val="24"/>
          <w:szCs w:val="24"/>
        </w:rPr>
        <w:t>个月财务报表（含资产负债表及利润表）或银行资信证明；</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（7）20</w:t>
      </w:r>
      <w:r>
        <w:rPr>
          <w:rFonts w:hint="eastAsia" w:hAnsi="宋体"/>
          <w:b/>
          <w:color w:val="000000"/>
          <w:sz w:val="24"/>
          <w:szCs w:val="24"/>
          <w:lang w:val="en-US" w:eastAsia="zh-CN"/>
        </w:rPr>
        <w:t>20</w:t>
      </w:r>
      <w:r>
        <w:rPr>
          <w:rFonts w:hint="eastAsia" w:hAnsi="宋体"/>
          <w:b/>
          <w:color w:val="000000"/>
          <w:sz w:val="24"/>
          <w:szCs w:val="24"/>
        </w:rPr>
        <w:t>年任意</w:t>
      </w:r>
      <w:r>
        <w:rPr>
          <w:rFonts w:hint="eastAsia" w:hAnsi="宋体"/>
          <w:b/>
          <w:color w:val="000000"/>
          <w:sz w:val="24"/>
          <w:szCs w:val="24"/>
          <w:lang w:val="en-US" w:eastAsia="zh-CN"/>
        </w:rPr>
        <w:t>1</w:t>
      </w:r>
      <w:r>
        <w:rPr>
          <w:rFonts w:hint="eastAsia" w:hAnsi="宋体"/>
          <w:b/>
          <w:color w:val="000000"/>
          <w:sz w:val="24"/>
          <w:szCs w:val="24"/>
        </w:rPr>
        <w:t>个月的缴纳社保的凭证；</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（8）20</w:t>
      </w:r>
      <w:r>
        <w:rPr>
          <w:rFonts w:hint="eastAsia" w:hAnsi="宋体"/>
          <w:b/>
          <w:color w:val="000000"/>
          <w:sz w:val="24"/>
          <w:szCs w:val="24"/>
          <w:lang w:val="en-US" w:eastAsia="zh-CN"/>
        </w:rPr>
        <w:t>20</w:t>
      </w:r>
      <w:r>
        <w:rPr>
          <w:rFonts w:hint="eastAsia" w:hAnsi="宋体"/>
          <w:b/>
          <w:color w:val="000000"/>
          <w:sz w:val="24"/>
          <w:szCs w:val="24"/>
        </w:rPr>
        <w:t>年任意</w:t>
      </w:r>
      <w:r>
        <w:rPr>
          <w:rFonts w:hint="eastAsia" w:hAnsi="宋体"/>
          <w:b/>
          <w:color w:val="000000"/>
          <w:sz w:val="24"/>
          <w:szCs w:val="24"/>
          <w:lang w:val="en-US" w:eastAsia="zh-CN"/>
        </w:rPr>
        <w:t>1</w:t>
      </w:r>
      <w:r>
        <w:rPr>
          <w:rFonts w:hint="eastAsia" w:hAnsi="宋体"/>
          <w:b/>
          <w:color w:val="000000"/>
          <w:sz w:val="24"/>
          <w:szCs w:val="24"/>
        </w:rPr>
        <w:t>个月的完税凭证。</w:t>
      </w:r>
    </w:p>
    <w:p>
      <w:pPr>
        <w:pStyle w:val="9"/>
        <w:numPr>
          <w:ilvl w:val="0"/>
          <w:numId w:val="3"/>
        </w:numPr>
        <w:spacing w:line="500" w:lineRule="exact"/>
        <w:ind w:firstLine="481"/>
        <w:jc w:val="left"/>
        <w:rPr>
          <w:rFonts w:hint="eastAsia" w:hAnsi="宋体"/>
          <w:b/>
          <w:color w:val="000000"/>
          <w:sz w:val="24"/>
          <w:szCs w:val="24"/>
        </w:rPr>
      </w:pPr>
      <w:r>
        <w:rPr>
          <w:rFonts w:hint="eastAsia" w:hAnsi="宋体"/>
          <w:b/>
          <w:color w:val="000000"/>
          <w:sz w:val="24"/>
          <w:szCs w:val="24"/>
        </w:rPr>
        <w:t>参加政府采购活动前三年内，在经营活动中没有重大违法记录声明函</w:t>
      </w:r>
    </w:p>
    <w:p>
      <w:pPr>
        <w:pStyle w:val="9"/>
        <w:spacing w:line="500" w:lineRule="exact"/>
        <w:ind w:firstLine="481"/>
        <w:jc w:val="left"/>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pStyle w:val="9"/>
        <w:spacing w:line="500" w:lineRule="exact"/>
        <w:ind w:firstLine="481"/>
        <w:jc w:val="left"/>
        <w:rPr>
          <w:rFonts w:hint="eastAsia" w:hAnsi="宋体"/>
          <w:color w:val="000000"/>
          <w:sz w:val="24"/>
          <w:szCs w:val="24"/>
        </w:rPr>
      </w:pPr>
      <w:r>
        <w:rPr>
          <w:rFonts w:hint="eastAsia" w:hAnsi="宋体"/>
          <w:color w:val="000000"/>
          <w:sz w:val="24"/>
          <w:szCs w:val="24"/>
          <w:lang w:val="en-US" w:eastAsia="zh-CN"/>
        </w:rPr>
        <w:t xml:space="preserve"> 投标保证金交纳方式:具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pStyle w:val="9"/>
        <w:spacing w:line="360" w:lineRule="auto"/>
        <w:ind w:firstLine="840" w:firstLineChars="350"/>
        <w:jc w:val="left"/>
        <w:rPr>
          <w:rFonts w:hint="eastAsia" w:hAnsi="宋体"/>
          <w:color w:val="000000"/>
          <w:sz w:val="24"/>
          <w:szCs w:val="24"/>
        </w:rPr>
      </w:pPr>
      <w:r>
        <w:rPr>
          <w:rFonts w:hint="eastAsia" w:hAnsi="宋体"/>
          <w:color w:val="000000"/>
          <w:sz w:val="24"/>
          <w:szCs w:val="24"/>
        </w:rPr>
        <w:t>收款单位：铜仁市公共资源交易中心</w:t>
      </w:r>
    </w:p>
    <w:p>
      <w:pPr>
        <w:spacing w:line="360" w:lineRule="auto"/>
        <w:ind w:firstLine="840" w:firstLineChars="350"/>
        <w:rPr>
          <w:rFonts w:hint="eastAsia" w:ascii="宋体" w:hAnsi="宋体"/>
          <w:color w:val="000000"/>
          <w:sz w:val="24"/>
        </w:rPr>
      </w:pPr>
      <w:r>
        <w:rPr>
          <w:rFonts w:hint="eastAsia" w:ascii="宋体" w:hAnsi="宋体"/>
          <w:color w:val="000000"/>
          <w:sz w:val="24"/>
        </w:rPr>
        <w:t>开 户 行：贵州银行股份有限公司铜仁分行</w:t>
      </w:r>
    </w:p>
    <w:p>
      <w:pPr>
        <w:spacing w:line="360" w:lineRule="auto"/>
        <w:ind w:firstLine="840" w:firstLineChars="350"/>
        <w:rPr>
          <w:rFonts w:hint="eastAsia" w:ascii="宋体" w:hAnsi="宋体"/>
          <w:color w:val="000000"/>
          <w:sz w:val="24"/>
        </w:rPr>
      </w:pPr>
      <w:r>
        <w:rPr>
          <w:rFonts w:hint="eastAsia" w:ascii="宋体" w:hAnsi="宋体"/>
          <w:color w:val="000000"/>
          <w:sz w:val="24"/>
        </w:rPr>
        <w:t>帐    号：0601001500000296</w:t>
      </w:r>
    </w:p>
    <w:p>
      <w:pPr>
        <w:spacing w:line="360" w:lineRule="auto"/>
        <w:ind w:firstLine="482" w:firstLineChars="200"/>
        <w:rPr>
          <w:rFonts w:hint="eastAsia" w:ascii="宋体" w:hAnsi="宋体"/>
          <w:color w:val="000000"/>
          <w:sz w:val="24"/>
        </w:rPr>
      </w:pPr>
      <w:r>
        <w:rPr>
          <w:rFonts w:hint="eastAsia" w:ascii="宋体" w:hAnsi="宋体"/>
          <w:b/>
          <w:bCs/>
          <w:color w:val="000000"/>
          <w:sz w:val="24"/>
        </w:rPr>
        <w:t>11、采购预算</w:t>
      </w:r>
      <w:r>
        <w:rPr>
          <w:rFonts w:hint="eastAsia" w:ascii="宋体" w:hAnsi="宋体"/>
          <w:color w:val="000000"/>
          <w:sz w:val="24"/>
        </w:rPr>
        <w:t xml:space="preserve"> ：</w:t>
      </w:r>
      <w:r>
        <w:rPr>
          <w:rFonts w:hint="eastAsia" w:ascii="宋体" w:hAnsi="宋体"/>
          <w:color w:val="000000"/>
          <w:sz w:val="24"/>
          <w:lang w:val="en-US" w:eastAsia="zh-CN"/>
        </w:rPr>
        <w:t>800000.00</w:t>
      </w:r>
      <w:r>
        <w:rPr>
          <w:rFonts w:hint="eastAsia" w:ascii="宋体" w:hAnsi="宋体"/>
          <w:color w:val="000000"/>
          <w:sz w:val="24"/>
        </w:rPr>
        <w:t>元</w:t>
      </w:r>
    </w:p>
    <w:p>
      <w:pPr>
        <w:spacing w:line="500" w:lineRule="exact"/>
        <w:ind w:firstLine="472" w:firstLineChars="196"/>
        <w:rPr>
          <w:rFonts w:hint="eastAsia" w:ascii="宋体" w:hAnsi="宋体"/>
          <w:color w:val="000000"/>
          <w:sz w:val="24"/>
        </w:rPr>
      </w:pPr>
      <w:r>
        <w:rPr>
          <w:rFonts w:hint="eastAsia" w:ascii="宋体" w:hAnsi="宋体"/>
          <w:b/>
          <w:color w:val="000000"/>
          <w:sz w:val="24"/>
        </w:rPr>
        <w:t>12、 谈判时间：</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6</w:t>
      </w:r>
      <w:r>
        <w:rPr>
          <w:rFonts w:hint="eastAsia" w:ascii="宋体" w:hAnsi="宋体"/>
          <w:color w:val="000000"/>
          <w:sz w:val="24"/>
        </w:rPr>
        <w:t>月</w:t>
      </w:r>
      <w:r>
        <w:rPr>
          <w:rFonts w:hint="eastAsia" w:ascii="宋体" w:hAnsi="宋体"/>
          <w:color w:val="000000"/>
          <w:sz w:val="24"/>
          <w:lang w:val="en-US" w:eastAsia="zh-CN"/>
        </w:rPr>
        <w:t>29</w:t>
      </w:r>
      <w:r>
        <w:rPr>
          <w:rFonts w:hint="eastAsia" w:ascii="宋体" w:hAnsi="宋体"/>
          <w:color w:val="000000"/>
          <w:sz w:val="24"/>
        </w:rPr>
        <w:t>日</w:t>
      </w:r>
      <w:r>
        <w:rPr>
          <w:rFonts w:hint="eastAsia" w:ascii="宋体" w:hAnsi="宋体"/>
          <w:color w:val="000000"/>
          <w:sz w:val="24"/>
          <w:lang w:val="en-US" w:eastAsia="zh-CN"/>
        </w:rPr>
        <w:t>14</w:t>
      </w:r>
      <w:r>
        <w:rPr>
          <w:rFonts w:hint="eastAsia" w:ascii="宋体" w:hAnsi="宋体"/>
          <w:color w:val="000000"/>
          <w:sz w:val="24"/>
        </w:rPr>
        <w:t>时</w:t>
      </w:r>
    </w:p>
    <w:p>
      <w:pPr>
        <w:spacing w:line="500" w:lineRule="exact"/>
        <w:ind w:firstLine="470" w:firstLineChars="196"/>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spacing w:line="500" w:lineRule="exact"/>
        <w:ind w:firstLine="720" w:firstLineChars="300"/>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adjustRightInd w:val="0"/>
        <w:snapToGrid w:val="0"/>
        <w:spacing w:line="360" w:lineRule="auto"/>
        <w:ind w:firstLine="720" w:firstLineChars="300"/>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张琰</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adjustRightInd w:val="0"/>
        <w:snapToGrid w:val="0"/>
        <w:spacing w:line="360" w:lineRule="auto"/>
        <w:ind w:left="1199" w:leftChars="228" w:hanging="720" w:hangingChars="300"/>
        <w:rPr>
          <w:rFonts w:hint="eastAsia" w:ascii="宋体" w:hAnsi="宋体"/>
          <w:b w:val="0"/>
          <w:bCs w:val="0"/>
          <w:sz w:val="24"/>
          <w:lang w:val="en-US" w:eastAsia="zh-CN"/>
        </w:rPr>
      </w:pPr>
      <w:r>
        <w:rPr>
          <w:rFonts w:hint="eastAsia" w:ascii="宋体" w:hAnsi="宋体"/>
          <w:b w:val="0"/>
          <w:bCs w:val="0"/>
          <w:sz w:val="24"/>
          <w:lang w:val="en-US" w:eastAsia="zh-CN"/>
        </w:rPr>
        <w:t>14 、采购人地点及联系方式</w:t>
      </w:r>
      <w:r>
        <w:rPr>
          <w:rFonts w:hint="eastAsia" w:ascii="宋体" w:hAnsi="宋体"/>
          <w:b w:val="0"/>
          <w:bCs w:val="0"/>
          <w:sz w:val="24"/>
          <w:lang w:val="en-US" w:eastAsia="zh-CN"/>
        </w:rPr>
        <w:br w:type="textWrapping"/>
      </w:r>
      <w:r>
        <w:rPr>
          <w:rFonts w:hint="eastAsia" w:ascii="宋体" w:hAnsi="宋体"/>
          <w:b w:val="0"/>
          <w:bCs w:val="0"/>
          <w:sz w:val="24"/>
          <w:lang w:val="en-US" w:eastAsia="zh-CN"/>
        </w:rPr>
        <w:t>联系地址: 铜仁市自然资源局</w:t>
      </w:r>
      <w:r>
        <w:rPr>
          <w:rFonts w:hint="eastAsia" w:ascii="宋体" w:hAnsi="宋体"/>
          <w:b w:val="0"/>
          <w:bCs w:val="0"/>
          <w:sz w:val="24"/>
          <w:lang w:val="en-US" w:eastAsia="zh-CN"/>
        </w:rPr>
        <w:br w:type="textWrapping"/>
      </w:r>
      <w:r>
        <w:rPr>
          <w:rFonts w:hint="eastAsia" w:ascii="宋体" w:hAnsi="宋体"/>
          <w:b w:val="0"/>
          <w:bCs w:val="0"/>
          <w:sz w:val="24"/>
          <w:lang w:val="en-US" w:eastAsia="zh-CN"/>
        </w:rPr>
        <w:t>项目联系人:王女士</w:t>
      </w:r>
    </w:p>
    <w:p>
      <w:pPr>
        <w:adjustRightInd w:val="0"/>
        <w:snapToGrid w:val="0"/>
        <w:spacing w:line="360" w:lineRule="auto"/>
        <w:ind w:left="1199" w:leftChars="228" w:hanging="720" w:hangingChars="300"/>
        <w:rPr>
          <w:rFonts w:hint="default" w:ascii="宋体" w:hAnsi="宋体"/>
          <w:b w:val="0"/>
          <w:bCs w:val="0"/>
          <w:sz w:val="24"/>
          <w:lang w:val="en-US" w:eastAsia="zh-CN"/>
        </w:rPr>
      </w:pPr>
      <w:r>
        <w:rPr>
          <w:rFonts w:hint="eastAsia" w:ascii="宋体" w:hAnsi="宋体"/>
          <w:b w:val="0"/>
          <w:bCs w:val="0"/>
          <w:sz w:val="24"/>
          <w:lang w:val="en-US" w:eastAsia="zh-CN"/>
        </w:rPr>
        <w:t>联系电话: 18285638005</w:t>
      </w:r>
    </w:p>
    <w:p>
      <w:pPr>
        <w:adjustRightInd w:val="0"/>
        <w:snapToGrid w:val="0"/>
        <w:spacing w:line="360" w:lineRule="auto"/>
        <w:ind w:firstLine="480" w:firstLineChars="200"/>
        <w:rPr>
          <w:rFonts w:hint="eastAsia" w:ascii="宋体" w:hAnsi="宋体"/>
          <w:b w:val="0"/>
          <w:bCs w:val="0"/>
          <w:sz w:val="24"/>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sectPr>
          <w:headerReference r:id="rId3" w:type="default"/>
          <w:footerReference r:id="rId4" w:type="default"/>
          <w:pgSz w:w="11906" w:h="16838"/>
          <w:pgMar w:top="1440" w:right="1797" w:bottom="1440" w:left="1797" w:header="851" w:footer="992" w:gutter="0"/>
          <w:cols w:space="720" w:num="1"/>
          <w:docGrid w:linePitch="312" w:charSpace="0"/>
        </w:sectPr>
      </w:pPr>
    </w:p>
    <w:p>
      <w:pPr>
        <w:spacing w:line="360" w:lineRule="auto"/>
        <w:jc w:val="both"/>
        <w:outlineLvl w:val="0"/>
        <w:rPr>
          <w:rFonts w:hint="eastAsia" w:ascii="宋体" w:hAnsi="宋体"/>
          <w:b/>
          <w:bCs/>
          <w:sz w:val="30"/>
          <w:szCs w:val="30"/>
        </w:rPr>
      </w:pPr>
      <w:bookmarkStart w:id="10" w:name="_GoBack"/>
      <w:bookmarkEnd w:id="10"/>
    </w:p>
    <w:p>
      <w:pPr>
        <w:pStyle w:val="23"/>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hAnsi="宋体"/>
                <w:bCs/>
                <w:sz w:val="24"/>
                <w:u w:val="single"/>
                <w:lang w:eastAsia="zh-CN"/>
              </w:rPr>
              <w:t>铜仁市自然资源局《铜仁市矿产资源规划（2021-2025年）》编制服务采购（二次）</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铜仁市自然资源局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铜仁市自然资源局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hAnsi="宋体"/>
                <w:bCs/>
                <w:sz w:val="24"/>
                <w:u w:val="single"/>
                <w:lang w:eastAsia="zh-CN"/>
              </w:rPr>
              <w:t>《铜仁市矿产资源规划（2021-2025年）》编制</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TRZFCG-2020-074</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rPr>
              <w:t xml:space="preserve"> </w:t>
            </w:r>
            <w:r>
              <w:rPr>
                <w:rFonts w:hint="eastAsia" w:ascii="Arial" w:hAnsi="Arial" w:cs="Arial"/>
                <w:sz w:val="24"/>
                <w:u w:val="single"/>
                <w:lang w:val="en-US" w:eastAsia="zh-CN"/>
              </w:rPr>
              <w:t>80</w:t>
            </w:r>
            <w:r>
              <w:rPr>
                <w:rFonts w:hint="eastAsia" w:ascii="Arial" w:hAnsi="Arial" w:cs="Arial"/>
                <w:sz w:val="24"/>
                <w:u w:val="single"/>
              </w:rPr>
              <w:t>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响应文件递交地址：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Arial" w:cs="Arial"/>
                <w:sz w:val="24"/>
                <w:lang w:val="en-US" w:eastAsia="zh-CN"/>
              </w:rPr>
              <w:t>1</w:t>
            </w:r>
            <w:r>
              <w:rPr>
                <w:rFonts w:hint="eastAsia" w:ascii="宋体" w:hAnsi="宋体" w:cs="宋体"/>
                <w:sz w:val="24"/>
                <w:u w:val="single"/>
                <w:lang w:val="en-US" w:eastAsia="zh-CN"/>
              </w:rPr>
              <w:t>0000</w:t>
            </w:r>
            <w:r>
              <w:rPr>
                <w:rFonts w:hint="eastAsia" w:ascii="宋体" w:hAnsi="宋体" w:cs="宋体"/>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w:t>
            </w:r>
            <w:r>
              <w:rPr>
                <w:rFonts w:hint="eastAsia" w:ascii="Arial" w:cs="Arial"/>
                <w:sz w:val="24"/>
                <w:lang w:val="en-US" w:eastAsia="zh-CN"/>
              </w:rPr>
              <w:t>7</w:t>
            </w:r>
            <w:r>
              <w:rPr>
                <w:rFonts w:hint="default" w:ascii="Arial" w:cs="Arial"/>
                <w:sz w:val="24"/>
              </w:rPr>
              <w:t>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4"/>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rPr>
            </w:pPr>
            <w:r>
              <w:rPr>
                <w:rFonts w:hint="default"/>
              </w:rPr>
              <w:t>参加政府采购活动的</w:t>
            </w:r>
            <w:r>
              <w:rPr>
                <w:rFonts w:hint="eastAsia"/>
              </w:rPr>
              <w:t>谈判供应商</w:t>
            </w:r>
            <w:r>
              <w:rPr>
                <w:rFonts w:hint="default"/>
              </w:rPr>
              <w:t>应当</w:t>
            </w:r>
            <w:r>
              <w:rPr>
                <w:rFonts w:hint="eastAsia"/>
                <w:lang w:eastAsia="zh-CN"/>
              </w:rPr>
              <w:t>符合</w:t>
            </w:r>
            <w:r>
              <w:rPr>
                <w:rFonts w:hint="default"/>
              </w:rPr>
              <w:t>《中华人民共和国政府采购法》第二十二条第一款规定：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color w:val="FF0000"/>
                <w:sz w:val="24"/>
              </w:rPr>
              <w:t>（</w:t>
            </w:r>
            <w:r>
              <w:rPr>
                <w:rFonts w:hint="eastAsia" w:ascii="宋体" w:hAnsi="宋体"/>
                <w:b/>
                <w:color w:val="FF0000"/>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谈判响应供应商</w:t>
      </w:r>
      <w:r>
        <w:rPr>
          <w:rFonts w:hint="eastAsia" w:ascii="宋体" w:hAnsi="宋体"/>
          <w:sz w:val="24"/>
          <w:lang w:eastAsia="zh-CN"/>
        </w:rPr>
        <w:t>符合</w:t>
      </w:r>
      <w:r>
        <w:rPr>
          <w:rFonts w:hint="eastAsia" w:ascii="宋体" w:hAnsi="宋体"/>
          <w:sz w:val="24"/>
        </w:rPr>
        <w:t>《中华人民共和国政府采购法》第二十二条第一款规定：</w:t>
      </w:r>
    </w:p>
    <w:p>
      <w:pPr>
        <w:keepNext w:val="0"/>
        <w:keepLines w:val="0"/>
        <w:pageBreakBefore w:val="0"/>
        <w:widowControl w:val="0"/>
        <w:kinsoku/>
        <w:wordWrap/>
        <w:overflowPunct/>
        <w:topLinePunct w:val="0"/>
        <w:autoSpaceDE/>
        <w:autoSpaceDN/>
        <w:bidi w:val="0"/>
        <w:adjustRightInd/>
        <w:spacing w:line="400" w:lineRule="exact"/>
        <w:ind w:right="0" w:rightChars="0" w:firstLine="960" w:firstLineChars="4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)具有独立承担民事责任的能力；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2</w:t>
      </w:r>
      <w:r>
        <w:rPr>
          <w:rFonts w:hint="eastAsia" w:ascii="宋体" w:hAnsi="宋体"/>
          <w:sz w:val="24"/>
        </w:rPr>
        <w:t>)具有良好的商业信誉和健全的财务会计制度；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3</w:t>
      </w:r>
      <w:r>
        <w:rPr>
          <w:rFonts w:hint="eastAsia" w:ascii="宋体" w:hAnsi="宋体"/>
          <w:sz w:val="24"/>
        </w:rPr>
        <w:t>)具有履行合同所必需的设备和专业技术能力；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4</w:t>
      </w:r>
      <w:r>
        <w:rPr>
          <w:rFonts w:hint="eastAsia" w:ascii="宋体" w:hAnsi="宋体"/>
          <w:sz w:val="24"/>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5</w:t>
      </w:r>
      <w:r>
        <w:rPr>
          <w:rFonts w:hint="eastAsia" w:ascii="宋体" w:hAnsi="宋体"/>
          <w:sz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rPr>
        <w:t>　　(</w:t>
      </w:r>
      <w:r>
        <w:rPr>
          <w:rFonts w:hint="eastAsia" w:ascii="宋体" w:hAnsi="宋体"/>
          <w:sz w:val="24"/>
          <w:lang w:val="en-US" w:eastAsia="zh-CN"/>
        </w:rPr>
        <w:t>6</w:t>
      </w:r>
      <w:r>
        <w:rPr>
          <w:rFonts w:hint="eastAsia" w:ascii="宋体" w:hAnsi="宋体"/>
          <w:sz w:val="24"/>
        </w:rPr>
        <w:t>)法律、行政法规规定的其他条件。</w:t>
      </w: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2168" w:firstLineChars="675"/>
        <w:jc w:val="both"/>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29"/>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10.8谈判响应供应商提交的其他资料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10.9中小企业声明函</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Fonts w:hint="eastAsia" w:hAnsi="宋体"/>
          <w:sz w:val="24"/>
          <w:lang w:val="en-US" w:eastAsia="zh-CN"/>
        </w:rPr>
        <w:t>12.9</w:t>
      </w:r>
      <w:r>
        <w:rPr>
          <w:rStyle w:val="31"/>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lang w:val="en-US" w:eastAsia="zh-CN"/>
        </w:rPr>
        <w:t>1.</w:t>
      </w:r>
      <w:r>
        <w:rPr>
          <w:rStyle w:val="31"/>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·登录公共资源电子交易系统（</w:t>
      </w:r>
      <w:r>
        <w:rPr>
          <w:rStyle w:val="31"/>
          <w:rFonts w:hint="eastAsia" w:ascii="宋体" w:hAnsi="宋体"/>
          <w:sz w:val="24"/>
          <w:szCs w:val="24"/>
          <w:lang w:eastAsia="zh-CN"/>
        </w:rPr>
        <w:t>jyzx.trs.gov.cn</w:t>
      </w:r>
      <w:r>
        <w:rPr>
          <w:rStyle w:val="31"/>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lang w:val="en-US" w:eastAsia="zh-CN"/>
        </w:rPr>
        <w:t>2.</w:t>
      </w:r>
      <w:r>
        <w:rPr>
          <w:rStyle w:val="31"/>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Style w:val="31"/>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Style w:val="31"/>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Style w:val="31"/>
          <w:rFonts w:hint="eastAsia" w:ascii="宋体" w:hAnsi="宋体"/>
          <w:sz w:val="24"/>
          <w:szCs w:val="24"/>
          <w:lang w:val="en-US" w:eastAsia="zh-CN"/>
        </w:rPr>
        <w:t>·点【打印保证金回执单】按钮，查看确认到账回执信息，打印留存备用。</w:t>
      </w:r>
    </w:p>
    <w:p>
      <w:pPr>
        <w:pStyle w:val="2"/>
        <w:ind w:firstLine="480" w:firstLineChars="200"/>
        <w:rPr>
          <w:rFonts w:hint="eastAsia" w:hAnsi="宋体"/>
          <w:sz w:val="24"/>
          <w:lang w:val="en-US" w:eastAsia="zh-CN"/>
        </w:rPr>
      </w:pPr>
      <w:r>
        <w:rPr>
          <w:rStyle w:val="31"/>
          <w:rFonts w:hint="eastAsia" w:ascii="宋体" w:hAnsi="宋体" w:cstheme="minorBidi"/>
          <w:kern w:val="2"/>
          <w:sz w:val="24"/>
          <w:szCs w:val="24"/>
          <w:lang w:val="en-US" w:eastAsia="zh-CN" w:bidi="ar-SA"/>
        </w:rPr>
        <w:t>2.</w:t>
      </w:r>
      <w:r>
        <w:rPr>
          <w:rStyle w:val="31"/>
          <w:rFonts w:hint="eastAsia" w:ascii="宋体" w:hAnsi="宋体" w:eastAsiaTheme="minorEastAsia" w:cstheme="minorBidi"/>
          <w:kern w:val="2"/>
          <w:sz w:val="24"/>
          <w:szCs w:val="24"/>
          <w:lang w:val="en-US" w:eastAsia="zh-CN" w:bidi="ar-SA"/>
        </w:rPr>
        <w:t>采用《投标保证金保函》（电子保函）提交（具体操作方式见铜仁市公共资源交易中心首页——办事指南——政府采购——常见问题解答——《投标电子保函申请操作步骤》）</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13.8 所有资格证明文件复印件须加盖谈判响应供应商公章。</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7"/>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color w:val="FF0000"/>
          <w:sz w:val="24"/>
        </w:rPr>
        <w:t>投标文件的签署、密封及规定</w:t>
      </w:r>
      <w:r>
        <w:rPr>
          <w:rFonts w:hint="eastAsia" w:ascii="宋体" w:hAnsi="宋体"/>
          <w:color w:val="FF0000"/>
          <w:sz w:val="24"/>
          <w:lang w:eastAsia="zh-CN"/>
        </w:rPr>
        <w:t>，</w:t>
      </w:r>
      <w:r>
        <w:rPr>
          <w:rFonts w:hint="eastAsia" w:ascii="宋体" w:hAnsi="宋体"/>
          <w:color w:val="FF0000"/>
          <w:sz w:val="24"/>
        </w:rPr>
        <w:t>投标人应按照要求，准备一式</w:t>
      </w:r>
      <w:r>
        <w:rPr>
          <w:rFonts w:hint="eastAsia" w:ascii="宋体" w:hAnsi="宋体"/>
          <w:color w:val="FF0000"/>
          <w:sz w:val="24"/>
          <w:u w:val="single"/>
        </w:rPr>
        <w:t xml:space="preserve"> </w:t>
      </w:r>
      <w:r>
        <w:rPr>
          <w:rFonts w:hint="eastAsia" w:ascii="宋体" w:hAnsi="宋体"/>
          <w:b/>
          <w:color w:val="FF0000"/>
          <w:sz w:val="24"/>
          <w:u w:val="single"/>
        </w:rPr>
        <w:t>2</w:t>
      </w:r>
      <w:r>
        <w:rPr>
          <w:rFonts w:hint="eastAsia" w:ascii="宋体" w:hAnsi="宋体"/>
          <w:color w:val="FF0000"/>
          <w:sz w:val="24"/>
          <w:u w:val="single"/>
        </w:rPr>
        <w:t xml:space="preserve"> </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投标文件（正、副本）内容均须按页码顺序装订成册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w:t>
      </w:r>
      <w:r>
        <w:rPr>
          <w:rFonts w:hint="eastAsia" w:hAnsi="宋体"/>
          <w:sz w:val="24"/>
        </w:rPr>
        <w:t>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（1）工商营业执照副本；</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（2）税务登记证；（“三证合一”可不提供）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（3）组织机构代码证；（“三证合一”可不提供）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（4）</w:t>
      </w:r>
      <w:r>
        <w:rPr>
          <w:rFonts w:hint="eastAsia" w:ascii="宋体" w:hAnsi="宋体"/>
          <w:sz w:val="24"/>
          <w:lang w:eastAsia="zh-CN"/>
        </w:rPr>
        <w:t>法</w:t>
      </w:r>
      <w:r>
        <w:rPr>
          <w:rFonts w:hint="eastAsia" w:ascii="宋体" w:hAnsi="宋体"/>
          <w:sz w:val="24"/>
        </w:rPr>
        <w:t>人身份证或委托代理人持授权委托书及代理人身份证；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（6）20</w:t>
      </w:r>
      <w:r>
        <w:rPr>
          <w:rFonts w:hint="eastAsia" w:ascii="宋体" w:hAnsi="宋体"/>
          <w:sz w:val="24"/>
          <w:lang w:val="en-US" w:eastAsia="zh-CN"/>
        </w:rPr>
        <w:t>20</w:t>
      </w:r>
      <w:r>
        <w:rPr>
          <w:rFonts w:hint="eastAsia" w:ascii="宋体" w:hAnsi="宋体"/>
          <w:sz w:val="24"/>
        </w:rPr>
        <w:t>年任意</w:t>
      </w:r>
      <w:r>
        <w:rPr>
          <w:rFonts w:hint="eastAsia" w:ascii="宋体" w:hAnsi="宋体"/>
          <w:sz w:val="24"/>
          <w:lang w:val="en-US" w:eastAsia="zh-CN"/>
        </w:rPr>
        <w:t>1</w:t>
      </w:r>
      <w:r>
        <w:rPr>
          <w:rFonts w:hint="eastAsia" w:ascii="宋体" w:hAnsi="宋体"/>
          <w:sz w:val="24"/>
        </w:rPr>
        <w:t>个月财务报表（含资产负债表及利润表）或银行资信证明；</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（7）20</w:t>
      </w:r>
      <w:r>
        <w:rPr>
          <w:rFonts w:hint="eastAsia" w:ascii="宋体" w:hAnsi="宋体"/>
          <w:sz w:val="24"/>
          <w:lang w:val="en-US" w:eastAsia="zh-CN"/>
        </w:rPr>
        <w:t>20</w:t>
      </w:r>
      <w:r>
        <w:rPr>
          <w:rFonts w:hint="eastAsia" w:ascii="宋体" w:hAnsi="宋体"/>
          <w:sz w:val="24"/>
        </w:rPr>
        <w:t>年任意</w:t>
      </w:r>
      <w:r>
        <w:rPr>
          <w:rFonts w:hint="eastAsia" w:ascii="宋体" w:hAnsi="宋体"/>
          <w:sz w:val="24"/>
          <w:lang w:val="en-US" w:eastAsia="zh-CN"/>
        </w:rPr>
        <w:t>1</w:t>
      </w:r>
      <w:r>
        <w:rPr>
          <w:rFonts w:hint="eastAsia" w:ascii="宋体" w:hAnsi="宋体"/>
          <w:sz w:val="24"/>
        </w:rPr>
        <w:t>个月的缴纳社保的凭证；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（8）20</w:t>
      </w:r>
      <w:r>
        <w:rPr>
          <w:rFonts w:hint="eastAsia" w:ascii="宋体" w:hAnsi="宋体"/>
          <w:sz w:val="24"/>
          <w:lang w:val="en-US" w:eastAsia="zh-CN"/>
        </w:rPr>
        <w:t>20</w:t>
      </w:r>
      <w:r>
        <w:rPr>
          <w:rFonts w:hint="eastAsia" w:ascii="宋体" w:hAnsi="宋体"/>
          <w:sz w:val="24"/>
        </w:rPr>
        <w:t>年任意</w:t>
      </w:r>
      <w:r>
        <w:rPr>
          <w:rFonts w:hint="eastAsia" w:ascii="宋体" w:hAnsi="宋体"/>
          <w:sz w:val="24"/>
          <w:lang w:val="en-US" w:eastAsia="zh-CN"/>
        </w:rPr>
        <w:t>1</w:t>
      </w:r>
      <w:r>
        <w:rPr>
          <w:rFonts w:hint="eastAsia" w:ascii="宋体" w:hAnsi="宋体"/>
          <w:sz w:val="24"/>
        </w:rPr>
        <w:t>个月的完税凭证。</w:t>
      </w:r>
    </w:p>
    <w:p>
      <w:pPr>
        <w:keepNext w:val="0"/>
        <w:keepLines w:val="0"/>
        <w:pageBreakBefore w:val="0"/>
        <w:widowControl w:val="0"/>
        <w:numPr>
          <w:ilvl w:val="0"/>
          <w:numId w:val="4"/>
        </w:numPr>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lang w:eastAsia="zh-CN"/>
        </w:rPr>
      </w:pPr>
      <w:r>
        <w:rPr>
          <w:rFonts w:hint="eastAsia" w:ascii="宋体" w:hAnsi="宋体"/>
          <w:sz w:val="24"/>
        </w:rPr>
        <w:t>参加政府采购活动前三年内，在经营活动中没有重大违法记录声明函</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本次谈判采用最低价评标法。</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jc w:val="both"/>
        <w:outlineLvl w:val="0"/>
        <w:rPr>
          <w:rFonts w:hint="eastAsia" w:ascii="宋体" w:hAnsi="宋体"/>
          <w:b/>
          <w:bCs/>
          <w:sz w:val="36"/>
          <w:szCs w:val="36"/>
        </w:rPr>
        <w:sectPr>
          <w:pgSz w:w="11906" w:h="16838"/>
          <w:pgMar w:top="1440" w:right="1797" w:bottom="1440" w:left="1797" w:header="851" w:footer="992" w:gutter="0"/>
          <w:cols w:space="720" w:num="1"/>
          <w:docGrid w:linePitch="312" w:charSpace="0"/>
        </w:sectPr>
      </w:pPr>
    </w:p>
    <w:p>
      <w:pPr>
        <w:pStyle w:val="2"/>
        <w:rPr>
          <w:rFonts w:hint="eastAsia"/>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ind w:left="2140" w:hanging="2140" w:hangingChars="592"/>
        <w:jc w:val="center"/>
        <w:rPr>
          <w:rFonts w:hint="eastAsia" w:ascii="仿宋_GB2312" w:eastAsia="仿宋_GB2312"/>
          <w:b/>
          <w:color w:val="auto"/>
          <w:sz w:val="36"/>
          <w:szCs w:val="36"/>
        </w:rPr>
      </w:pPr>
      <w:r>
        <w:rPr>
          <w:rFonts w:hint="eastAsia" w:ascii="仿宋_GB2312" w:hAnsi="Hiragino Sans GB" w:eastAsia="仿宋_GB2312" w:cs="Arial"/>
          <w:b/>
          <w:color w:val="auto"/>
          <w:kern w:val="0"/>
          <w:sz w:val="36"/>
          <w:szCs w:val="36"/>
          <w:lang w:eastAsia="zh-CN"/>
        </w:rPr>
        <w:t>《</w:t>
      </w:r>
      <w:r>
        <w:rPr>
          <w:rFonts w:hint="eastAsia" w:ascii="仿宋_GB2312" w:hAnsi="Hiragino Sans GB" w:eastAsia="仿宋_GB2312" w:cs="Arial"/>
          <w:b/>
          <w:color w:val="auto"/>
          <w:kern w:val="0"/>
          <w:sz w:val="36"/>
          <w:szCs w:val="36"/>
        </w:rPr>
        <w:t>铜仁市</w:t>
      </w:r>
      <w:r>
        <w:rPr>
          <w:rFonts w:hint="eastAsia" w:ascii="仿宋_GB2312" w:hAnsi="Hiragino Sans GB" w:eastAsia="仿宋_GB2312" w:cs="Arial"/>
          <w:b/>
          <w:color w:val="auto"/>
          <w:kern w:val="0"/>
          <w:sz w:val="36"/>
          <w:szCs w:val="36"/>
          <w:lang w:eastAsia="zh-CN"/>
        </w:rPr>
        <w:t>矿产资源规划（</w:t>
      </w:r>
      <w:r>
        <w:rPr>
          <w:rFonts w:hint="eastAsia" w:ascii="仿宋_GB2312" w:hAnsi="Hiragino Sans GB" w:eastAsia="仿宋_GB2312" w:cs="Arial"/>
          <w:b/>
          <w:color w:val="auto"/>
          <w:kern w:val="0"/>
          <w:sz w:val="36"/>
          <w:szCs w:val="36"/>
          <w:lang w:val="en-US" w:eastAsia="zh-CN"/>
        </w:rPr>
        <w:t>2021-2025年</w:t>
      </w:r>
      <w:r>
        <w:rPr>
          <w:rFonts w:hint="eastAsia" w:ascii="仿宋_GB2312" w:hAnsi="Hiragino Sans GB" w:eastAsia="仿宋_GB2312" w:cs="Arial"/>
          <w:b/>
          <w:color w:val="auto"/>
          <w:kern w:val="0"/>
          <w:sz w:val="36"/>
          <w:szCs w:val="36"/>
          <w:lang w:eastAsia="zh-CN"/>
        </w:rPr>
        <w:t>）》</w:t>
      </w:r>
      <w:r>
        <w:rPr>
          <w:rFonts w:hint="eastAsia" w:ascii="仿宋_GB2312" w:hAnsi="Hiragino Sans GB" w:eastAsia="仿宋_GB2312" w:cs="Arial"/>
          <w:b/>
          <w:color w:val="auto"/>
          <w:kern w:val="0"/>
          <w:sz w:val="36"/>
          <w:szCs w:val="36"/>
        </w:rPr>
        <w:t>编制</w:t>
      </w:r>
      <w:r>
        <w:rPr>
          <w:rFonts w:hint="eastAsia" w:ascii="仿宋_GB2312" w:eastAsia="仿宋_GB2312"/>
          <w:b/>
          <w:color w:val="auto"/>
          <w:sz w:val="36"/>
          <w:szCs w:val="36"/>
        </w:rPr>
        <w:t>方案</w:t>
      </w:r>
    </w:p>
    <w:p>
      <w:pPr>
        <w:ind w:firstLine="663" w:firstLineChars="150"/>
        <w:jc w:val="center"/>
        <w:rPr>
          <w:rFonts w:hint="eastAsia" w:ascii="仿宋_GB2312" w:eastAsia="仿宋_GB2312"/>
          <w:b/>
          <w:color w:val="auto"/>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after="210" w:afterAutospacing="0" w:line="520" w:lineRule="exact"/>
        <w:ind w:firstLine="640" w:firstLineChars="200"/>
        <w:textAlignment w:val="auto"/>
        <w:outlineLvl w:val="1"/>
        <w:rPr>
          <w:rFonts w:hint="eastAsia" w:ascii="仿宋_GB2312" w:hAnsi="宋体" w:eastAsia="仿宋_GB2312" w:cs="宋体"/>
          <w:b w:val="0"/>
          <w:color w:val="auto"/>
          <w:kern w:val="2"/>
          <w:sz w:val="32"/>
          <w:szCs w:val="32"/>
          <w:lang w:val="en-US" w:eastAsia="zh-CN" w:bidi="ar-SA"/>
        </w:rPr>
      </w:pPr>
      <w:r>
        <w:rPr>
          <w:rFonts w:hint="eastAsia" w:ascii="仿宋_GB2312" w:hAnsi="宋体" w:eastAsia="仿宋_GB2312" w:cs="宋体"/>
          <w:b w:val="0"/>
          <w:color w:val="auto"/>
          <w:kern w:val="2"/>
          <w:sz w:val="32"/>
          <w:szCs w:val="32"/>
          <w:lang w:val="en-US" w:eastAsia="zh-CN" w:bidi="ar-SA"/>
        </w:rPr>
        <w:t>为加强矿产资源勘查、开发利用和保护的统一规划</w:t>
      </w:r>
      <w:r>
        <w:rPr>
          <w:rFonts w:hint="eastAsia" w:ascii="仿宋_GB2312" w:eastAsia="仿宋_GB2312" w:cs="宋体"/>
          <w:b w:val="0"/>
          <w:color w:val="auto"/>
          <w:kern w:val="2"/>
          <w:sz w:val="32"/>
          <w:szCs w:val="32"/>
          <w:lang w:val="en-US" w:eastAsia="zh-CN" w:bidi="ar-SA"/>
        </w:rPr>
        <w:t>,</w:t>
      </w:r>
      <w:r>
        <w:rPr>
          <w:rFonts w:hint="eastAsia" w:ascii="仿宋_GB2312" w:hAnsi="宋体" w:eastAsia="仿宋_GB2312" w:cs="宋体"/>
          <w:b w:val="0"/>
          <w:color w:val="auto"/>
          <w:kern w:val="2"/>
          <w:sz w:val="32"/>
          <w:szCs w:val="32"/>
          <w:lang w:val="en-US" w:eastAsia="zh-CN" w:bidi="ar-SA"/>
        </w:rPr>
        <w:t>根据《自然资源部关于全面开展矿产资源规划</w:t>
      </w:r>
      <w:r>
        <w:rPr>
          <w:rFonts w:hint="eastAsia" w:ascii="仿宋_GB2312" w:eastAsia="仿宋_GB2312" w:cs="宋体"/>
          <w:b w:val="0"/>
          <w:color w:val="auto"/>
          <w:kern w:val="2"/>
          <w:sz w:val="32"/>
          <w:szCs w:val="32"/>
          <w:lang w:val="en-US" w:eastAsia="zh-CN" w:bidi="ar-SA"/>
        </w:rPr>
        <w:t>2</w:t>
      </w:r>
      <w:r>
        <w:rPr>
          <w:rFonts w:hint="eastAsia" w:ascii="仿宋_GB2312" w:hAnsi="宋体" w:eastAsia="仿宋_GB2312" w:cs="宋体"/>
          <w:b w:val="0"/>
          <w:color w:val="auto"/>
          <w:kern w:val="2"/>
          <w:sz w:val="32"/>
          <w:szCs w:val="32"/>
          <w:lang w:val="en-US" w:eastAsia="zh-CN" w:bidi="ar-SA"/>
        </w:rPr>
        <w:t>021-2025年）编制工作的通知》（自然资发〔2020〕43号）、《贵州省</w:t>
      </w:r>
      <w:r>
        <w:rPr>
          <w:rFonts w:hint="eastAsia" w:ascii="仿宋_GB2312" w:eastAsia="仿宋_GB2312" w:cs="宋体"/>
          <w:b w:val="0"/>
          <w:color w:val="auto"/>
          <w:kern w:val="2"/>
          <w:sz w:val="32"/>
          <w:szCs w:val="32"/>
          <w:lang w:val="en-US" w:eastAsia="zh-CN" w:bidi="ar-SA"/>
        </w:rPr>
        <w:t>自然</w:t>
      </w:r>
      <w:r>
        <w:rPr>
          <w:rFonts w:hint="eastAsia" w:ascii="仿宋_GB2312" w:hAnsi="宋体" w:eastAsia="仿宋_GB2312" w:cs="宋体"/>
          <w:b w:val="0"/>
          <w:color w:val="auto"/>
          <w:kern w:val="2"/>
          <w:sz w:val="32"/>
          <w:szCs w:val="32"/>
          <w:lang w:val="en-US" w:eastAsia="zh-CN" w:bidi="ar-SA"/>
        </w:rPr>
        <w:t>资源厅关于转发</w:t>
      </w:r>
      <w:r>
        <w:rPr>
          <w:rFonts w:hint="eastAsia" w:ascii="仿宋_GB2312" w:eastAsia="仿宋_GB2312" w:cs="宋体"/>
          <w:b w:val="0"/>
          <w:color w:val="auto"/>
          <w:kern w:val="2"/>
          <w:sz w:val="32"/>
          <w:szCs w:val="32"/>
          <w:lang w:val="en-US" w:eastAsia="zh-CN" w:bidi="ar-SA"/>
        </w:rPr>
        <w:t>&lt;</w:t>
      </w:r>
      <w:r>
        <w:rPr>
          <w:rFonts w:hint="eastAsia" w:ascii="仿宋_GB2312" w:hAnsi="宋体" w:eastAsia="仿宋_GB2312" w:cs="宋体"/>
          <w:b w:val="0"/>
          <w:color w:val="auto"/>
          <w:kern w:val="2"/>
          <w:sz w:val="32"/>
          <w:szCs w:val="32"/>
          <w:lang w:val="en-US" w:eastAsia="zh-CN" w:bidi="ar-SA"/>
        </w:rPr>
        <w:t>自然资源部关于全面开展矿产资源规划(2021-2025年)编制工作的通知</w:t>
      </w:r>
      <w:r>
        <w:rPr>
          <w:rFonts w:hint="eastAsia" w:ascii="仿宋_GB2312" w:eastAsia="仿宋_GB2312" w:cs="宋体"/>
          <w:b w:val="0"/>
          <w:color w:val="auto"/>
          <w:kern w:val="2"/>
          <w:sz w:val="32"/>
          <w:szCs w:val="32"/>
          <w:lang w:val="en-US" w:eastAsia="zh-CN" w:bidi="ar-SA"/>
        </w:rPr>
        <w:t>&gt;</w:t>
      </w:r>
      <w:r>
        <w:rPr>
          <w:rFonts w:hint="eastAsia" w:ascii="仿宋_GB2312" w:hAnsi="宋体" w:eastAsia="仿宋_GB2312" w:cs="宋体"/>
          <w:b w:val="0"/>
          <w:color w:val="auto"/>
          <w:kern w:val="2"/>
          <w:sz w:val="32"/>
          <w:szCs w:val="32"/>
          <w:lang w:val="en-US" w:eastAsia="zh-CN" w:bidi="ar-SA"/>
        </w:rPr>
        <w:t>的通知》（黔自然资函〔2020〕268号）等文件要求。</w:t>
      </w:r>
      <w:bookmarkStart w:id="3" w:name="OLE_LINK4"/>
      <w:r>
        <w:rPr>
          <w:rFonts w:hint="eastAsia" w:ascii="仿宋_GB2312" w:hAnsi="宋体" w:eastAsia="仿宋_GB2312" w:cs="宋体"/>
          <w:b w:val="0"/>
          <w:color w:val="auto"/>
          <w:kern w:val="2"/>
          <w:sz w:val="32"/>
          <w:szCs w:val="32"/>
          <w:lang w:val="en-US" w:eastAsia="zh-CN" w:bidi="ar-SA"/>
        </w:rPr>
        <w:t>经市政府研究决定，组织开展铜仁市矿产资源规划（2021-2025年）编制工作。</w:t>
      </w:r>
    </w:p>
    <w:bookmarkEnd w:id="3"/>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hint="eastAsia" w:ascii="仿宋_GB2312" w:eastAsia="仿宋_GB2312"/>
          <w:b/>
          <w:color w:val="auto"/>
          <w:sz w:val="32"/>
          <w:szCs w:val="32"/>
        </w:rPr>
      </w:pPr>
      <w:r>
        <w:rPr>
          <w:rFonts w:hint="eastAsia" w:ascii="仿宋_GB2312" w:eastAsia="仿宋_GB2312"/>
          <w:b/>
          <w:color w:val="auto"/>
          <w:sz w:val="32"/>
          <w:szCs w:val="32"/>
          <w:lang w:val="en-US" w:eastAsia="zh-CN"/>
        </w:rPr>
        <w:t>一</w:t>
      </w:r>
      <w:r>
        <w:rPr>
          <w:rFonts w:hint="eastAsia" w:ascii="仿宋_GB2312" w:eastAsia="仿宋_GB2312"/>
          <w:b/>
          <w:color w:val="auto"/>
          <w:sz w:val="32"/>
          <w:szCs w:val="32"/>
        </w:rPr>
        <w:t>、</w:t>
      </w:r>
      <w:r>
        <w:rPr>
          <w:rFonts w:hint="eastAsia" w:ascii="仿宋_GB2312" w:eastAsia="仿宋_GB2312"/>
          <w:b/>
          <w:color w:val="auto"/>
          <w:sz w:val="32"/>
          <w:szCs w:val="32"/>
          <w:lang w:eastAsia="zh-CN"/>
        </w:rPr>
        <w:t>《</w:t>
      </w:r>
      <w:r>
        <w:rPr>
          <w:rFonts w:hint="eastAsia" w:ascii="仿宋_GB2312" w:eastAsia="仿宋_GB2312"/>
          <w:b/>
          <w:color w:val="auto"/>
          <w:sz w:val="32"/>
          <w:szCs w:val="32"/>
        </w:rPr>
        <w:t>规划</w:t>
      </w:r>
      <w:r>
        <w:rPr>
          <w:rFonts w:hint="eastAsia" w:ascii="仿宋_GB2312" w:eastAsia="仿宋_GB2312"/>
          <w:b/>
          <w:color w:val="auto"/>
          <w:sz w:val="32"/>
          <w:szCs w:val="32"/>
          <w:lang w:eastAsia="zh-CN"/>
        </w:rPr>
        <w:t>》</w:t>
      </w:r>
      <w:r>
        <w:rPr>
          <w:rFonts w:hint="eastAsia" w:ascii="仿宋_GB2312" w:eastAsia="仿宋_GB2312"/>
          <w:b/>
          <w:color w:val="auto"/>
          <w:sz w:val="32"/>
          <w:szCs w:val="32"/>
        </w:rPr>
        <w:t>编制要求</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0"/>
        <w:rPr>
          <w:rFonts w:hint="eastAsia" w:ascii="仿宋_GB2312" w:eastAsia="仿宋_GB2312"/>
          <w:b/>
          <w:color w:val="auto"/>
          <w:sz w:val="32"/>
          <w:szCs w:val="32"/>
          <w:lang w:eastAsia="zh-CN"/>
        </w:rPr>
      </w:pPr>
      <w:r>
        <w:rPr>
          <w:rFonts w:hint="eastAsia" w:ascii="仿宋_GB2312" w:eastAsia="仿宋_GB2312"/>
          <w:b/>
          <w:color w:val="auto"/>
          <w:sz w:val="32"/>
          <w:szCs w:val="32"/>
        </w:rPr>
        <w:t>（一）</w:t>
      </w:r>
      <w:r>
        <w:rPr>
          <w:rFonts w:hint="eastAsia" w:ascii="仿宋_GB2312" w:eastAsia="仿宋_GB2312"/>
          <w:b/>
          <w:color w:val="auto"/>
          <w:sz w:val="32"/>
          <w:szCs w:val="32"/>
          <w:lang w:eastAsia="zh-CN"/>
        </w:rPr>
        <w:t>成果及要求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s="宋体"/>
          <w:color w:val="auto"/>
          <w:sz w:val="32"/>
          <w:szCs w:val="32"/>
        </w:rPr>
        <w:t>规划文本</w:t>
      </w:r>
      <w:r>
        <w:rPr>
          <w:rFonts w:hint="eastAsia" w:ascii="仿宋_GB2312" w:hAnsi="宋体" w:eastAsia="仿宋_GB2312" w:cs="宋体"/>
          <w:color w:val="auto"/>
          <w:sz w:val="32"/>
          <w:szCs w:val="32"/>
          <w:lang w:eastAsia="zh-CN"/>
        </w:rPr>
        <w:t>（摸清底数）、</w:t>
      </w:r>
      <w:r>
        <w:rPr>
          <w:rFonts w:hint="eastAsia" w:ascii="仿宋_GB2312" w:hAnsi="宋体" w:eastAsia="仿宋_GB2312" w:cs="宋体"/>
          <w:color w:val="auto"/>
          <w:sz w:val="32"/>
          <w:szCs w:val="32"/>
        </w:rPr>
        <w:t>规划说明</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规划图件、规划数据库、规划项目库、规划附件（包括矿产资源规划编制工作方案、实施方案、技术方案、专题研究成果，以及反映规划编制过程的会议纪要、部门意见、专家论证意见、公众参与记录等）</w:t>
      </w:r>
      <w:r>
        <w:rPr>
          <w:rFonts w:hint="eastAsia" w:ascii="仿宋_GB2312" w:hAnsi="宋体" w:eastAsia="仿宋_GB2312" w:cs="宋体"/>
          <w:color w:val="auto"/>
          <w:sz w:val="32"/>
          <w:szCs w:val="32"/>
          <w:lang w:eastAsia="zh-CN"/>
        </w:rPr>
        <w:t>，多图合一数据库（含三调数据库、基本农田数据库、生态红线数据库、各类保护区数据库、地质数据库、地形数据库、拟设及已设采矿权探矿权数据库等）</w:t>
      </w:r>
      <w:r>
        <w:rPr>
          <w:rFonts w:hint="eastAsia" w:ascii="仿宋_GB2312" w:hAnsi="宋体" w:eastAsia="仿宋_GB2312" w:cs="宋体"/>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eastAsia="仿宋_GB2312"/>
          <w:color w:val="auto"/>
          <w:sz w:val="32"/>
          <w:szCs w:val="32"/>
        </w:rPr>
        <w:t>《规划》成果符合</w:t>
      </w:r>
      <w:r>
        <w:rPr>
          <w:rFonts w:hint="eastAsia" w:ascii="仿宋_GB2312" w:hAnsi="宋体" w:eastAsia="仿宋_GB2312" w:cs="宋体"/>
          <w:b w:val="0"/>
          <w:color w:val="auto"/>
          <w:kern w:val="2"/>
          <w:sz w:val="32"/>
          <w:szCs w:val="32"/>
          <w:lang w:val="en-US" w:eastAsia="zh-CN" w:bidi="ar-SA"/>
        </w:rPr>
        <w:t>《贵州省自然资源厅关于转发</w:t>
      </w:r>
      <w:r>
        <w:rPr>
          <w:rFonts w:hint="eastAsia" w:ascii="仿宋_GB2312" w:eastAsia="仿宋_GB2312" w:cs="宋体"/>
          <w:b w:val="0"/>
          <w:color w:val="auto"/>
          <w:kern w:val="2"/>
          <w:sz w:val="32"/>
          <w:szCs w:val="32"/>
          <w:lang w:val="en-US" w:eastAsia="zh-CN" w:bidi="ar-SA"/>
        </w:rPr>
        <w:t>&lt;</w:t>
      </w:r>
      <w:r>
        <w:rPr>
          <w:rFonts w:hint="eastAsia" w:ascii="仿宋_GB2312" w:hAnsi="宋体" w:eastAsia="仿宋_GB2312" w:cs="宋体"/>
          <w:b w:val="0"/>
          <w:color w:val="auto"/>
          <w:kern w:val="2"/>
          <w:sz w:val="32"/>
          <w:szCs w:val="32"/>
          <w:lang w:val="en-US" w:eastAsia="zh-CN" w:bidi="ar-SA"/>
        </w:rPr>
        <w:t>自然资源部关于全面开展矿产资源规划(2021-2025年)编制工作的通知</w:t>
      </w:r>
      <w:r>
        <w:rPr>
          <w:rFonts w:hint="eastAsia" w:ascii="仿宋_GB2312" w:eastAsia="仿宋_GB2312" w:cs="宋体"/>
          <w:b w:val="0"/>
          <w:color w:val="auto"/>
          <w:kern w:val="2"/>
          <w:sz w:val="32"/>
          <w:szCs w:val="32"/>
          <w:lang w:val="en-US" w:eastAsia="zh-CN" w:bidi="ar-SA"/>
        </w:rPr>
        <w:t>&gt;</w:t>
      </w:r>
      <w:r>
        <w:rPr>
          <w:rFonts w:hint="eastAsia" w:ascii="仿宋_GB2312" w:hAnsi="宋体" w:eastAsia="仿宋_GB2312" w:cs="宋体"/>
          <w:b w:val="0"/>
          <w:color w:val="auto"/>
          <w:kern w:val="2"/>
          <w:sz w:val="32"/>
          <w:szCs w:val="32"/>
          <w:lang w:val="en-US" w:eastAsia="zh-CN" w:bidi="ar-SA"/>
        </w:rPr>
        <w:t>的通知》（黔自然资函〔2020〕268号）、《自然资源部办公厅关于印发&lt;省级矿产资源总体规划编制技术规程&gt;和&lt;市县级矿产资源总体规划编制要点&gt;的通知》（自然资办发〔2020〕19号）</w:t>
      </w:r>
      <w:r>
        <w:rPr>
          <w:rFonts w:hint="eastAsia" w:ascii="仿宋_GB2312" w:hAnsi="Hiragino Sans GB" w:eastAsia="仿宋_GB2312" w:cs="Arial"/>
          <w:color w:val="auto"/>
          <w:kern w:val="0"/>
          <w:sz w:val="32"/>
          <w:szCs w:val="32"/>
          <w:lang w:eastAsia="zh-CN"/>
        </w:rPr>
        <w:t>等</w:t>
      </w:r>
      <w:r>
        <w:rPr>
          <w:rFonts w:hint="eastAsia" w:ascii="仿宋_GB2312" w:eastAsia="仿宋_GB2312"/>
          <w:color w:val="auto"/>
          <w:sz w:val="32"/>
          <w:szCs w:val="32"/>
        </w:rPr>
        <w:t>要求。《</w:t>
      </w:r>
      <w:r>
        <w:rPr>
          <w:rFonts w:hint="eastAsia" w:ascii="仿宋_GB2312" w:hAnsi="宋体" w:eastAsia="仿宋_GB2312"/>
          <w:color w:val="auto"/>
          <w:sz w:val="32"/>
          <w:szCs w:val="32"/>
        </w:rPr>
        <w:t>规划》成果质量以省</w:t>
      </w:r>
      <w:r>
        <w:rPr>
          <w:rFonts w:hint="eastAsia" w:ascii="仿宋_GB2312" w:hAnsi="宋体" w:eastAsia="仿宋_GB2312"/>
          <w:color w:val="auto"/>
          <w:sz w:val="32"/>
          <w:szCs w:val="32"/>
          <w:lang w:eastAsia="zh-CN"/>
        </w:rPr>
        <w:t>自然</w:t>
      </w:r>
      <w:r>
        <w:rPr>
          <w:rFonts w:hint="eastAsia" w:ascii="仿宋_GB2312" w:hAnsi="宋体" w:eastAsia="仿宋_GB2312"/>
          <w:color w:val="auto"/>
          <w:sz w:val="32"/>
          <w:szCs w:val="32"/>
        </w:rPr>
        <w:t>资源厅审查通过，下达批准文件为准。</w:t>
      </w:r>
    </w:p>
    <w:p>
      <w:pPr>
        <w:pStyle w:val="2"/>
        <w:rPr>
          <w:rFonts w:hint="default" w:eastAsia="仿宋_GB2312"/>
          <w:lang w:val="en-US" w:eastAsia="zh-CN"/>
        </w:rPr>
      </w:pPr>
      <w:r>
        <w:rPr>
          <w:rFonts w:hint="eastAsia" w:ascii="仿宋_GB2312" w:hAnsi="宋体" w:eastAsia="仿宋_GB2312"/>
          <w:color w:val="auto"/>
          <w:sz w:val="32"/>
          <w:szCs w:val="32"/>
          <w:lang w:val="en-US" w:eastAsia="zh-CN"/>
        </w:rPr>
        <w:t xml:space="preserve">    最终成果提供纸质数不少于20套及相关电子文档。</w:t>
      </w:r>
    </w:p>
    <w:p>
      <w:pPr>
        <w:keepNext w:val="0"/>
        <w:keepLines w:val="0"/>
        <w:pageBreakBefore w:val="0"/>
        <w:numPr>
          <w:ilvl w:val="0"/>
          <w:numId w:val="5"/>
        </w:numPr>
        <w:kinsoku/>
        <w:wordWrap/>
        <w:overflowPunct/>
        <w:topLinePunct w:val="0"/>
        <w:autoSpaceDE/>
        <w:autoSpaceDN/>
        <w:bidi w:val="0"/>
        <w:adjustRightInd/>
        <w:snapToGrid/>
        <w:spacing w:line="520" w:lineRule="exact"/>
        <w:ind w:firstLine="643" w:firstLineChars="200"/>
        <w:textAlignment w:val="auto"/>
        <w:outlineLvl w:val="0"/>
        <w:rPr>
          <w:rFonts w:hint="eastAsia" w:ascii="仿宋_GB2312" w:eastAsia="仿宋_GB2312"/>
          <w:b/>
          <w:color w:val="auto"/>
          <w:sz w:val="32"/>
          <w:szCs w:val="32"/>
          <w:lang w:eastAsia="zh-CN"/>
        </w:rPr>
      </w:pPr>
      <w:r>
        <w:rPr>
          <w:rFonts w:hint="eastAsia" w:ascii="仿宋_GB2312" w:eastAsia="仿宋_GB2312"/>
          <w:b/>
          <w:color w:val="auto"/>
          <w:sz w:val="32"/>
          <w:szCs w:val="32"/>
          <w:lang w:eastAsia="zh-CN"/>
        </w:rPr>
        <w:t>规划期要求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0"/>
        <w:rPr>
          <w:rFonts w:hint="eastAsia" w:ascii="仿宋_GB2312" w:hAnsi="Hiragino Sans GB" w:eastAsia="仿宋_GB2312" w:cs="Arial"/>
          <w:b w:val="0"/>
          <w:bCs/>
          <w:color w:val="auto"/>
          <w:kern w:val="0"/>
          <w:sz w:val="32"/>
          <w:szCs w:val="32"/>
          <w:lang w:eastAsia="zh-CN"/>
        </w:rPr>
      </w:pPr>
      <w:r>
        <w:rPr>
          <w:rFonts w:hint="eastAsia" w:ascii="仿宋_GB2312" w:eastAsia="仿宋_GB2312"/>
          <w:b w:val="0"/>
          <w:bCs/>
          <w:color w:val="auto"/>
          <w:sz w:val="32"/>
          <w:szCs w:val="32"/>
          <w:lang w:eastAsia="zh-CN"/>
        </w:rPr>
        <w:t>以2020年</w:t>
      </w:r>
      <w:r>
        <w:rPr>
          <w:rFonts w:hint="eastAsia" w:ascii="仿宋_GB2312" w:eastAsia="仿宋_GB2312"/>
          <w:b w:val="0"/>
          <w:bCs/>
          <w:color w:val="auto"/>
          <w:sz w:val="32"/>
          <w:szCs w:val="32"/>
          <w:lang w:val="en-US" w:eastAsia="zh-CN"/>
        </w:rPr>
        <w:t>为规划基期</w:t>
      </w:r>
      <w:r>
        <w:rPr>
          <w:rFonts w:hint="eastAsia" w:ascii="仿宋_GB2312" w:eastAsia="仿宋_GB2312"/>
          <w:b w:val="0"/>
          <w:bCs/>
          <w:color w:val="auto"/>
          <w:sz w:val="32"/>
          <w:szCs w:val="32"/>
          <w:lang w:eastAsia="zh-CN"/>
        </w:rPr>
        <w:t>，2025年为目标年，展望到2035年。</w:t>
      </w:r>
      <w:r>
        <w:rPr>
          <w:rFonts w:hint="eastAsia" w:ascii="仿宋_GB2312" w:eastAsia="仿宋_GB2312"/>
          <w:b w:val="0"/>
          <w:bCs/>
          <w:color w:val="auto"/>
          <w:sz w:val="32"/>
          <w:szCs w:val="32"/>
          <w:lang w:val="en-US" w:eastAsia="zh-CN"/>
        </w:rPr>
        <w:t>数据要求以</w:t>
      </w:r>
      <w:r>
        <w:rPr>
          <w:rFonts w:hint="eastAsia" w:ascii="仿宋_GB2312" w:hAnsi="Hiragino Sans GB" w:eastAsia="仿宋_GB2312" w:cs="Arial"/>
          <w:b w:val="0"/>
          <w:bCs/>
          <w:color w:val="auto"/>
          <w:kern w:val="0"/>
          <w:sz w:val="32"/>
          <w:szCs w:val="32"/>
        </w:rPr>
        <w:t>省</w:t>
      </w:r>
      <w:r>
        <w:rPr>
          <w:rFonts w:hint="eastAsia" w:ascii="仿宋_GB2312" w:hAnsi="Hiragino Sans GB" w:eastAsia="仿宋_GB2312" w:cs="Arial"/>
          <w:b w:val="0"/>
          <w:bCs/>
          <w:color w:val="auto"/>
          <w:kern w:val="0"/>
          <w:sz w:val="32"/>
          <w:szCs w:val="32"/>
          <w:lang w:eastAsia="zh-CN"/>
        </w:rPr>
        <w:t>自然</w:t>
      </w:r>
      <w:r>
        <w:rPr>
          <w:rFonts w:hint="eastAsia" w:ascii="仿宋_GB2312" w:hAnsi="Hiragino Sans GB" w:eastAsia="仿宋_GB2312" w:cs="Arial"/>
          <w:b w:val="0"/>
          <w:bCs/>
          <w:color w:val="auto"/>
          <w:kern w:val="0"/>
          <w:sz w:val="32"/>
          <w:szCs w:val="32"/>
        </w:rPr>
        <w:t>资源厅</w:t>
      </w:r>
      <w:r>
        <w:rPr>
          <w:rFonts w:hint="eastAsia" w:ascii="仿宋_GB2312" w:hAnsi="Hiragino Sans GB" w:eastAsia="仿宋_GB2312" w:cs="Arial"/>
          <w:b w:val="0"/>
          <w:bCs/>
          <w:color w:val="auto"/>
          <w:kern w:val="0"/>
          <w:sz w:val="32"/>
          <w:szCs w:val="32"/>
          <w:lang w:eastAsia="zh-CN"/>
        </w:rPr>
        <w:t>有关文件要求为准。</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0"/>
        <w:rPr>
          <w:rFonts w:hint="eastAsia" w:ascii="仿宋_GB2312" w:eastAsia="仿宋_GB2312"/>
          <w:b/>
          <w:color w:val="auto"/>
          <w:sz w:val="32"/>
          <w:szCs w:val="32"/>
          <w:lang w:eastAsia="zh-CN"/>
        </w:rPr>
      </w:pPr>
      <w:r>
        <w:rPr>
          <w:rFonts w:hint="eastAsia" w:ascii="仿宋_GB2312" w:eastAsia="仿宋_GB2312"/>
          <w:b/>
          <w:color w:val="auto"/>
          <w:sz w:val="32"/>
          <w:szCs w:val="32"/>
          <w:lang w:eastAsia="zh-CN"/>
        </w:rPr>
        <w:t>时间要求</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1、20</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lang w:val="en-US" w:eastAsia="zh-CN"/>
        </w:rPr>
        <w:t>6</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启动规划编制</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调查收集有关基础资料及数据</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收集</w:t>
      </w:r>
      <w:r>
        <w:rPr>
          <w:rFonts w:hint="eastAsia" w:ascii="仿宋_GB2312" w:hAnsi="宋体" w:eastAsia="仿宋_GB2312" w:cs="宋体"/>
          <w:color w:val="auto"/>
          <w:sz w:val="32"/>
          <w:szCs w:val="32"/>
          <w:lang w:eastAsia="zh-CN"/>
        </w:rPr>
        <w:t>行政区域内已</w:t>
      </w:r>
      <w:r>
        <w:rPr>
          <w:rFonts w:hint="eastAsia" w:ascii="仿宋_GB2312" w:hAnsi="宋体" w:eastAsia="仿宋_GB2312" w:cs="宋体"/>
          <w:color w:val="auto"/>
          <w:sz w:val="32"/>
          <w:szCs w:val="32"/>
        </w:rPr>
        <w:t>颁发的采矿权</w:t>
      </w:r>
      <w:r>
        <w:rPr>
          <w:rFonts w:hint="eastAsia" w:ascii="仿宋_GB2312" w:hAnsi="宋体" w:eastAsia="仿宋_GB2312" w:cs="宋体"/>
          <w:color w:val="auto"/>
          <w:sz w:val="32"/>
          <w:szCs w:val="32"/>
          <w:lang w:eastAsia="zh-CN"/>
        </w:rPr>
        <w:t>、探矿权，</w:t>
      </w:r>
      <w:r>
        <w:rPr>
          <w:rFonts w:hint="eastAsia" w:ascii="仿宋_GB2312" w:hAnsi="宋体" w:eastAsia="仿宋_GB2312" w:cs="宋体"/>
          <w:color w:val="auto"/>
          <w:sz w:val="32"/>
          <w:szCs w:val="32"/>
        </w:rPr>
        <w:t>矿山地质环境恢复现状</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绿色矿山建设现状</w:t>
      </w:r>
      <w:r>
        <w:rPr>
          <w:rFonts w:hint="eastAsia" w:ascii="仿宋_GB2312" w:hAnsi="宋体" w:eastAsia="仿宋_GB2312" w:cs="宋体"/>
          <w:color w:val="auto"/>
          <w:sz w:val="32"/>
          <w:szCs w:val="32"/>
          <w:lang w:eastAsia="zh-CN"/>
        </w:rPr>
        <w:t>，确定</w:t>
      </w:r>
      <w:r>
        <w:rPr>
          <w:rFonts w:hint="eastAsia" w:ascii="仿宋_GB2312" w:hAnsi="宋体" w:eastAsia="仿宋_GB2312" w:cs="宋体"/>
          <w:color w:val="auto"/>
          <w:sz w:val="32"/>
          <w:szCs w:val="32"/>
        </w:rPr>
        <w:t>规划期内</w:t>
      </w:r>
      <w:r>
        <w:rPr>
          <w:rFonts w:hint="eastAsia" w:ascii="仿宋_GB2312" w:hAnsi="宋体" w:eastAsia="仿宋_GB2312" w:cs="宋体"/>
          <w:color w:val="auto"/>
          <w:sz w:val="32"/>
          <w:szCs w:val="32"/>
          <w:lang w:eastAsia="zh-CN"/>
        </w:rPr>
        <w:t>拟</w:t>
      </w:r>
      <w:r>
        <w:rPr>
          <w:rFonts w:hint="eastAsia" w:ascii="仿宋_GB2312" w:hAnsi="宋体" w:eastAsia="仿宋_GB2312" w:cs="宋体"/>
          <w:color w:val="auto"/>
          <w:sz w:val="32"/>
          <w:szCs w:val="32"/>
        </w:rPr>
        <w:t>设置</w:t>
      </w:r>
      <w:r>
        <w:rPr>
          <w:rFonts w:hint="eastAsia" w:ascii="仿宋_GB2312" w:hAnsi="宋体" w:eastAsia="仿宋_GB2312" w:cs="宋体"/>
          <w:color w:val="auto"/>
          <w:sz w:val="32"/>
          <w:szCs w:val="32"/>
          <w:lang w:eastAsia="zh-CN"/>
        </w:rPr>
        <w:t>的</w:t>
      </w:r>
      <w:r>
        <w:rPr>
          <w:rFonts w:hint="eastAsia" w:ascii="仿宋_GB2312" w:hAnsi="宋体" w:eastAsia="仿宋_GB2312" w:cs="宋体"/>
          <w:color w:val="auto"/>
          <w:sz w:val="32"/>
          <w:szCs w:val="32"/>
        </w:rPr>
        <w:t>采矿权</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探矿权。同步启动完成上一轮规划实施评价</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矿山地质环境保护与治理恢复政策研究</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市内非金属矿产资源（石材）开发利用研究等专题研究工作。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2、20</w:t>
      </w:r>
      <w:r>
        <w:rPr>
          <w:rFonts w:hint="eastAsia" w:ascii="仿宋_GB2312" w:hAnsi="宋体" w:eastAsia="仿宋_GB2312" w:cs="宋体"/>
          <w:color w:val="auto"/>
          <w:sz w:val="32"/>
          <w:szCs w:val="32"/>
          <w:lang w:val="en-US" w:eastAsia="zh-CN"/>
        </w:rPr>
        <w:t>21</w:t>
      </w:r>
      <w:r>
        <w:rPr>
          <w:rFonts w:hint="eastAsia" w:ascii="仿宋_GB2312" w:hAnsi="宋体" w:eastAsia="仿宋_GB2312" w:cs="宋体"/>
          <w:color w:val="auto"/>
          <w:sz w:val="32"/>
          <w:szCs w:val="32"/>
        </w:rPr>
        <w:t>年月1</w:t>
      </w:r>
      <w:r>
        <w:rPr>
          <w:rFonts w:hint="eastAsia" w:ascii="仿宋_GB2312" w:hAnsi="宋体" w:eastAsia="仿宋_GB2312" w:cs="宋体"/>
          <w:color w:val="auto"/>
          <w:sz w:val="32"/>
          <w:szCs w:val="32"/>
          <w:lang w:eastAsia="zh-CN"/>
        </w:rPr>
        <w:t>月</w:t>
      </w:r>
      <w:r>
        <w:rPr>
          <w:rFonts w:hint="eastAsia" w:ascii="仿宋_GB2312" w:hAnsi="宋体" w:eastAsia="仿宋_GB2312" w:cs="宋体"/>
          <w:color w:val="auto"/>
          <w:sz w:val="32"/>
          <w:szCs w:val="32"/>
        </w:rPr>
        <w:t>底前，完成市级</w:t>
      </w:r>
      <w:r>
        <w:rPr>
          <w:rFonts w:hint="eastAsia" w:ascii="仿宋_GB2312" w:hAnsi="Hiragino Sans GB" w:eastAsia="仿宋_GB2312" w:cs="Arial"/>
          <w:color w:val="auto"/>
          <w:kern w:val="0"/>
          <w:sz w:val="32"/>
          <w:szCs w:val="32"/>
        </w:rPr>
        <w:t>规划</w:t>
      </w:r>
      <w:r>
        <w:rPr>
          <w:rFonts w:hint="eastAsia" w:ascii="仿宋_GB2312" w:hAnsi="宋体" w:eastAsia="仿宋_GB2312" w:cs="宋体"/>
          <w:color w:val="auto"/>
          <w:sz w:val="32"/>
          <w:szCs w:val="32"/>
        </w:rPr>
        <w:t>初步方案，并采取多种方式广泛征求公众意见，综合各方面意见，完善规划成果。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3、20</w:t>
      </w:r>
      <w:r>
        <w:rPr>
          <w:rFonts w:hint="eastAsia" w:ascii="仿宋_GB2312" w:hAnsi="宋体" w:eastAsia="仿宋_GB2312" w:cs="宋体"/>
          <w:color w:val="auto"/>
          <w:sz w:val="32"/>
          <w:szCs w:val="32"/>
          <w:lang w:val="en-US" w:eastAsia="zh-CN"/>
        </w:rPr>
        <w:t>21</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lang w:val="en-US" w:eastAsia="zh-CN"/>
        </w:rPr>
        <w:t>8</w:t>
      </w:r>
      <w:r>
        <w:rPr>
          <w:rFonts w:hint="eastAsia" w:ascii="仿宋_GB2312" w:hAnsi="宋体" w:eastAsia="仿宋_GB2312" w:cs="宋体"/>
          <w:color w:val="auto"/>
          <w:sz w:val="32"/>
          <w:szCs w:val="32"/>
        </w:rPr>
        <w:t>月底前，提交矿产资源规划报批稿</w:t>
      </w:r>
      <w:r>
        <w:rPr>
          <w:rFonts w:hint="eastAsia" w:ascii="仿宋_GB2312" w:hAnsi="宋体" w:eastAsia="仿宋_GB2312" w:cs="宋体"/>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4、20</w:t>
      </w:r>
      <w:r>
        <w:rPr>
          <w:rFonts w:hint="eastAsia" w:ascii="仿宋_GB2312" w:hAnsi="宋体" w:eastAsia="仿宋_GB2312" w:cs="宋体"/>
          <w:color w:val="auto"/>
          <w:sz w:val="32"/>
          <w:szCs w:val="32"/>
          <w:lang w:val="en-US" w:eastAsia="zh-CN"/>
        </w:rPr>
        <w:t>21</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lang w:val="en-US" w:eastAsia="zh-CN"/>
        </w:rPr>
        <w:t>10</w:t>
      </w:r>
      <w:r>
        <w:rPr>
          <w:rFonts w:hint="eastAsia" w:ascii="仿宋_GB2312" w:hAnsi="宋体" w:eastAsia="仿宋_GB2312" w:cs="宋体"/>
          <w:color w:val="auto"/>
          <w:sz w:val="32"/>
          <w:szCs w:val="32"/>
        </w:rPr>
        <w:t>月底前，完成市级</w:t>
      </w:r>
      <w:r>
        <w:rPr>
          <w:rFonts w:hint="eastAsia" w:ascii="仿宋_GB2312" w:hAnsi="Hiragino Sans GB" w:eastAsia="仿宋_GB2312" w:cs="Arial"/>
          <w:color w:val="auto"/>
          <w:kern w:val="0"/>
          <w:sz w:val="32"/>
          <w:szCs w:val="32"/>
        </w:rPr>
        <w:t>规划</w:t>
      </w:r>
      <w:r>
        <w:rPr>
          <w:rFonts w:hint="eastAsia" w:ascii="仿宋_GB2312" w:hAnsi="宋体" w:eastAsia="仿宋_GB2312" w:cs="宋体"/>
          <w:color w:val="auto"/>
          <w:sz w:val="32"/>
          <w:szCs w:val="32"/>
        </w:rPr>
        <w:t>最终成果，报同级政府批准实施。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0"/>
        <w:rPr>
          <w:rFonts w:hint="eastAsia" w:ascii="仿宋_GB2312" w:eastAsia="仿宋_GB2312"/>
          <w:b/>
          <w:color w:val="auto"/>
          <w:sz w:val="32"/>
          <w:szCs w:val="32"/>
          <w:lang w:eastAsia="zh-CN"/>
        </w:rPr>
      </w:pPr>
      <w:r>
        <w:rPr>
          <w:rFonts w:hint="eastAsia" w:ascii="仿宋_GB2312" w:hAnsi="宋体" w:eastAsia="仿宋_GB2312" w:cs="宋体"/>
          <w:color w:val="auto"/>
          <w:sz w:val="32"/>
          <w:szCs w:val="32"/>
        </w:rPr>
        <w:t>5、20</w:t>
      </w:r>
      <w:r>
        <w:rPr>
          <w:rFonts w:hint="eastAsia" w:ascii="仿宋_GB2312" w:hAnsi="宋体" w:eastAsia="仿宋_GB2312" w:cs="宋体"/>
          <w:color w:val="auto"/>
          <w:sz w:val="32"/>
          <w:szCs w:val="32"/>
          <w:lang w:val="en-US" w:eastAsia="zh-CN"/>
        </w:rPr>
        <w:t>21</w:t>
      </w:r>
      <w:r>
        <w:rPr>
          <w:rFonts w:hint="eastAsia" w:ascii="仿宋_GB2312" w:hAnsi="宋体" w:eastAsia="仿宋_GB2312" w:cs="宋体"/>
          <w:color w:val="auto"/>
          <w:sz w:val="32"/>
          <w:szCs w:val="32"/>
        </w:rPr>
        <w:t>年1</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月底前。汇交市级</w:t>
      </w:r>
      <w:r>
        <w:rPr>
          <w:rFonts w:hint="eastAsia" w:ascii="仿宋_GB2312" w:hAnsi="Hiragino Sans GB" w:eastAsia="仿宋_GB2312" w:cs="Arial"/>
          <w:color w:val="auto"/>
          <w:kern w:val="0"/>
          <w:sz w:val="32"/>
          <w:szCs w:val="32"/>
        </w:rPr>
        <w:t>规划</w:t>
      </w:r>
      <w:r>
        <w:rPr>
          <w:rFonts w:hint="eastAsia" w:ascii="仿宋_GB2312" w:hAnsi="宋体" w:eastAsia="仿宋_GB2312" w:cs="宋体"/>
          <w:color w:val="auto"/>
          <w:sz w:val="32"/>
          <w:szCs w:val="32"/>
        </w:rPr>
        <w:t>成果及</w:t>
      </w:r>
      <w:r>
        <w:rPr>
          <w:rFonts w:hint="eastAsia" w:ascii="仿宋_GB2312" w:hAnsi="Hiragino Sans GB" w:eastAsia="仿宋_GB2312" w:cs="Arial"/>
          <w:color w:val="auto"/>
          <w:kern w:val="0"/>
          <w:sz w:val="32"/>
          <w:szCs w:val="32"/>
        </w:rPr>
        <w:t>规划</w:t>
      </w:r>
      <w:r>
        <w:rPr>
          <w:rFonts w:hint="eastAsia" w:ascii="仿宋_GB2312" w:hAnsi="宋体" w:eastAsia="仿宋_GB2312" w:cs="宋体"/>
          <w:color w:val="auto"/>
          <w:sz w:val="32"/>
          <w:szCs w:val="32"/>
        </w:rPr>
        <w:t>数据，形成</w:t>
      </w:r>
      <w:r>
        <w:rPr>
          <w:rFonts w:hint="eastAsia" w:ascii="仿宋_GB2312" w:hAnsi="宋体" w:eastAsia="仿宋_GB2312" w:cs="宋体"/>
          <w:color w:val="auto"/>
          <w:sz w:val="32"/>
          <w:szCs w:val="32"/>
          <w:lang w:val="en-US" w:eastAsia="zh-CN"/>
        </w:rPr>
        <w:t>市级</w:t>
      </w:r>
      <w:r>
        <w:rPr>
          <w:rFonts w:hint="eastAsia" w:ascii="仿宋_GB2312" w:hAnsi="Hiragino Sans GB" w:eastAsia="仿宋_GB2312" w:cs="Arial"/>
          <w:color w:val="auto"/>
          <w:kern w:val="0"/>
          <w:sz w:val="32"/>
          <w:szCs w:val="32"/>
        </w:rPr>
        <w:t>规划</w:t>
      </w:r>
      <w:r>
        <w:rPr>
          <w:rFonts w:hint="eastAsia" w:ascii="仿宋_GB2312" w:hAnsi="宋体" w:eastAsia="仿宋_GB2312" w:cs="宋体"/>
          <w:color w:val="auto"/>
          <w:sz w:val="32"/>
          <w:szCs w:val="32"/>
        </w:rPr>
        <w:t>成果、</w:t>
      </w:r>
      <w:r>
        <w:rPr>
          <w:rFonts w:hint="eastAsia" w:ascii="仿宋_GB2312" w:hAnsi="Hiragino Sans GB" w:eastAsia="仿宋_GB2312" w:cs="Arial"/>
          <w:color w:val="auto"/>
          <w:kern w:val="0"/>
          <w:sz w:val="32"/>
          <w:szCs w:val="32"/>
        </w:rPr>
        <w:t>规划</w:t>
      </w:r>
      <w:r>
        <w:rPr>
          <w:rFonts w:hint="eastAsia" w:ascii="仿宋_GB2312" w:hAnsi="宋体" w:eastAsia="仿宋_GB2312" w:cs="宋体"/>
          <w:color w:val="auto"/>
          <w:sz w:val="32"/>
          <w:szCs w:val="32"/>
        </w:rPr>
        <w:t>数据库及</w:t>
      </w:r>
      <w:r>
        <w:rPr>
          <w:rFonts w:hint="eastAsia" w:ascii="仿宋_GB2312" w:hAnsi="Hiragino Sans GB" w:eastAsia="仿宋_GB2312" w:cs="Arial"/>
          <w:color w:val="auto"/>
          <w:kern w:val="0"/>
          <w:sz w:val="32"/>
          <w:szCs w:val="32"/>
        </w:rPr>
        <w:t>规划</w:t>
      </w:r>
      <w:r>
        <w:rPr>
          <w:rFonts w:hint="eastAsia" w:ascii="仿宋_GB2312" w:hAnsi="宋体" w:eastAsia="仿宋_GB2312" w:cs="宋体"/>
          <w:color w:val="auto"/>
          <w:sz w:val="32"/>
          <w:szCs w:val="32"/>
        </w:rPr>
        <w:t>项目库。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0"/>
        <w:rPr>
          <w:rFonts w:hint="eastAsia" w:ascii="仿宋_GB2312" w:eastAsia="仿宋_GB2312"/>
          <w:b/>
          <w:color w:val="auto"/>
          <w:sz w:val="32"/>
          <w:szCs w:val="32"/>
          <w:lang w:eastAsia="zh-CN"/>
        </w:rPr>
      </w:pPr>
      <w:r>
        <w:rPr>
          <w:rFonts w:hint="eastAsia" w:ascii="仿宋_GB2312" w:eastAsia="仿宋_GB2312"/>
          <w:b/>
          <w:color w:val="auto"/>
          <w:sz w:val="32"/>
          <w:szCs w:val="32"/>
          <w:lang w:eastAsia="zh-CN"/>
        </w:rPr>
        <w:t>（四）《规划》编制其他要求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如果部、省有新的工作要求，按新要求进行调整。</w:t>
      </w:r>
    </w:p>
    <w:p>
      <w:pPr>
        <w:keepNext w:val="0"/>
        <w:keepLines w:val="0"/>
        <w:pageBreakBefore w:val="0"/>
        <w:kinsoku/>
        <w:wordWrap/>
        <w:overflowPunct/>
        <w:topLinePunct w:val="0"/>
        <w:autoSpaceDE/>
        <w:autoSpaceDN/>
        <w:bidi w:val="0"/>
        <w:adjustRightInd/>
        <w:snapToGrid/>
        <w:spacing w:line="520" w:lineRule="exact"/>
        <w:ind w:firstLine="630" w:firstLineChars="196"/>
        <w:textAlignment w:val="auto"/>
        <w:rPr>
          <w:rFonts w:hint="eastAsia" w:ascii="仿宋_GB2312" w:eastAsia="仿宋_GB2312"/>
          <w:b/>
          <w:color w:val="auto"/>
          <w:sz w:val="32"/>
          <w:szCs w:val="32"/>
        </w:rPr>
      </w:pPr>
      <w:r>
        <w:rPr>
          <w:rFonts w:hint="eastAsia" w:ascii="仿宋_GB2312" w:eastAsia="仿宋_GB2312"/>
          <w:b/>
          <w:color w:val="auto"/>
          <w:sz w:val="32"/>
          <w:szCs w:val="32"/>
          <w:lang w:eastAsia="zh-CN"/>
        </w:rPr>
        <w:t>二</w:t>
      </w:r>
      <w:r>
        <w:rPr>
          <w:rFonts w:hint="eastAsia" w:ascii="仿宋_GB2312" w:eastAsia="仿宋_GB2312"/>
          <w:b/>
          <w:color w:val="auto"/>
          <w:sz w:val="32"/>
          <w:szCs w:val="32"/>
        </w:rPr>
        <w:t>、</w:t>
      </w:r>
      <w:r>
        <w:rPr>
          <w:rFonts w:hint="eastAsia" w:ascii="仿宋_GB2312" w:eastAsia="仿宋_GB2312"/>
          <w:b/>
          <w:color w:val="auto"/>
          <w:sz w:val="32"/>
          <w:szCs w:val="32"/>
          <w:lang w:eastAsia="zh-CN"/>
        </w:rPr>
        <w:t>参与竞争性谈判</w:t>
      </w:r>
      <w:r>
        <w:rPr>
          <w:rFonts w:hint="eastAsia" w:ascii="仿宋_GB2312" w:eastAsia="仿宋_GB2312"/>
          <w:b/>
          <w:color w:val="auto"/>
          <w:sz w:val="32"/>
          <w:szCs w:val="32"/>
        </w:rPr>
        <w:t>单位</w:t>
      </w:r>
      <w:r>
        <w:rPr>
          <w:rFonts w:hint="eastAsia" w:ascii="仿宋_GB2312" w:eastAsia="仿宋_GB2312"/>
          <w:b/>
          <w:color w:val="auto"/>
          <w:sz w:val="32"/>
          <w:szCs w:val="32"/>
          <w:lang w:eastAsia="zh-CN"/>
        </w:rPr>
        <w:t>应具备的条件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（一）具有独立承担民事责任能力的</w:t>
      </w:r>
      <w:r>
        <w:rPr>
          <w:rFonts w:hint="eastAsia" w:ascii="仿宋_GB2312" w:eastAsia="仿宋_GB2312"/>
          <w:color w:val="auto"/>
          <w:sz w:val="32"/>
          <w:szCs w:val="32"/>
          <w:lang w:eastAsia="zh-CN"/>
        </w:rPr>
        <w:t>法人</w:t>
      </w:r>
      <w:r>
        <w:rPr>
          <w:rFonts w:hint="eastAsia" w:ascii="仿宋_GB2312" w:eastAsia="仿宋_GB2312"/>
          <w:color w:val="auto"/>
          <w:sz w:val="32"/>
          <w:szCs w:val="32"/>
        </w:rPr>
        <w:t>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具有良好的商业信誉和健全的财务会计制度；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eastAsia="zh-CN"/>
        </w:rPr>
        <w:t>三</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eastAsia="zh-CN"/>
        </w:rPr>
        <w:t>至少承担过一个市级以上矿产资源规划编制工作（需提供相关合同或成果资料）；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）具有完善的技术和质量管理制度；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）项目负责人</w:t>
      </w:r>
      <w:r>
        <w:rPr>
          <w:rFonts w:hint="eastAsia" w:ascii="仿宋_GB2312" w:eastAsia="仿宋_GB2312"/>
          <w:color w:val="auto"/>
          <w:sz w:val="32"/>
          <w:szCs w:val="32"/>
          <w:lang w:eastAsia="zh-CN"/>
        </w:rPr>
        <w:t>具备</w:t>
      </w:r>
      <w:r>
        <w:rPr>
          <w:rFonts w:hint="eastAsia" w:ascii="仿宋_GB2312" w:eastAsia="仿宋_GB2312"/>
          <w:color w:val="auto"/>
          <w:sz w:val="32"/>
          <w:szCs w:val="32"/>
        </w:rPr>
        <w:t>高级</w:t>
      </w:r>
      <w:r>
        <w:rPr>
          <w:rFonts w:hint="eastAsia" w:ascii="仿宋_GB2312" w:eastAsia="仿宋_GB2312"/>
          <w:color w:val="auto"/>
          <w:sz w:val="32"/>
          <w:szCs w:val="32"/>
          <w:lang w:eastAsia="zh-CN"/>
        </w:rPr>
        <w:t>以上</w:t>
      </w:r>
      <w:r>
        <w:rPr>
          <w:rFonts w:hint="eastAsia" w:ascii="仿宋_GB2312" w:eastAsia="仿宋_GB2312"/>
          <w:color w:val="auto"/>
          <w:sz w:val="32"/>
          <w:szCs w:val="32"/>
        </w:rPr>
        <w:t>工程师</w:t>
      </w:r>
      <w:r>
        <w:rPr>
          <w:rFonts w:hint="eastAsia" w:ascii="仿宋_GB2312" w:eastAsia="仿宋_GB2312"/>
          <w:color w:val="auto"/>
          <w:sz w:val="32"/>
          <w:szCs w:val="32"/>
          <w:lang w:eastAsia="zh-CN"/>
        </w:rPr>
        <w:t>资格（含高级），</w:t>
      </w:r>
      <w:r>
        <w:rPr>
          <w:rFonts w:hint="eastAsia" w:ascii="仿宋_GB2312" w:eastAsia="仿宋_GB2312"/>
          <w:color w:val="auto"/>
          <w:sz w:val="32"/>
          <w:szCs w:val="32"/>
        </w:rPr>
        <w:t>主要编制人员具备</w:t>
      </w:r>
      <w:r>
        <w:rPr>
          <w:rFonts w:hint="eastAsia" w:ascii="仿宋_GB2312" w:eastAsia="仿宋_GB2312"/>
          <w:color w:val="auto"/>
          <w:sz w:val="32"/>
          <w:szCs w:val="32"/>
          <w:lang w:eastAsia="zh-CN"/>
        </w:rPr>
        <w:t>工程系列</w:t>
      </w:r>
      <w:r>
        <w:rPr>
          <w:rFonts w:hint="eastAsia" w:ascii="仿宋_GB2312" w:eastAsia="仿宋_GB2312"/>
          <w:color w:val="auto"/>
          <w:sz w:val="32"/>
          <w:szCs w:val="32"/>
        </w:rPr>
        <w:t>中级以上相关专业技术职称</w:t>
      </w:r>
      <w:r>
        <w:rPr>
          <w:rFonts w:hint="eastAsia" w:ascii="仿宋_GB2312" w:eastAsia="仿宋_GB2312"/>
          <w:color w:val="auto"/>
          <w:sz w:val="32"/>
          <w:szCs w:val="32"/>
          <w:lang w:eastAsia="zh-CN"/>
        </w:rPr>
        <w:t>（</w:t>
      </w:r>
      <w:bookmarkStart w:id="4" w:name="OLE_LINK8"/>
      <w:r>
        <w:rPr>
          <w:rFonts w:hint="eastAsia" w:ascii="仿宋_GB2312" w:eastAsia="仿宋_GB2312"/>
          <w:color w:val="auto"/>
          <w:sz w:val="32"/>
          <w:szCs w:val="32"/>
          <w:lang w:eastAsia="zh-CN"/>
        </w:rPr>
        <w:t>含中级）</w:t>
      </w:r>
      <w:bookmarkEnd w:id="4"/>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（七）</w:t>
      </w:r>
      <w:r>
        <w:rPr>
          <w:rFonts w:hint="eastAsia" w:ascii="仿宋_GB2312" w:eastAsia="仿宋_GB2312"/>
          <w:color w:val="auto"/>
          <w:sz w:val="32"/>
          <w:szCs w:val="32"/>
        </w:rPr>
        <w:t>具备法律、行政法规规定的其他条件。</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color w:val="auto"/>
          <w:sz w:val="32"/>
          <w:szCs w:val="32"/>
        </w:rPr>
      </w:pPr>
      <w:r>
        <w:rPr>
          <w:rFonts w:hint="eastAsia" w:ascii="仿宋_GB2312" w:eastAsia="仿宋_GB2312"/>
          <w:b/>
          <w:color w:val="auto"/>
          <w:sz w:val="32"/>
          <w:szCs w:val="32"/>
          <w:lang w:eastAsia="zh-CN"/>
        </w:rPr>
        <w:t>三</w:t>
      </w:r>
      <w:r>
        <w:rPr>
          <w:rFonts w:hint="eastAsia" w:ascii="仿宋_GB2312" w:eastAsia="仿宋_GB2312"/>
          <w:b/>
          <w:color w:val="auto"/>
          <w:sz w:val="32"/>
          <w:szCs w:val="32"/>
        </w:rPr>
        <w:t>、《规划》编制经费来源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b w:val="0"/>
          <w:bCs w:val="0"/>
          <w:color w:val="auto"/>
          <w:sz w:val="32"/>
          <w:szCs w:val="32"/>
        </w:rPr>
      </w:pPr>
      <w:r>
        <w:rPr>
          <w:rFonts w:hint="eastAsia" w:ascii="仿宋_GB2312" w:hAnsi="宋体" w:eastAsia="仿宋_GB2312"/>
          <w:b w:val="0"/>
          <w:bCs w:val="0"/>
          <w:color w:val="auto"/>
          <w:sz w:val="32"/>
          <w:szCs w:val="32"/>
          <w:lang w:val="en-US" w:eastAsia="zh-CN"/>
        </w:rPr>
        <w:t>财政资金，</w:t>
      </w:r>
      <w:bookmarkStart w:id="5" w:name="OLE_LINK6"/>
      <w:r>
        <w:rPr>
          <w:rFonts w:hint="eastAsia" w:ascii="仿宋_GB2312" w:eastAsia="仿宋_GB2312"/>
          <w:b w:val="0"/>
          <w:bCs w:val="0"/>
          <w:color w:val="auto"/>
          <w:sz w:val="32"/>
          <w:szCs w:val="32"/>
        </w:rPr>
        <w:t>《</w:t>
      </w:r>
      <w:bookmarkEnd w:id="5"/>
      <w:r>
        <w:rPr>
          <w:rFonts w:hint="eastAsia" w:ascii="仿宋_GB2312" w:eastAsia="仿宋_GB2312"/>
          <w:b w:val="0"/>
          <w:bCs w:val="0"/>
          <w:color w:val="auto"/>
          <w:sz w:val="32"/>
          <w:szCs w:val="32"/>
        </w:rPr>
        <w:t>规划</w:t>
      </w:r>
      <w:bookmarkStart w:id="6" w:name="OLE_LINK7"/>
      <w:r>
        <w:rPr>
          <w:rFonts w:hint="eastAsia" w:ascii="仿宋_GB2312" w:eastAsia="仿宋_GB2312"/>
          <w:b w:val="0"/>
          <w:bCs w:val="0"/>
          <w:color w:val="auto"/>
          <w:sz w:val="32"/>
          <w:szCs w:val="32"/>
        </w:rPr>
        <w:t>》</w:t>
      </w:r>
      <w:bookmarkEnd w:id="6"/>
      <w:r>
        <w:rPr>
          <w:rFonts w:hint="eastAsia" w:ascii="仿宋_GB2312" w:eastAsia="仿宋_GB2312"/>
          <w:b w:val="0"/>
          <w:bCs w:val="0"/>
          <w:color w:val="auto"/>
          <w:sz w:val="32"/>
          <w:szCs w:val="32"/>
        </w:rPr>
        <w:t>编制经费控制</w:t>
      </w:r>
      <w:r>
        <w:rPr>
          <w:rFonts w:hint="eastAsia" w:ascii="仿宋_GB2312" w:eastAsia="仿宋_GB2312"/>
          <w:b w:val="0"/>
          <w:bCs w:val="0"/>
          <w:color w:val="auto"/>
          <w:sz w:val="32"/>
          <w:szCs w:val="32"/>
          <w:shd w:val="clear" w:color="auto" w:fill="auto"/>
        </w:rPr>
        <w:t>在</w:t>
      </w:r>
      <w:r>
        <w:rPr>
          <w:rFonts w:hint="eastAsia" w:ascii="仿宋_GB2312" w:eastAsia="仿宋_GB2312"/>
          <w:b w:val="0"/>
          <w:bCs w:val="0"/>
          <w:color w:val="auto"/>
          <w:sz w:val="32"/>
          <w:szCs w:val="32"/>
          <w:shd w:val="clear" w:color="auto" w:fill="auto"/>
          <w:lang w:val="en-US" w:eastAsia="zh-CN"/>
        </w:rPr>
        <w:t>8</w:t>
      </w:r>
      <w:r>
        <w:rPr>
          <w:rFonts w:hint="eastAsia" w:ascii="仿宋_GB2312" w:eastAsia="仿宋_GB2312"/>
          <w:b w:val="0"/>
          <w:bCs w:val="0"/>
          <w:color w:val="auto"/>
          <w:sz w:val="32"/>
          <w:szCs w:val="32"/>
          <w:shd w:val="clear" w:color="auto" w:fill="auto"/>
        </w:rPr>
        <w:t>0万元</w:t>
      </w:r>
      <w:r>
        <w:rPr>
          <w:rFonts w:hint="eastAsia" w:ascii="仿宋_GB2312" w:eastAsia="仿宋_GB2312"/>
          <w:b w:val="0"/>
          <w:bCs w:val="0"/>
          <w:color w:val="auto"/>
          <w:sz w:val="32"/>
          <w:szCs w:val="32"/>
          <w:shd w:val="clear" w:color="auto" w:fill="auto"/>
          <w:lang w:eastAsia="zh-CN"/>
        </w:rPr>
        <w:t>以</w:t>
      </w:r>
      <w:r>
        <w:rPr>
          <w:rFonts w:hint="eastAsia" w:ascii="仿宋_GB2312" w:eastAsia="仿宋_GB2312"/>
          <w:b w:val="0"/>
          <w:bCs w:val="0"/>
          <w:color w:val="auto"/>
          <w:sz w:val="32"/>
          <w:szCs w:val="32"/>
          <w:shd w:val="clear" w:color="auto" w:fill="auto"/>
        </w:rPr>
        <w:t>内</w:t>
      </w:r>
      <w:r>
        <w:rPr>
          <w:rFonts w:hint="eastAsia" w:ascii="仿宋_GB2312" w:eastAsia="仿宋_GB2312"/>
          <w:b w:val="0"/>
          <w:bCs w:val="0"/>
          <w:color w:val="auto"/>
          <w:sz w:val="32"/>
          <w:szCs w:val="32"/>
          <w:shd w:val="clear" w:color="auto" w:fill="auto"/>
          <w:lang w:eastAsia="zh-CN"/>
        </w:rPr>
        <w:t>包干</w:t>
      </w:r>
      <w:r>
        <w:rPr>
          <w:rFonts w:hint="eastAsia" w:ascii="仿宋_GB2312" w:eastAsia="仿宋_GB2312"/>
          <w:b w:val="0"/>
          <w:bCs w:val="0"/>
          <w:color w:val="auto"/>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、付款方式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b/>
          <w:color w:val="auto"/>
          <w:sz w:val="32"/>
          <w:szCs w:val="32"/>
        </w:rPr>
      </w:pPr>
      <w:r>
        <w:rPr>
          <w:rFonts w:hint="eastAsia" w:ascii="仿宋_GB2312" w:eastAsia="仿宋_GB2312"/>
          <w:b w:val="0"/>
          <w:bCs w:val="0"/>
          <w:color w:val="auto"/>
          <w:sz w:val="32"/>
          <w:szCs w:val="32"/>
        </w:rPr>
        <w:t>《</w:t>
      </w:r>
      <w:r>
        <w:rPr>
          <w:rFonts w:hint="eastAsia" w:ascii="仿宋_GB2312" w:hAnsi="宋体" w:eastAsia="仿宋_GB2312" w:cs="仿宋_GB2312"/>
          <w:color w:val="auto"/>
          <w:sz w:val="32"/>
          <w:szCs w:val="32"/>
        </w:rPr>
        <w:t>规划</w:t>
      </w:r>
      <w:r>
        <w:rPr>
          <w:rFonts w:hint="eastAsia" w:ascii="仿宋_GB2312" w:eastAsia="仿宋_GB2312"/>
          <w:b w:val="0"/>
          <w:bCs w:val="0"/>
          <w:color w:val="auto"/>
          <w:sz w:val="32"/>
          <w:szCs w:val="32"/>
        </w:rPr>
        <w:t>》</w:t>
      </w:r>
      <w:r>
        <w:rPr>
          <w:rFonts w:hint="eastAsia" w:ascii="仿宋_GB2312" w:hAnsi="宋体" w:eastAsia="仿宋_GB2312" w:cs="仿宋_GB2312"/>
          <w:color w:val="auto"/>
          <w:sz w:val="32"/>
          <w:szCs w:val="32"/>
        </w:rPr>
        <w:t>编制</w:t>
      </w:r>
      <w:r>
        <w:rPr>
          <w:rFonts w:hint="eastAsia" w:ascii="仿宋_GB2312" w:hAnsi="宋体" w:eastAsia="仿宋_GB2312" w:cs="仿宋_GB2312"/>
          <w:color w:val="auto"/>
          <w:sz w:val="32"/>
          <w:szCs w:val="32"/>
          <w:lang w:eastAsia="zh-CN"/>
        </w:rPr>
        <w:t>的</w:t>
      </w:r>
      <w:r>
        <w:rPr>
          <w:rFonts w:hint="eastAsia" w:ascii="仿宋_GB2312" w:hAnsi="宋体" w:eastAsia="仿宋_GB2312" w:cs="仿宋_GB2312"/>
          <w:color w:val="auto"/>
          <w:sz w:val="32"/>
          <w:szCs w:val="32"/>
        </w:rPr>
        <w:t>前期经费由中标人垫支，最终成果审查通过</w:t>
      </w:r>
      <w:r>
        <w:rPr>
          <w:rFonts w:hint="eastAsia" w:ascii="仿宋_GB2312" w:hAnsi="宋体" w:eastAsia="仿宋_GB2312" w:cs="仿宋_GB2312"/>
          <w:color w:val="auto"/>
          <w:sz w:val="32"/>
          <w:szCs w:val="32"/>
          <w:lang w:eastAsia="zh-CN"/>
        </w:rPr>
        <w:t>并</w:t>
      </w:r>
      <w:r>
        <w:rPr>
          <w:rFonts w:hint="eastAsia" w:ascii="仿宋_GB2312" w:hAnsi="宋体" w:eastAsia="仿宋_GB2312" w:cs="仿宋_GB2312"/>
          <w:color w:val="auto"/>
          <w:sz w:val="32"/>
          <w:szCs w:val="32"/>
        </w:rPr>
        <w:t>提交</w:t>
      </w:r>
      <w:r>
        <w:rPr>
          <w:rFonts w:hint="eastAsia" w:ascii="仿宋_GB2312" w:hAnsi="宋体" w:eastAsia="仿宋_GB2312" w:cs="仿宋_GB2312"/>
          <w:color w:val="auto"/>
          <w:sz w:val="32"/>
          <w:szCs w:val="32"/>
          <w:lang w:eastAsia="zh-CN"/>
        </w:rPr>
        <w:t>我局</w:t>
      </w:r>
      <w:r>
        <w:rPr>
          <w:rFonts w:hint="eastAsia" w:ascii="仿宋_GB2312" w:hAnsi="宋体" w:eastAsia="仿宋_GB2312" w:cs="仿宋_GB2312"/>
          <w:color w:val="auto"/>
          <w:sz w:val="32"/>
          <w:szCs w:val="32"/>
        </w:rPr>
        <w:t>后，</w:t>
      </w:r>
      <w:r>
        <w:rPr>
          <w:rFonts w:hint="eastAsia" w:ascii="仿宋_GB2312" w:hAnsi="宋体" w:eastAsia="仿宋_GB2312" w:cs="仿宋_GB2312"/>
          <w:color w:val="auto"/>
          <w:sz w:val="32"/>
          <w:szCs w:val="32"/>
          <w:lang w:eastAsia="zh-CN"/>
        </w:rPr>
        <w:t>由</w:t>
      </w:r>
      <w:r>
        <w:rPr>
          <w:rFonts w:hint="eastAsia" w:ascii="仿宋_GB2312" w:hAnsi="宋体" w:eastAsia="仿宋_GB2312" w:cs="仿宋_GB2312"/>
          <w:color w:val="auto"/>
          <w:sz w:val="32"/>
          <w:szCs w:val="32"/>
        </w:rPr>
        <w:t>我局向市财政申请一次性核拨。</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eastAsia="仿宋_GB2312"/>
          <w:b/>
          <w:color w:val="auto"/>
          <w:sz w:val="32"/>
          <w:szCs w:val="32"/>
          <w:lang w:eastAsia="zh-CN"/>
        </w:rPr>
        <w:t>五</w:t>
      </w:r>
      <w:r>
        <w:rPr>
          <w:rFonts w:hint="eastAsia" w:ascii="仿宋_GB2312" w:eastAsia="仿宋_GB2312"/>
          <w:b/>
          <w:color w:val="auto"/>
          <w:sz w:val="32"/>
          <w:szCs w:val="32"/>
        </w:rPr>
        <w:t>、其他事项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rPr>
        <w:t>（一）</w:t>
      </w:r>
      <w:bookmarkStart w:id="7" w:name="OLE_LINK3"/>
      <w:r>
        <w:rPr>
          <w:rFonts w:hint="eastAsia" w:ascii="仿宋_GB2312" w:hAnsi="宋体" w:eastAsia="仿宋_GB2312" w:cs="仿宋_GB2312"/>
          <w:color w:val="auto"/>
          <w:sz w:val="32"/>
          <w:szCs w:val="32"/>
          <w:lang w:eastAsia="zh-CN"/>
        </w:rPr>
        <w:t>中标单位</w:t>
      </w:r>
      <w:bookmarkEnd w:id="7"/>
      <w:r>
        <w:rPr>
          <w:rFonts w:hint="eastAsia" w:ascii="仿宋_GB2312" w:hAnsi="仿宋_GB2312" w:eastAsia="仿宋_GB2312" w:cs="仿宋_GB2312"/>
          <w:color w:val="auto"/>
          <w:sz w:val="32"/>
          <w:szCs w:val="32"/>
        </w:rPr>
        <w:t>要深入各区、县及有关部门进行走访调查、收集整理资料</w:t>
      </w:r>
      <w:r>
        <w:rPr>
          <w:rFonts w:hint="eastAsia" w:ascii="仿宋_GB2312" w:hAnsi="仿宋_GB2312" w:eastAsia="仿宋_GB2312" w:cs="仿宋_GB2312"/>
          <w:color w:val="auto"/>
          <w:sz w:val="32"/>
          <w:szCs w:val="32"/>
          <w:lang w:val="en-US" w:eastAsia="zh-CN"/>
        </w:rPr>
        <w:t>,并</w:t>
      </w:r>
      <w:r>
        <w:rPr>
          <w:rFonts w:hint="eastAsia" w:ascii="仿宋_GB2312" w:eastAsia="仿宋_GB2312"/>
          <w:color w:val="auto"/>
          <w:sz w:val="32"/>
          <w:szCs w:val="32"/>
        </w:rPr>
        <w:t>及时组织</w:t>
      </w:r>
      <w:r>
        <w:rPr>
          <w:rFonts w:hint="eastAsia" w:ascii="仿宋_GB2312" w:hAnsi="仿宋_GB2312" w:eastAsia="仿宋_GB2312" w:cs="仿宋_GB2312"/>
          <w:color w:val="auto"/>
          <w:sz w:val="32"/>
          <w:szCs w:val="32"/>
        </w:rPr>
        <w:t>召开有关工作讨论会和征求意见会</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eastAsia="仿宋_GB2312"/>
          <w:color w:val="auto"/>
          <w:sz w:val="32"/>
          <w:szCs w:val="32"/>
          <w:lang w:eastAsia="zh-CN"/>
        </w:rPr>
        <w:t>同等条件下优先选择资质条件高的投标单位。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eastAsia="zh-CN"/>
        </w:rPr>
        <w:t>（三）</w:t>
      </w:r>
      <w:r>
        <w:rPr>
          <w:rFonts w:hint="eastAsia" w:ascii="仿宋_GB2312" w:hAnsi="宋体" w:eastAsia="仿宋_GB2312" w:cs="仿宋_GB2312"/>
          <w:color w:val="auto"/>
          <w:sz w:val="32"/>
          <w:szCs w:val="32"/>
        </w:rPr>
        <w:t>其他未尽宜事项在合同中另行约定。</w:t>
      </w:r>
    </w:p>
    <w:p>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 xml:space="preserve">  </w:t>
      </w:r>
    </w:p>
    <w:p>
      <w:pPr>
        <w:numPr>
          <w:ilvl w:val="0"/>
          <w:numId w:val="0"/>
        </w:num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备注：文件论证和评审费用中标方承担。（含前一次废标的评审费）</w:t>
      </w: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rPr>
          <w:rFonts w:hint="eastAsia" w:ascii="宋体" w:hAnsi="宋体"/>
          <w:sz w:val="24"/>
        </w:rPr>
        <w:sectPr>
          <w:pgSz w:w="11906" w:h="16838"/>
          <w:pgMar w:top="1440" w:right="1797" w:bottom="1440" w:left="1797" w:header="851" w:footer="992" w:gutter="0"/>
          <w:cols w:space="720" w:num="1"/>
          <w:docGrid w:linePitch="312" w:charSpace="0"/>
        </w:sectPr>
      </w:pPr>
    </w:p>
    <w:p>
      <w:pPr>
        <w:pStyle w:val="2"/>
        <w:rPr>
          <w:rFonts w:hint="eastAsia"/>
        </w:rPr>
      </w:pPr>
    </w:p>
    <w:p>
      <w:pPr>
        <w:spacing w:line="360" w:lineRule="auto"/>
        <w:jc w:val="center"/>
        <w:rPr>
          <w:rFonts w:ascii="宋体" w:hAnsi="宋体"/>
          <w:b/>
          <w:sz w:val="36"/>
          <w:szCs w:val="36"/>
        </w:rPr>
      </w:pPr>
      <w:bookmarkStart w:id="8"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8"/>
    <w:p>
      <w:pPr>
        <w:wordWrap w:val="0"/>
        <w:spacing w:line="360" w:lineRule="auto"/>
        <w:jc w:val="right"/>
        <w:rPr>
          <w:rFonts w:hint="eastAsia" w:ascii="宋体" w:hAnsi="宋体" w:eastAsia="宋体" w:cs="宋体"/>
          <w:sz w:val="24"/>
          <w:szCs w:val="24"/>
          <w:u w:val="single"/>
        </w:rPr>
      </w:pPr>
      <w:bookmarkStart w:id="9"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5"/>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9"/>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FF0000"/>
          <w:sz w:val="24"/>
          <w:szCs w:val="24"/>
        </w:rPr>
        <w:t>所附投标价格表中规定的应提交和交付的货物投标总价为</w:t>
      </w:r>
      <w:r>
        <w:rPr>
          <w:rFonts w:hint="eastAsia" w:asciiTheme="minorEastAsia" w:hAnsiTheme="minorEastAsia" w:eastAsiaTheme="minorEastAsia" w:cstheme="minorEastAsia"/>
          <w:color w:val="FF0000"/>
          <w:sz w:val="24"/>
          <w:szCs w:val="24"/>
          <w:u w:val="single"/>
        </w:rPr>
        <w:t>（注明币种，并用文字和数字表示投标总价）（必须按要求填写清楚）</w:t>
      </w:r>
      <w:r>
        <w:rPr>
          <w:rFonts w:hint="eastAsia" w:asciiTheme="minorEastAsia" w:hAnsiTheme="minorEastAsia" w:eastAsiaTheme="minorEastAsia" w:cstheme="minorEastAsia"/>
          <w:color w:val="FF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7"/>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9"/>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5"/>
        <w:tblW w:w="861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922"/>
        <w:gridCol w:w="2922"/>
        <w:gridCol w:w="1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至少承担过一个市级以上矿产资源规划编制工作（需提供相关合同或成果资料）</w:t>
            </w: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5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922"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717"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2"/>
        <w:bidi w:val="0"/>
        <w:ind w:firstLine="482" w:firstLineChars="200"/>
        <w:jc w:val="center"/>
        <w:rPr>
          <w:rStyle w:val="17"/>
          <w:rFonts w:hint="eastAsia" w:hAnsi="宋体" w:eastAsia="宋体" w:cs="Times New Roman"/>
          <w:b/>
          <w:sz w:val="24"/>
          <w:szCs w:val="24"/>
        </w:rPr>
      </w:pPr>
    </w:p>
    <w:p>
      <w:pPr>
        <w:pStyle w:val="33"/>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cs="Times New Roman"/>
          <w:sz w:val="24"/>
          <w:szCs w:val="24"/>
          <w:lang w:eastAsia="zh-CN"/>
        </w:rPr>
        <w:t>铜仁市</w:t>
      </w:r>
      <w:r>
        <w:rPr>
          <w:rStyle w:val="17"/>
          <w:rFonts w:hint="eastAsia" w:ascii="宋体" w:hAnsi="宋体" w:eastAsia="宋体" w:cs="Times New Roman"/>
          <w:sz w:val="24"/>
          <w:szCs w:val="24"/>
        </w:rPr>
        <w:t>公共资源交易中心：</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关于贵方</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年</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月</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日发布关于“</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”（项目编号：</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）的采购公告，我方愿意参加</w:t>
      </w:r>
      <w:r>
        <w:rPr>
          <w:rStyle w:val="17"/>
          <w:rFonts w:hint="eastAsia" w:ascii="宋体" w:hAnsi="宋体" w:cs="Times New Roman"/>
          <w:sz w:val="24"/>
          <w:szCs w:val="24"/>
          <w:lang w:eastAsia="zh-CN"/>
        </w:rPr>
        <w:t>谈判</w:t>
      </w:r>
      <w:r>
        <w:rPr>
          <w:rStyle w:val="17"/>
          <w:rFonts w:hint="eastAsia" w:ascii="宋体" w:hAnsi="宋体" w:eastAsia="宋体" w:cs="Times New Roman"/>
          <w:sz w:val="24"/>
          <w:szCs w:val="24"/>
        </w:rPr>
        <w:t>，并声明截至开标日：</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我方具备《中华人民共和国政府采购法》第二十二条所规定的条件，并已清楚</w:t>
      </w:r>
      <w:r>
        <w:rPr>
          <w:rStyle w:val="17"/>
          <w:rFonts w:hint="eastAsia" w:ascii="宋体" w:hAnsi="宋体" w:cs="Times New Roman"/>
          <w:sz w:val="24"/>
          <w:szCs w:val="24"/>
          <w:lang w:eastAsia="zh-CN"/>
        </w:rPr>
        <w:t>采购</w:t>
      </w:r>
      <w:r>
        <w:rPr>
          <w:rStyle w:val="17"/>
          <w:rFonts w:hint="eastAsia" w:ascii="宋体" w:hAnsi="宋体" w:eastAsia="宋体" w:cs="Times New Roman"/>
          <w:sz w:val="24"/>
          <w:szCs w:val="24"/>
        </w:rPr>
        <w:t>文件的要求及有关文件规定。</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（一）</w:t>
      </w:r>
      <w:r>
        <w:rPr>
          <w:rStyle w:val="17"/>
          <w:rFonts w:ascii="Calibri" w:hAnsi="宋体" w:eastAsia="宋体" w:cs="Times New Roman"/>
          <w:sz w:val="24"/>
          <w:szCs w:val="24"/>
        </w:rPr>
        <w:t>具有独立承担民事责任的能力</w:t>
      </w:r>
      <w:r>
        <w:rPr>
          <w:rStyle w:val="17"/>
          <w:rFonts w:hint="eastAsia" w:ascii="Calibri" w:hAnsi="宋体" w:eastAsia="宋体" w:cs="Times New Roman"/>
          <w:sz w:val="24"/>
          <w:szCs w:val="24"/>
        </w:rPr>
        <w:t>，提供以下</w:t>
      </w:r>
      <w:r>
        <w:rPr>
          <w:rStyle w:val="17"/>
          <w:rFonts w:ascii="Calibri" w:hAnsi="宋体" w:eastAsia="宋体" w:cs="Times New Roman"/>
          <w:sz w:val="24"/>
          <w:szCs w:val="24"/>
        </w:rPr>
        <w:t>相关证照</w:t>
      </w:r>
      <w:r>
        <w:rPr>
          <w:rStyle w:val="17"/>
          <w:rFonts w:hint="eastAsia" w:ascii="Calibri" w:hAnsi="宋体" w:eastAsia="宋体" w:cs="Times New Roman"/>
          <w:sz w:val="24"/>
          <w:szCs w:val="24"/>
        </w:rPr>
        <w:t>的</w:t>
      </w:r>
      <w:r>
        <w:rPr>
          <w:rStyle w:val="17"/>
          <w:rFonts w:ascii="Calibri" w:hAnsi="宋体" w:eastAsia="宋体" w:cs="Times New Roman"/>
          <w:sz w:val="24"/>
          <w:szCs w:val="24"/>
        </w:rPr>
        <w:t>原件扫描件</w:t>
      </w:r>
      <w:r>
        <w:rPr>
          <w:rStyle w:val="17"/>
          <w:rFonts w:hint="eastAsia" w:ascii="Calibri" w:hAnsi="宋体" w:eastAsia="宋体" w:cs="Times New Roman"/>
          <w:sz w:val="24"/>
          <w:szCs w:val="24"/>
        </w:rPr>
        <w:t>（见附件）之一：1.</w:t>
      </w:r>
      <w:r>
        <w:rPr>
          <w:rStyle w:val="17"/>
          <w:rFonts w:ascii="Calibri" w:hAnsi="宋体" w:eastAsia="宋体" w:cs="Times New Roman"/>
          <w:sz w:val="24"/>
          <w:szCs w:val="24"/>
        </w:rPr>
        <w:t>企业法人营业执照</w:t>
      </w:r>
      <w:r>
        <w:rPr>
          <w:rStyle w:val="17"/>
          <w:rFonts w:hint="eastAsia" w:ascii="Calibri" w:hAnsi="宋体" w:eastAsia="宋体" w:cs="Times New Roman"/>
          <w:sz w:val="24"/>
          <w:szCs w:val="24"/>
        </w:rPr>
        <w:t>；2.</w:t>
      </w:r>
      <w:r>
        <w:rPr>
          <w:rStyle w:val="17"/>
          <w:rFonts w:ascii="Calibri" w:hAnsi="宋体" w:eastAsia="宋体" w:cs="Times New Roman"/>
          <w:sz w:val="24"/>
          <w:szCs w:val="24"/>
        </w:rPr>
        <w:t>事业法人登记证</w:t>
      </w:r>
      <w:r>
        <w:rPr>
          <w:rStyle w:val="17"/>
          <w:rFonts w:hint="eastAsia" w:ascii="Calibri" w:hAnsi="宋体" w:eastAsia="宋体" w:cs="Times New Roman"/>
          <w:sz w:val="24"/>
          <w:szCs w:val="24"/>
        </w:rPr>
        <w:t>；3.</w:t>
      </w:r>
      <w:r>
        <w:rPr>
          <w:rStyle w:val="17"/>
          <w:rFonts w:ascii="Calibri" w:hAnsi="宋体" w:eastAsia="宋体" w:cs="Times New Roman"/>
          <w:sz w:val="24"/>
          <w:szCs w:val="24"/>
        </w:rPr>
        <w:t>其他组织的营业执照</w:t>
      </w:r>
      <w:r>
        <w:rPr>
          <w:rStyle w:val="17"/>
          <w:rFonts w:hint="eastAsia" w:ascii="Calibri" w:hAnsi="宋体" w:eastAsia="宋体" w:cs="Times New Roman"/>
          <w:sz w:val="24"/>
          <w:szCs w:val="24"/>
        </w:rPr>
        <w:t>或</w:t>
      </w:r>
      <w:r>
        <w:rPr>
          <w:rStyle w:val="17"/>
          <w:rFonts w:ascii="Calibri" w:hAnsi="宋体" w:eastAsia="宋体" w:cs="Times New Roman"/>
          <w:sz w:val="24"/>
          <w:szCs w:val="24"/>
        </w:rPr>
        <w:t>执业许可证</w:t>
      </w:r>
      <w:r>
        <w:rPr>
          <w:rStyle w:val="17"/>
          <w:rFonts w:hint="eastAsia" w:ascii="Calibri" w:hAnsi="宋体" w:eastAsia="宋体" w:cs="Times New Roman"/>
          <w:sz w:val="24"/>
          <w:szCs w:val="24"/>
        </w:rPr>
        <w:t>；4.居民身份证</w:t>
      </w:r>
      <w:r>
        <w:rPr>
          <w:rStyle w:val="17"/>
          <w:rFonts w:ascii="Calibri" w:hAnsi="宋体" w:eastAsia="宋体" w:cs="Times New Roman"/>
          <w:sz w:val="24"/>
          <w:szCs w:val="24"/>
        </w:rPr>
        <w:t>等</w:t>
      </w:r>
      <w:r>
        <w:rPr>
          <w:rStyle w:val="17"/>
          <w:rFonts w:hint="eastAsia" w:ascii="宋体" w:hAnsi="宋体" w:eastAsia="宋体" w:cs="Times New Roman"/>
          <w:sz w:val="24"/>
          <w:szCs w:val="24"/>
        </w:rPr>
        <w:t>；</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（二）具有良好的商业信誉和健全的财务会计制度；</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（三）具有履行合同所必需的设备和专业技术能力；</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（四）有依法缴纳税收和社会保障资金的良好记录；</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（五）参加政府采购活动前三年内，在经营活动中没有重大违法记录；</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（六）法律、行政法规规定的其他条件。</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本次采购活动中，如有违法、违规、弄虚作假行为，所造成的损失、不良后果及法律责任，一律由我方承担。</w:t>
      </w:r>
    </w:p>
    <w:p>
      <w:pPr>
        <w:pStyle w:val="33"/>
        <w:bidi w:val="0"/>
        <w:spacing w:line="336" w:lineRule="auto"/>
        <w:ind w:right="84" w:rightChars="40" w:firstLine="482" w:firstLineChars="200"/>
        <w:rPr>
          <w:rStyle w:val="17"/>
          <w:rFonts w:hint="eastAsia" w:ascii="宋体" w:hAnsi="宋体" w:eastAsia="宋体" w:cs="Times New Roman"/>
          <w:b/>
          <w:sz w:val="24"/>
          <w:szCs w:val="24"/>
        </w:rPr>
      </w:pPr>
      <w:r>
        <w:rPr>
          <w:rStyle w:val="17"/>
          <w:rFonts w:hint="eastAsia" w:ascii="宋体" w:hAnsi="宋体" w:eastAsia="宋体" w:cs="Times New Roman"/>
          <w:b/>
          <w:sz w:val="24"/>
          <w:szCs w:val="24"/>
        </w:rPr>
        <w:t>特此声明！</w:t>
      </w:r>
    </w:p>
    <w:p>
      <w:pPr>
        <w:pStyle w:val="33"/>
        <w:bidi w:val="0"/>
        <w:spacing w:line="336" w:lineRule="auto"/>
        <w:ind w:right="84" w:rightChars="40"/>
        <w:rPr>
          <w:rStyle w:val="17"/>
          <w:rFonts w:hint="eastAsia" w:ascii="宋体" w:hAnsi="宋体" w:eastAsia="宋体" w:cs="Times New Roman"/>
          <w:sz w:val="24"/>
          <w:szCs w:val="24"/>
        </w:rPr>
      </w:pPr>
    </w:p>
    <w:p>
      <w:pPr>
        <w:pStyle w:val="33"/>
        <w:bidi w:val="0"/>
        <w:spacing w:line="336" w:lineRule="auto"/>
        <w:ind w:right="84" w:rightChars="40" w:firstLine="5520" w:firstLineChars="2300"/>
        <w:rPr>
          <w:rStyle w:val="17"/>
          <w:rFonts w:hint="eastAsia" w:ascii="宋体" w:hAnsi="宋体" w:eastAsia="宋体" w:cs="Times New Roman"/>
          <w:sz w:val="24"/>
          <w:szCs w:val="24"/>
        </w:rPr>
      </w:pPr>
      <w:r>
        <w:rPr>
          <w:rStyle w:val="17"/>
          <w:rFonts w:hint="eastAsia" w:ascii="宋体" w:hAnsi="宋体" w:eastAsia="宋体" w:cs="Times New Roman"/>
          <w:sz w:val="24"/>
          <w:szCs w:val="24"/>
        </w:rPr>
        <w:t>日期：20  年   月   日</w:t>
      </w:r>
    </w:p>
    <w:p>
      <w:pPr>
        <w:pStyle w:val="33"/>
        <w:bidi w:val="0"/>
        <w:spacing w:line="336" w:lineRule="auto"/>
        <w:ind w:right="84" w:rightChars="40"/>
        <w:rPr>
          <w:rStyle w:val="17"/>
          <w:rFonts w:ascii="宋体" w:hAnsi="宋体" w:eastAsia="宋体" w:cs="Times New Roman"/>
          <w:sz w:val="24"/>
          <w:szCs w:val="24"/>
        </w:rPr>
      </w:pPr>
    </w:p>
    <w:p>
      <w:pPr>
        <w:pStyle w:val="33"/>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eastAsia="宋体" w:cs="Times New Roman"/>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cstheme="minorEastAsia"/>
          <w:b/>
          <w:bCs/>
          <w:sz w:val="36"/>
          <w:szCs w:val="36"/>
          <w:lang w:val="en-US" w:eastAsia="zh-CN"/>
        </w:rPr>
        <w:t>法</w:t>
      </w:r>
      <w:r>
        <w:rPr>
          <w:rFonts w:hint="eastAsia" w:asciiTheme="minorEastAsia" w:hAnsiTheme="minorEastAsia" w:eastAsiaTheme="minorEastAsia" w:cstheme="minorEastAsia"/>
          <w:b/>
          <w:bCs/>
          <w:sz w:val="36"/>
          <w:szCs w:val="36"/>
        </w:rPr>
        <w:t>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cstheme="minorEastAsia"/>
          <w:sz w:val="24"/>
          <w:szCs w:val="24"/>
          <w:u w:val="single"/>
          <w:lang w:eastAsia="zh-CN"/>
        </w:rPr>
        <w:t>法</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cstheme="minorEastAsia"/>
          <w:sz w:val="24"/>
          <w:szCs w:val="24"/>
          <w:lang w:val="en-US" w:eastAsia="zh-CN"/>
        </w:rPr>
        <w:t>(签字或盖章）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9"/>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9"/>
        <w:pageBreakBefore w:val="0"/>
        <w:widowControl w:val="0"/>
        <w:overflowPunct/>
        <w:topLinePunct w:val="0"/>
        <w:bidi w:val="0"/>
        <w:spacing w:beforeAutospacing="0" w:afterAutospacing="0" w:line="400" w:lineRule="exact"/>
        <w:ind w:firstLine="720" w:firstLineChars="3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eastAsiaTheme="minorEastAsia" w:cstheme="minorEastAsia"/>
          <w:color w:val="FF0000"/>
          <w:sz w:val="24"/>
          <w:szCs w:val="24"/>
        </w:rPr>
        <w:t>谈判</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（1）工商营业执照副本；</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（2）税务登记证；（“三证合一”可不提供）</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（3）组织机构代码证；（“三证合一”可不提供）</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w:t>
      </w:r>
      <w:r>
        <w:rPr>
          <w:rFonts w:hint="eastAsia" w:asciiTheme="minorEastAsia" w:hAnsiTheme="minorEastAsia" w:cstheme="minorEastAsia"/>
          <w:b/>
          <w:sz w:val="24"/>
          <w:szCs w:val="24"/>
          <w:lang w:eastAsia="zh-CN"/>
        </w:rPr>
        <w:t>法</w:t>
      </w:r>
      <w:r>
        <w:rPr>
          <w:rFonts w:hint="eastAsia" w:asciiTheme="minorEastAsia" w:hAnsiTheme="minorEastAsia" w:eastAsiaTheme="minorEastAsia" w:cstheme="minorEastAsia"/>
          <w:b/>
          <w:sz w:val="24"/>
          <w:szCs w:val="24"/>
        </w:rPr>
        <w:t>人身份证或委托代理人持授权委托书及代理人身份证；</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（6）20</w:t>
      </w:r>
      <w:r>
        <w:rPr>
          <w:rFonts w:hint="eastAsia" w:asciiTheme="minorEastAsia" w:hAnsiTheme="minorEastAsia" w:cstheme="minorEastAsia"/>
          <w:b/>
          <w:sz w:val="24"/>
          <w:szCs w:val="24"/>
          <w:lang w:val="en-US" w:eastAsia="zh-CN"/>
        </w:rPr>
        <w:t>20</w:t>
      </w:r>
      <w:r>
        <w:rPr>
          <w:rFonts w:hint="eastAsia" w:asciiTheme="minorEastAsia" w:hAnsiTheme="minorEastAsia" w:eastAsiaTheme="minorEastAsia" w:cstheme="minorEastAsia"/>
          <w:b/>
          <w:sz w:val="24"/>
          <w:szCs w:val="24"/>
        </w:rPr>
        <w:t>年任意</w:t>
      </w: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个月财务报表（含资产负债表及利润表）或银行资信证明；</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（7）20</w:t>
      </w:r>
      <w:r>
        <w:rPr>
          <w:rFonts w:hint="eastAsia" w:asciiTheme="minorEastAsia" w:hAnsiTheme="minorEastAsia" w:cstheme="minorEastAsia"/>
          <w:b/>
          <w:sz w:val="24"/>
          <w:szCs w:val="24"/>
          <w:lang w:val="en-US" w:eastAsia="zh-CN"/>
        </w:rPr>
        <w:t>20</w:t>
      </w:r>
      <w:r>
        <w:rPr>
          <w:rFonts w:hint="eastAsia" w:asciiTheme="minorEastAsia" w:hAnsiTheme="minorEastAsia" w:eastAsiaTheme="minorEastAsia" w:cstheme="minorEastAsia"/>
          <w:b/>
          <w:sz w:val="24"/>
          <w:szCs w:val="24"/>
        </w:rPr>
        <w:t>年任意</w:t>
      </w: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个月的缴纳社保的凭证；</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（8）20</w:t>
      </w:r>
      <w:r>
        <w:rPr>
          <w:rFonts w:hint="eastAsia" w:asciiTheme="minorEastAsia" w:hAnsiTheme="minorEastAsia" w:cstheme="minorEastAsia"/>
          <w:b/>
          <w:sz w:val="24"/>
          <w:szCs w:val="24"/>
          <w:lang w:val="en-US" w:eastAsia="zh-CN"/>
        </w:rPr>
        <w:t>20</w:t>
      </w:r>
      <w:r>
        <w:rPr>
          <w:rFonts w:hint="eastAsia" w:asciiTheme="minorEastAsia" w:hAnsiTheme="minorEastAsia" w:eastAsiaTheme="minorEastAsia" w:cstheme="minorEastAsia"/>
          <w:b/>
          <w:sz w:val="24"/>
          <w:szCs w:val="24"/>
        </w:rPr>
        <w:t>年任意</w:t>
      </w: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个月的完税凭证。</w:t>
      </w:r>
    </w:p>
    <w:p>
      <w:pPr>
        <w:pageBreakBefore w:val="0"/>
        <w:widowControl w:val="0"/>
        <w:numPr>
          <w:ilvl w:val="0"/>
          <w:numId w:val="0"/>
        </w:numPr>
        <w:overflowPunct/>
        <w:topLinePunct w:val="0"/>
        <w:autoSpaceDE w:val="0"/>
        <w:autoSpaceDN w:val="0"/>
        <w:bidi w:val="0"/>
        <w:adjustRightInd w:val="0"/>
        <w:spacing w:beforeAutospacing="0" w:afterAutospacing="0" w:line="400" w:lineRule="exact"/>
        <w:ind w:right="560" w:rightChars="0"/>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(9)</w:t>
      </w:r>
      <w:r>
        <w:rPr>
          <w:rFonts w:hint="eastAsia" w:asciiTheme="minorEastAsia" w:hAnsiTheme="minorEastAsia" w:eastAsiaTheme="minorEastAsia" w:cstheme="minorEastAsia"/>
          <w:b/>
          <w:sz w:val="24"/>
          <w:szCs w:val="24"/>
        </w:rPr>
        <w:t>参加政府采购活动前三年内，在经营活动中没有重大违法记录声明函</w:t>
      </w:r>
    </w:p>
    <w:p>
      <w:pPr>
        <w:pageBreakBefore w:val="0"/>
        <w:widowControl w:val="0"/>
        <w:numPr>
          <w:ilvl w:val="0"/>
          <w:numId w:val="0"/>
        </w:numPr>
        <w:overflowPunct/>
        <w:topLinePunct w:val="0"/>
        <w:autoSpaceDE w:val="0"/>
        <w:autoSpaceDN w:val="0"/>
        <w:bidi w:val="0"/>
        <w:adjustRightInd w:val="0"/>
        <w:spacing w:beforeAutospacing="0" w:afterAutospacing="0" w:line="400" w:lineRule="exact"/>
        <w:ind w:right="560" w:rightChars="0"/>
        <w:rPr>
          <w:rFonts w:hint="default" w:asciiTheme="minorEastAsia" w:hAnsiTheme="minorEastAsia" w:eastAsiaTheme="minorEastAsia" w:cstheme="minorEastAsia"/>
          <w:b/>
          <w:sz w:val="24"/>
          <w:szCs w:val="24"/>
          <w:lang w:val="en-US" w:eastAsia="zh-CN"/>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bCs/>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bCs/>
          <w:sz w:val="24"/>
          <w:szCs w:val="24"/>
        </w:rPr>
      </w:pPr>
    </w:p>
    <w:p>
      <w:pPr>
        <w:pageBreakBefore w:val="0"/>
        <w:widowControl w:val="0"/>
        <w:overflowPunct/>
        <w:topLinePunct w:val="0"/>
        <w:bidi w:val="0"/>
        <w:spacing w:beforeAutospacing="0" w:afterAutospacing="0" w:line="400" w:lineRule="exact"/>
        <w:jc w:val="center"/>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000" w:firstLineChars="1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（如是）</w:t>
      </w:r>
    </w:p>
    <w:p>
      <w:pPr>
        <w:pageBreakBefore w:val="0"/>
        <w:widowControl w:val="0"/>
        <w:overflowPunct/>
        <w:topLinePunct w:val="0"/>
        <w:bidi w:val="0"/>
        <w:spacing w:beforeAutospacing="0" w:afterAutospacing="0" w:line="400" w:lineRule="exact"/>
        <w:ind w:firstLine="560" w:firstLineChars="200"/>
        <w:rPr>
          <w:rFonts w:hint="eastAsia" w:asciiTheme="minorEastAsia" w:hAnsiTheme="minorEastAsia" w:eastAsiaTheme="minorEastAsia" w:cstheme="minorEastAsia"/>
          <w:sz w:val="28"/>
          <w:szCs w:val="28"/>
        </w:rPr>
      </w:pP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360" w:lineRule="auto"/>
        <w:jc w:val="center"/>
        <w:rPr>
          <w:rStyle w:val="17"/>
          <w:rFonts w:hint="eastAsia" w:ascii="宋体" w:hAnsi="宋体"/>
          <w:b/>
          <w:spacing w:val="6"/>
          <w:sz w:val="28"/>
          <w:szCs w:val="28"/>
          <w:lang w:val="en-US" w:eastAsia="zh-CN" w:bidi="ar-SA"/>
        </w:rPr>
      </w:pPr>
      <w:r>
        <w:rPr>
          <w:rStyle w:val="17"/>
          <w:rFonts w:ascii="宋体" w:hAnsi="宋体"/>
          <w:b/>
          <w:spacing w:val="6"/>
          <w:sz w:val="28"/>
          <w:szCs w:val="28"/>
          <w:lang w:val="en-US" w:eastAsia="zh-CN" w:bidi="ar-SA"/>
        </w:rPr>
        <w:t>残疾人福利性单位声明函</w:t>
      </w:r>
      <w:r>
        <w:rPr>
          <w:rFonts w:hint="eastAsia" w:asciiTheme="minorEastAsia" w:hAnsiTheme="minorEastAsia" w:cstheme="minorEastAsia"/>
          <w:b/>
          <w:sz w:val="36"/>
          <w:szCs w:val="36"/>
          <w:lang w:eastAsia="zh-CN"/>
        </w:rPr>
        <w:t>（如是）</w:t>
      </w:r>
    </w:p>
    <w:p>
      <w:pPr>
        <w:pStyle w:val="30"/>
        <w:bidi w:val="0"/>
        <w:spacing w:line="360" w:lineRule="auto"/>
        <w:jc w:val="center"/>
        <w:rPr>
          <w:rStyle w:val="17"/>
          <w:rFonts w:ascii="宋体" w:hAnsi="宋体"/>
          <w:b/>
          <w:spacing w:val="6"/>
          <w:sz w:val="28"/>
          <w:szCs w:val="28"/>
          <w:lang w:val="en-US" w:eastAsia="zh-CN" w:bidi="ar-SA"/>
        </w:rPr>
      </w:pPr>
    </w:p>
    <w:p>
      <w:pPr>
        <w:pStyle w:val="30"/>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本单位对上述声明的真实性负责。如有虚假，将依法承担相应责任。</w:t>
      </w:r>
    </w:p>
    <w:p>
      <w:pPr>
        <w:pStyle w:val="30"/>
        <w:bidi w:val="0"/>
        <w:spacing w:line="360" w:lineRule="auto"/>
        <w:ind w:firstLine="504" w:firstLineChars="200"/>
        <w:rPr>
          <w:rStyle w:val="17"/>
          <w:rFonts w:ascii="宋体" w:hAnsi="宋体"/>
          <w:color w:val="993300"/>
          <w:spacing w:val="6"/>
          <w:sz w:val="24"/>
          <w:lang w:val="en-US" w:eastAsia="zh-CN" w:bidi="ar-SA"/>
        </w:rPr>
      </w:pPr>
    </w:p>
    <w:p>
      <w:pPr>
        <w:pStyle w:val="30"/>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pStyle w:val="30"/>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7"/>
          <w:rFonts w:hint="eastAsia" w:ascii="宋体" w:hAnsi="宋体" w:cs="Arial"/>
          <w:sz w:val="24"/>
          <w:lang w:val="en-US" w:eastAsia="zh-CN" w:bidi="ar-SA"/>
        </w:rPr>
      </w:pPr>
      <w:r>
        <w:rPr>
          <w:rStyle w:val="17"/>
          <w:rFonts w:hint="eastAsia" w:ascii="宋体" w:hAnsi="宋体"/>
          <w:sz w:val="24"/>
          <w:lang w:val="en-US" w:eastAsia="zh-CN" w:bidi="ar-SA"/>
        </w:rPr>
        <w:t>日期：</w:t>
      </w:r>
      <w:r>
        <w:rPr>
          <w:rStyle w:val="17"/>
          <w:rFonts w:hint="eastAsia" w:ascii="宋体" w:hAnsi="宋体" w:cs="Arial"/>
          <w:sz w:val="24"/>
          <w:lang w:val="en-US" w:eastAsia="zh-CN" w:bidi="ar-SA"/>
        </w:rPr>
        <w:t>20  年   月   日</w:t>
      </w: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asciiTheme="minorEastAsia" w:hAnsiTheme="minorEastAsia" w:cstheme="minorEastAsia"/>
          <w:b/>
          <w:sz w:val="36"/>
          <w:szCs w:val="36"/>
          <w:lang w:eastAsia="zh-CN"/>
        </w:rPr>
        <w:t>（如是）</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color w:val="000000" w:themeColor="text1"/>
          <w:sz w:val="24"/>
          <w14:textFill>
            <w14:solidFill>
              <w14:schemeClr w14:val="tx1"/>
            </w14:solidFill>
          </w14:textFill>
        </w:rPr>
      </w:pPr>
      <w:r>
        <w:rPr>
          <w:rFonts w:hint="eastAsia" w:ascii="宋体" w:hAnsi="宋体"/>
          <w:sz w:val="24"/>
        </w:rPr>
        <w:t>6.关于企业从业人员的认定，供应商应该真实填写</w:t>
      </w:r>
      <w:r>
        <w:rPr>
          <w:rFonts w:hint="eastAsia" w:ascii="宋体" w:hAnsi="宋体"/>
          <w:sz w:val="24"/>
          <w:lang w:eastAsia="zh-CN"/>
        </w:rPr>
        <w:t>（格式自拟）。</w:t>
      </w:r>
    </w:p>
    <w:p>
      <w:pPr>
        <w:rPr>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Hiragino Sans GB">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BAC74"/>
    <w:multiLevelType w:val="singleLevel"/>
    <w:tmpl w:val="A3DBAC74"/>
    <w:lvl w:ilvl="0" w:tentative="0">
      <w:start w:val="9"/>
      <w:numFmt w:val="decimal"/>
      <w:suff w:val="nothing"/>
      <w:lvlText w:val="（%1）"/>
      <w:lvlJc w:val="left"/>
    </w:lvl>
  </w:abstractNum>
  <w:abstractNum w:abstractNumId="1">
    <w:nsid w:val="B8415AB4"/>
    <w:multiLevelType w:val="singleLevel"/>
    <w:tmpl w:val="B8415AB4"/>
    <w:lvl w:ilvl="0" w:tentative="0">
      <w:start w:val="9"/>
      <w:numFmt w:val="decimal"/>
      <w:suff w:val="nothing"/>
      <w:lvlText w:val="（%1）"/>
      <w:lvlJc w:val="left"/>
    </w:lvl>
  </w:abstractNum>
  <w:abstractNum w:abstractNumId="2">
    <w:nsid w:val="464B7AC1"/>
    <w:multiLevelType w:val="multilevel"/>
    <w:tmpl w:val="464B7AC1"/>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785A67B"/>
    <w:multiLevelType w:val="singleLevel"/>
    <w:tmpl w:val="5785A67B"/>
    <w:lvl w:ilvl="0" w:tentative="0">
      <w:start w:val="2"/>
      <w:numFmt w:val="chineseCounting"/>
      <w:suff w:val="nothing"/>
      <w:lvlText w:val="（%1）"/>
      <w:lvlJc w:val="left"/>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12C5333"/>
    <w:rsid w:val="01740DD1"/>
    <w:rsid w:val="01843DFD"/>
    <w:rsid w:val="01B84108"/>
    <w:rsid w:val="03B660F2"/>
    <w:rsid w:val="049217A3"/>
    <w:rsid w:val="06207CB0"/>
    <w:rsid w:val="073E597E"/>
    <w:rsid w:val="08740320"/>
    <w:rsid w:val="08FF3BEB"/>
    <w:rsid w:val="098C26B6"/>
    <w:rsid w:val="0E925746"/>
    <w:rsid w:val="10931C8E"/>
    <w:rsid w:val="14EB63A4"/>
    <w:rsid w:val="19B24C99"/>
    <w:rsid w:val="1AC3120A"/>
    <w:rsid w:val="1C9D20D0"/>
    <w:rsid w:val="1CEC3418"/>
    <w:rsid w:val="1DF80F9F"/>
    <w:rsid w:val="1EC12A2D"/>
    <w:rsid w:val="1F53773A"/>
    <w:rsid w:val="1F62243C"/>
    <w:rsid w:val="217F3246"/>
    <w:rsid w:val="219E3F32"/>
    <w:rsid w:val="247501C3"/>
    <w:rsid w:val="24B2272E"/>
    <w:rsid w:val="281828B6"/>
    <w:rsid w:val="28435CD3"/>
    <w:rsid w:val="287B133B"/>
    <w:rsid w:val="2CAB398E"/>
    <w:rsid w:val="2D710FB9"/>
    <w:rsid w:val="2F316610"/>
    <w:rsid w:val="3164621F"/>
    <w:rsid w:val="386D1D18"/>
    <w:rsid w:val="397D36A1"/>
    <w:rsid w:val="39D70A13"/>
    <w:rsid w:val="3AF84CD2"/>
    <w:rsid w:val="3DC20022"/>
    <w:rsid w:val="3E9D4649"/>
    <w:rsid w:val="3F7F10A4"/>
    <w:rsid w:val="418E2239"/>
    <w:rsid w:val="419C367E"/>
    <w:rsid w:val="42CE5F42"/>
    <w:rsid w:val="447026EC"/>
    <w:rsid w:val="468839B0"/>
    <w:rsid w:val="47883808"/>
    <w:rsid w:val="47C96E63"/>
    <w:rsid w:val="49AC2EF4"/>
    <w:rsid w:val="49C7459E"/>
    <w:rsid w:val="4AB805F6"/>
    <w:rsid w:val="4AFD3876"/>
    <w:rsid w:val="4B3442B5"/>
    <w:rsid w:val="4E257BBB"/>
    <w:rsid w:val="50703403"/>
    <w:rsid w:val="517F43E6"/>
    <w:rsid w:val="533A4FD1"/>
    <w:rsid w:val="5425148C"/>
    <w:rsid w:val="55FA0729"/>
    <w:rsid w:val="58BF4595"/>
    <w:rsid w:val="58CB7AFD"/>
    <w:rsid w:val="5AA30391"/>
    <w:rsid w:val="5CD87C27"/>
    <w:rsid w:val="5E455CE9"/>
    <w:rsid w:val="5E527688"/>
    <w:rsid w:val="634E7CC8"/>
    <w:rsid w:val="64585BCD"/>
    <w:rsid w:val="66770E5A"/>
    <w:rsid w:val="68BC2178"/>
    <w:rsid w:val="6A5631D6"/>
    <w:rsid w:val="6E0C17AF"/>
    <w:rsid w:val="6E3A5686"/>
    <w:rsid w:val="6E9A5852"/>
    <w:rsid w:val="70DA66D7"/>
    <w:rsid w:val="710B4326"/>
    <w:rsid w:val="72C32A0D"/>
    <w:rsid w:val="73926DDA"/>
    <w:rsid w:val="74132D01"/>
    <w:rsid w:val="743B3A02"/>
    <w:rsid w:val="7547471D"/>
    <w:rsid w:val="76C14EF7"/>
    <w:rsid w:val="7BEE2FE6"/>
    <w:rsid w:val="7D0A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28"/>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semiHidden/>
    <w:qFormat/>
    <w:uiPriority w:val="0"/>
    <w:rPr>
      <w:rFonts w:ascii="Times New Roman" w:hAnsi="Times New Roman"/>
      <w:szCs w:val="24"/>
    </w:rPr>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unhideWhenUsed/>
    <w:qFormat/>
    <w:uiPriority w:val="0"/>
    <w:pPr>
      <w:spacing w:line="360" w:lineRule="auto"/>
      <w:jc w:val="center"/>
    </w:pPr>
    <w:rPr>
      <w:rFonts w:ascii="黑体" w:hAnsi="黑体" w:eastAsia="黑体"/>
      <w:sz w:val="24"/>
      <w:szCs w:val="20"/>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Hyperlink"/>
    <w:qFormat/>
    <w:uiPriority w:val="0"/>
    <w:rPr>
      <w:color w:val="0000FF"/>
      <w:u w:val="single"/>
    </w:rPr>
  </w:style>
  <w:style w:type="character" w:styleId="22">
    <w:name w:val="annotation reference"/>
    <w:basedOn w:val="17"/>
    <w:qFormat/>
    <w:uiPriority w:val="0"/>
    <w:rPr>
      <w:sz w:val="21"/>
      <w:szCs w:val="21"/>
    </w:rPr>
  </w:style>
  <w:style w:type="paragraph" w:customStyle="1" w:styleId="23">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4">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5">
    <w:name w:val=" Char Char Char Char Char Char Char"/>
    <w:basedOn w:val="1"/>
    <w:qFormat/>
    <w:uiPriority w:val="0"/>
    <w:rPr>
      <w:rFonts w:ascii="Times New Roman" w:hAnsi="Times New Roman"/>
      <w:szCs w:val="24"/>
    </w:rPr>
  </w:style>
  <w:style w:type="paragraph" w:customStyle="1" w:styleId="26">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7">
    <w:name w:val="样式3"/>
    <w:basedOn w:val="9"/>
    <w:qFormat/>
    <w:uiPriority w:val="0"/>
    <w:pPr>
      <w:spacing w:line="0" w:lineRule="atLeast"/>
      <w:outlineLvl w:val="0"/>
    </w:pPr>
    <w:rPr>
      <w:sz w:val="28"/>
    </w:rPr>
  </w:style>
  <w:style w:type="paragraph" w:customStyle="1" w:styleId="28">
    <w:name w:val="p0"/>
    <w:basedOn w:val="1"/>
    <w:qFormat/>
    <w:uiPriority w:val="0"/>
    <w:pPr>
      <w:widowControl/>
    </w:pPr>
    <w:rPr>
      <w:kern w:val="0"/>
      <w:szCs w:val="21"/>
    </w:rPr>
  </w:style>
  <w:style w:type="paragraph" w:customStyle="1" w:styleId="2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0">
    <w:name w:val="Normal_22"/>
    <w:qFormat/>
    <w:uiPriority w:val="0"/>
    <w:rPr>
      <w:rFonts w:ascii="Times New Roman" w:hAnsi="Times New Roman" w:eastAsia="宋体" w:cs="Times New Roman"/>
      <w:kern w:val="0"/>
      <w:sz w:val="21"/>
      <w:szCs w:val="20"/>
    </w:rPr>
  </w:style>
  <w:style w:type="character" w:customStyle="1" w:styleId="31">
    <w:name w:val="p141"/>
    <w:qFormat/>
    <w:uiPriority w:val="0"/>
    <w:rPr>
      <w:sz w:val="21"/>
      <w:szCs w:val="21"/>
    </w:rPr>
  </w:style>
  <w:style w:type="paragraph" w:customStyle="1" w:styleId="32">
    <w:name w:val="纯文本_0_0"/>
    <w:basedOn w:val="33"/>
    <w:unhideWhenUsed/>
    <w:qFormat/>
    <w:uiPriority w:val="0"/>
    <w:pPr>
      <w:widowControl/>
      <w:jc w:val="left"/>
    </w:pPr>
    <w:rPr>
      <w:rFonts w:ascii="宋体" w:hAnsi="Courier New" w:eastAsia="宋体"/>
      <w:kern w:val="0"/>
      <w:sz w:val="20"/>
      <w:szCs w:val="21"/>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lp1"/>
    <w:basedOn w:val="1"/>
    <w:next w:val="35"/>
    <w:qFormat/>
    <w:uiPriority w:val="34"/>
    <w:pPr>
      <w:widowControl/>
      <w:spacing w:before="240" w:after="240"/>
      <w:ind w:firstLine="420"/>
      <w:jc w:val="left"/>
    </w:pPr>
    <w:rPr>
      <w:rFonts w:ascii="Calibri" w:hAnsi="Calibri" w:eastAsia="宋体" w:cs="Times New Roman"/>
      <w:sz w:val="24"/>
      <w:lang w:val="zh-CN" w:eastAsia="zh-CN"/>
    </w:rPr>
  </w:style>
  <w:style w:type="paragraph" w:styleId="35">
    <w:name w:val="List Paragraph"/>
    <w:basedOn w:val="1"/>
    <w:qFormat/>
    <w:uiPriority w:val="34"/>
    <w:pPr>
      <w:ind w:firstLine="420" w:firstLineChars="200"/>
    </w:pPr>
  </w:style>
  <w:style w:type="character" w:customStyle="1" w:styleId="36">
    <w:name w:val="标题 2 Char Char"/>
    <w:qFormat/>
    <w:uiPriority w:val="0"/>
    <w:rPr>
      <w:rFonts w:ascii="Arial" w:hAnsi="Arial" w:eastAsia="黑体"/>
      <w:b/>
      <w:bCs/>
      <w:kern w:val="2"/>
      <w:sz w:val="32"/>
      <w:szCs w:val="32"/>
      <w:lang w:val="en-US" w:eastAsia="zh-CN" w:bidi="ar-SA"/>
    </w:rPr>
  </w:style>
  <w:style w:type="paragraph" w:customStyle="1" w:styleId="37">
    <w:name w:val="_Style 36"/>
    <w:basedOn w:val="1"/>
    <w:next w:val="1"/>
    <w:qFormat/>
    <w:uiPriority w:val="0"/>
    <w:pPr>
      <w:pBdr>
        <w:bottom w:val="single" w:color="auto" w:sz="6" w:space="1"/>
      </w:pBdr>
      <w:jc w:val="center"/>
    </w:pPr>
    <w:rPr>
      <w:rFonts w:ascii="Arial" w:eastAsia="宋体"/>
      <w:vanish/>
      <w:sz w:val="16"/>
    </w:rPr>
  </w:style>
  <w:style w:type="paragraph" w:customStyle="1" w:styleId="38">
    <w:name w:val="_Style 3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22360</Words>
  <Characters>23629</Characters>
  <Lines>0</Lines>
  <Paragraphs>0</Paragraphs>
  <TotalTime>5</TotalTime>
  <ScaleCrop>false</ScaleCrop>
  <LinksUpToDate>false</LinksUpToDate>
  <CharactersWithSpaces>27765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丁丁猫</cp:lastModifiedBy>
  <cp:lastPrinted>2020-06-08T06:56:00Z</cp:lastPrinted>
  <dcterms:modified xsi:type="dcterms:W3CDTF">2020-06-22T05:58:32Z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