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numPr>
          <w:ilvl w:val="0"/>
          <w:numId w:val="0"/>
        </w:numPr>
        <w:spacing w:before="100" w:beforeAutospacing="1" w:after="175" w:line="401" w:lineRule="atLeast"/>
        <w:jc w:val="both"/>
        <w:rPr>
          <w:rFonts w:hint="eastAsia" w:ascii="宋体" w:hAnsi="宋体" w:cs="宋体"/>
          <w:b/>
          <w:bCs/>
          <w:color w:val="000000"/>
          <w:sz w:val="28"/>
          <w:szCs w:val="28"/>
        </w:rPr>
      </w:pPr>
      <w:bookmarkStart w:id="0" w:name="OLE_LINK1"/>
      <w:bookmarkStart w:id="1" w:name="OLE_LINK2"/>
      <w:bookmarkStart w:id="2" w:name="OLE_LINK3"/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1.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项目名称：铜仁市市直单位2020年第一批特种专业技术用车</w:t>
      </w:r>
    </w:p>
    <w:p>
      <w:pPr>
        <w:widowControl/>
        <w:numPr>
          <w:ilvl w:val="0"/>
          <w:numId w:val="0"/>
        </w:numPr>
        <w:spacing w:before="100" w:beforeAutospacing="1" w:after="175" w:line="401" w:lineRule="atLeast"/>
        <w:jc w:val="center"/>
        <w:rPr>
          <w:rFonts w:hint="eastAsia" w:ascii="宋体" w:hAnsi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政府采购项目</w:t>
      </w:r>
    </w:p>
    <w:p>
      <w:pPr>
        <w:widowControl/>
        <w:numPr>
          <w:ilvl w:val="0"/>
          <w:numId w:val="0"/>
        </w:numPr>
        <w:spacing w:before="100" w:beforeAutospacing="1" w:after="175" w:line="401" w:lineRule="atLeast"/>
        <w:jc w:val="left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2.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项目编号：</w:t>
      </w:r>
      <w:r>
        <w:rPr>
          <w:rFonts w:ascii="宋体" w:hAnsi="宋体" w:cs="宋体"/>
          <w:b/>
          <w:bCs/>
          <w:color w:val="000000"/>
          <w:sz w:val="28"/>
          <w:szCs w:val="28"/>
        </w:rPr>
        <w:t>TRZFCG-20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20-071</w:t>
      </w:r>
      <w:bookmarkStart w:id="3" w:name="_GoBack"/>
      <w:bookmarkEnd w:id="3"/>
    </w:p>
    <w:p>
      <w:pPr>
        <w:widowControl/>
        <w:numPr>
          <w:ilvl w:val="0"/>
          <w:numId w:val="0"/>
        </w:numPr>
        <w:spacing w:before="100" w:beforeAutospacing="1" w:after="175" w:line="401" w:lineRule="atLeast"/>
        <w:jc w:val="left"/>
        <w:rPr>
          <w:rFonts w:ascii="宋体" w:hAnsi="宋体" w:cs="宋体"/>
          <w:color w:val="333333"/>
          <w:kern w:val="0"/>
          <w:sz w:val="18"/>
          <w:szCs w:val="18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3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.公示期限（不少于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个工作日）:</w:t>
      </w:r>
    </w:p>
    <w:p>
      <w:pPr>
        <w:widowControl/>
        <w:spacing w:before="100" w:beforeAutospacing="1" w:after="175" w:line="401" w:lineRule="atLeast"/>
        <w:jc w:val="left"/>
        <w:rPr>
          <w:rFonts w:ascii="宋体" w:hAnsi="宋体" w:cs="宋体"/>
          <w:color w:val="333333"/>
          <w:kern w:val="0"/>
          <w:sz w:val="18"/>
          <w:szCs w:val="18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20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20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年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5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月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27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日-20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20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年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5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月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28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日</w:t>
      </w:r>
    </w:p>
    <w:p>
      <w:pPr>
        <w:widowControl/>
        <w:spacing w:before="100" w:beforeAutospacing="1" w:after="175" w:line="401" w:lineRule="atLeast"/>
        <w:jc w:val="left"/>
        <w:rPr>
          <w:rFonts w:ascii="宋体" w:hAnsi="宋体" w:cs="宋体"/>
          <w:color w:val="333333"/>
          <w:kern w:val="0"/>
          <w:sz w:val="18"/>
          <w:szCs w:val="18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4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.采购预算：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28000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00.00元（最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eastAsia="zh-CN"/>
        </w:rPr>
        <w:t>高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限价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2800000.00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eastAsia="zh-CN"/>
        </w:rPr>
        <w:t>元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）</w:t>
      </w:r>
    </w:p>
    <w:p>
      <w:pPr>
        <w:widowControl/>
        <w:spacing w:before="100" w:beforeAutospacing="1" w:after="175" w:line="401" w:lineRule="atLeast"/>
        <w:jc w:val="left"/>
        <w:rPr>
          <w:rFonts w:ascii="宋体" w:hAnsi="宋体" w:cs="宋体"/>
          <w:color w:val="333333"/>
          <w:kern w:val="0"/>
          <w:sz w:val="18"/>
          <w:szCs w:val="18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5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.采购预算确定依据:</w:t>
      </w:r>
    </w:p>
    <w:p>
      <w:pPr>
        <w:widowControl/>
        <w:spacing w:before="100" w:beforeAutospacing="1" w:after="175" w:line="401" w:lineRule="atLeast"/>
        <w:jc w:val="left"/>
        <w:rPr>
          <w:rFonts w:hint="eastAsia" w:ascii="宋体" w:hAnsi="宋体" w:cs="宋体"/>
          <w:b/>
          <w:bCs/>
          <w:color w:val="000000"/>
          <w:sz w:val="28"/>
          <w:szCs w:val="28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铜仁市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eastAsia="zh-CN"/>
        </w:rPr>
        <w:t>直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政府采购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eastAsia="zh-CN"/>
        </w:rPr>
        <w:t>（集中采购）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申请表</w:t>
      </w:r>
    </w:p>
    <w:p>
      <w:pPr>
        <w:widowControl/>
        <w:spacing w:before="100" w:beforeAutospacing="1" w:after="175" w:line="401" w:lineRule="atLeast"/>
        <w:jc w:val="left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采购人名称: 铜仁市机关事务中心</w:t>
      </w:r>
    </w:p>
    <w:p>
      <w:pPr>
        <w:widowControl/>
        <w:spacing w:before="100" w:beforeAutospacing="1" w:after="175" w:line="401" w:lineRule="atLeast"/>
        <w:jc w:val="left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联系地址:铜仁市机关事务中心</w:t>
      </w:r>
    </w:p>
    <w:p>
      <w:pPr>
        <w:widowControl/>
        <w:spacing w:before="100" w:beforeAutospacing="1" w:after="175" w:line="401" w:lineRule="atLeast"/>
        <w:jc w:val="left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 xml:space="preserve">项目联系人: 何先生 </w:t>
      </w:r>
    </w:p>
    <w:p>
      <w:pPr>
        <w:widowControl/>
        <w:spacing w:before="100" w:beforeAutospacing="1" w:after="175" w:line="401" w:lineRule="atLeast"/>
        <w:jc w:val="left"/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联系电话:0856-5209531</w:t>
      </w:r>
    </w:p>
    <w:p>
      <w:pPr>
        <w:widowControl/>
        <w:spacing w:before="100" w:beforeAutospacing="1" w:after="175" w:line="401" w:lineRule="atLeast"/>
        <w:jc w:val="left"/>
        <w:rPr>
          <w:rFonts w:ascii="宋体" w:hAnsi="宋体" w:cs="宋体"/>
          <w:color w:val="333333"/>
          <w:kern w:val="0"/>
          <w:sz w:val="18"/>
          <w:szCs w:val="18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7</w:t>
      </w: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.采购代理机构全称:铜仁市公共资源交易中心</w:t>
      </w:r>
    </w:p>
    <w:p>
      <w:pPr>
        <w:widowControl/>
        <w:spacing w:before="100" w:beforeAutospacing="1" w:after="175" w:line="401" w:lineRule="atLeast"/>
        <w:jc w:val="left"/>
        <w:rPr>
          <w:rFonts w:ascii="宋体" w:hAnsi="宋体" w:cs="宋体"/>
          <w:color w:val="333333"/>
          <w:kern w:val="0"/>
          <w:sz w:val="18"/>
          <w:szCs w:val="18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联系地址:铜仁市公共服务中心四楼（川硐麒龙国际会展城）</w:t>
      </w:r>
    </w:p>
    <w:p>
      <w:pPr>
        <w:widowControl/>
        <w:spacing w:before="100" w:beforeAutospacing="1" w:after="175" w:line="401" w:lineRule="atLeast"/>
        <w:jc w:val="left"/>
        <w:rPr>
          <w:rFonts w:ascii="宋体" w:hAnsi="宋体" w:cs="宋体"/>
          <w:color w:val="333333"/>
          <w:kern w:val="0"/>
          <w:sz w:val="18"/>
          <w:szCs w:val="18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项目联系人: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eastAsia="zh-CN"/>
        </w:rPr>
        <w:t>张琰</w:t>
      </w:r>
    </w:p>
    <w:p>
      <w:pPr>
        <w:widowControl/>
        <w:spacing w:before="100" w:beforeAutospacing="1" w:after="175" w:line="401" w:lineRule="atLeast"/>
        <w:jc w:val="left"/>
        <w:rPr>
          <w:rFonts w:ascii="宋体" w:hAnsi="宋体" w:cs="宋体"/>
          <w:color w:val="333333"/>
          <w:kern w:val="0"/>
          <w:sz w:val="18"/>
          <w:szCs w:val="18"/>
          <w:lang w:val="en-US"/>
        </w:rPr>
      </w:pPr>
      <w:r>
        <w:rPr>
          <w:rFonts w:hint="eastAsia" w:ascii="宋体" w:hAnsi="宋体" w:cs="宋体"/>
          <w:b/>
          <w:bCs/>
          <w:color w:val="000000"/>
          <w:sz w:val="28"/>
          <w:szCs w:val="28"/>
        </w:rPr>
        <w:t>联系电话:0856-39129</w:t>
      </w:r>
      <w:r>
        <w:rPr>
          <w:rFonts w:hint="eastAsia" w:ascii="宋体" w:hAnsi="宋体" w:cs="宋体"/>
          <w:b/>
          <w:bCs/>
          <w:color w:val="000000"/>
          <w:sz w:val="28"/>
          <w:szCs w:val="28"/>
          <w:lang w:val="en-US" w:eastAsia="zh-CN"/>
        </w:rPr>
        <w:t>22</w:t>
      </w:r>
    </w:p>
    <w:p>
      <w:pPr>
        <w:pStyle w:val="23"/>
        <w:numPr>
          <w:ilvl w:val="0"/>
          <w:numId w:val="0"/>
        </w:numPr>
        <w:spacing w:line="560" w:lineRule="exact"/>
        <w:rPr>
          <w:rFonts w:hint="eastAsia" w:hAnsi="宋体" w:cs="宋体"/>
          <w:b/>
          <w:bCs/>
          <w:sz w:val="28"/>
          <w:szCs w:val="28"/>
        </w:rPr>
      </w:pPr>
      <w:r>
        <w:rPr>
          <w:rFonts w:hint="eastAsia" w:hAnsi="宋体" w:cs="宋体"/>
          <w:b/>
          <w:bCs/>
          <w:sz w:val="28"/>
          <w:szCs w:val="28"/>
          <w:lang w:val="en-US" w:eastAsia="zh-CN"/>
        </w:rPr>
        <w:t>8.</w:t>
      </w:r>
      <w:r>
        <w:rPr>
          <w:rFonts w:hint="eastAsia" w:hAnsi="宋体" w:cs="宋体"/>
          <w:b/>
          <w:bCs/>
          <w:sz w:val="28"/>
          <w:szCs w:val="28"/>
        </w:rPr>
        <w:t>任何单位和个人对本项目采购文件需求公示有异议的，可在公示期限内，反馈意见给代理机构。</w:t>
      </w:r>
      <w:bookmarkEnd w:id="0"/>
      <w:bookmarkEnd w:id="1"/>
      <w:bookmarkEnd w:id="2"/>
    </w:p>
    <w:p>
      <w:pPr>
        <w:pStyle w:val="23"/>
        <w:numPr>
          <w:ilvl w:val="0"/>
          <w:numId w:val="0"/>
        </w:numPr>
        <w:spacing w:line="560" w:lineRule="exact"/>
        <w:rPr>
          <w:rFonts w:hint="eastAsia" w:hAnsi="宋体" w:cs="宋体"/>
          <w:b/>
          <w:bCs/>
          <w:sz w:val="28"/>
          <w:szCs w:val="28"/>
          <w:lang w:eastAsia="zh-CN"/>
        </w:rPr>
      </w:pPr>
      <w:r>
        <w:rPr>
          <w:rFonts w:hint="eastAsia" w:hAnsi="宋体" w:cs="宋体"/>
          <w:b/>
          <w:bCs/>
          <w:sz w:val="28"/>
          <w:szCs w:val="28"/>
          <w:lang w:eastAsia="zh-CN"/>
        </w:rPr>
        <w:t>用户需求见附件</w:t>
      </w:r>
    </w:p>
    <w:tbl>
      <w:tblPr>
        <w:tblStyle w:val="11"/>
        <w:tblW w:w="872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8"/>
        <w:gridCol w:w="1460"/>
        <w:gridCol w:w="928"/>
        <w:gridCol w:w="3258"/>
        <w:gridCol w:w="488"/>
        <w:gridCol w:w="1998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9" w:hRule="atLeast"/>
        </w:trPr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包号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商品名称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配置及参数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数</w:t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量</w:t>
            </w:r>
          </w:p>
        </w:tc>
        <w:tc>
          <w:tcPr>
            <w:tcW w:w="1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0" w:hRule="atLeast"/>
        </w:trPr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囚车1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自动行政版 国Ⅵ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8挡手自一体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5198mm×1980mm×1928mm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2.0TGI缸内直喷涡轮增压发动机 8座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法院警车标识，配置参数详见附表1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24" w:hRule="atLeast"/>
        </w:trPr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囚车2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长轴中顶转运型囚车国Ⅴ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六档，手动变速箱，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5780mm×2000mm×2360mm，前悬架：麦佛逊式独立悬架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后悬架：钢板弹簧式非独立悬架，</w:t>
            </w:r>
            <w:r>
              <w:rPr>
                <w:rFonts w:hint="default" w:ascii="仿宋_GB2312" w:hAnsi="宋体" w:eastAsia="仿宋_GB2312" w:cs="仿宋_GB2312"/>
                <w:i w:val="0"/>
                <w:color w:val="FF0000"/>
                <w:kern w:val="0"/>
                <w:sz w:val="24"/>
                <w:szCs w:val="24"/>
                <w:u w:val="none"/>
                <w:lang w:val="en-US" w:eastAsia="zh-CN" w:bidi="ar"/>
              </w:rPr>
              <w:t>8+6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座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法院警车标识，配置参数详见附表2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5" w:hRule="atLeast"/>
        </w:trPr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皮卡车1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2019款柴油四驱自动基本款 国Ⅴ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6挡手自一体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 xml:space="preserve">5295mm×1860mm×1775mm 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2.5T 129马力 L4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黑色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4" w:hRule="atLeast"/>
        </w:trPr>
        <w:tc>
          <w:tcPr>
            <w:tcW w:w="58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4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皮卡车2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四驱豪华型 国Ⅴ（掀背版）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5挡手动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5410mm×1905mm×1835mm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2.4T 140马力 L4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白色和工程黄各1辆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4" w:hRule="atLeast"/>
        </w:trPr>
        <w:tc>
          <w:tcPr>
            <w:tcW w:w="5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四驱豪华型 国Ⅴ（加长版）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5挡手动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5765mm×1905mm×1835mm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2.4T 140马力 L4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4" w:hRule="atLeast"/>
        </w:trPr>
        <w:tc>
          <w:tcPr>
            <w:tcW w:w="58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14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四驱豪华型 国Ⅴ（标准货箱）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5挡手动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5410mm×1905mm×1835mm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2.4T 140马力 L4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工程黄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4" w:hRule="atLeast"/>
        </w:trPr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大客车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2019款汽油自动商务版国Ⅳ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10档自动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7148mm×2075mm×2770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3.5T 313马力 V6</w:t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19座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金属漆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5" w:hRule="atLeast"/>
        </w:trPr>
        <w:tc>
          <w:tcPr>
            <w:tcW w:w="5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4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中型客车</w:t>
            </w:r>
          </w:p>
        </w:tc>
        <w:tc>
          <w:tcPr>
            <w:tcW w:w="9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交通执法车国Ⅴ</w:t>
            </w:r>
          </w:p>
        </w:tc>
        <w:tc>
          <w:tcPr>
            <w:tcW w:w="32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5780mm×2000mm×3150mm,柴油，2.2T，附办公电脑、监控等</w:t>
            </w:r>
          </w:p>
        </w:tc>
        <w:tc>
          <w:tcPr>
            <w:tcW w:w="48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9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蓝白色，详见附表3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车价款和设备款单列，分别开具发票</w:t>
            </w:r>
          </w:p>
        </w:tc>
      </w:tr>
    </w:tbl>
    <w:p>
      <w:pPr>
        <w:jc w:val="center"/>
        <w:rPr>
          <w:rFonts w:hint="eastAsia" w:ascii="宋体" w:hAnsi="宋体" w:cs="宋体"/>
          <w:b/>
          <w:bCs/>
          <w:kern w:val="0"/>
          <w:sz w:val="28"/>
          <w:szCs w:val="28"/>
          <w:lang w:eastAsia="zh-CN"/>
        </w:rPr>
      </w:pPr>
    </w:p>
    <w:p>
      <w:pPr>
        <w:jc w:val="left"/>
        <w:rPr>
          <w:rFonts w:hint="eastAsia" w:ascii="宋体" w:hAnsi="宋体" w:cs="宋体"/>
          <w:b/>
          <w:bCs/>
          <w:kern w:val="0"/>
          <w:sz w:val="28"/>
          <w:szCs w:val="28"/>
          <w:lang w:eastAsia="zh-CN"/>
        </w:rPr>
      </w:pPr>
    </w:p>
    <w:p>
      <w:pPr>
        <w:pStyle w:val="2"/>
        <w:rPr>
          <w:rFonts w:hint="default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cs="宋体"/>
          <w:b/>
          <w:bCs/>
          <w:kern w:val="0"/>
          <w:sz w:val="28"/>
          <w:szCs w:val="28"/>
          <w:lang w:eastAsia="zh-CN"/>
        </w:rPr>
        <w:t>备注：采购车辆交货并经验合格后，首次支付中标价的</w:t>
      </w:r>
      <w:r>
        <w:rPr>
          <w:rFonts w:hint="eastAsia" w:ascii="宋体" w:hAnsi="宋体" w:cs="宋体"/>
          <w:b/>
          <w:bCs/>
          <w:kern w:val="0"/>
          <w:sz w:val="28"/>
          <w:szCs w:val="28"/>
          <w:lang w:val="en-US" w:eastAsia="zh-CN"/>
        </w:rPr>
        <w:t>95%，余5%作为质保金。质保期限3个月，在质保期满用车方未反馈任何车辆质量问题后，支付余下的5%质保金。</w:t>
      </w:r>
    </w:p>
    <w:tbl>
      <w:tblPr>
        <w:tblStyle w:val="11"/>
        <w:tblW w:w="11130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80"/>
        <w:gridCol w:w="4035"/>
        <w:gridCol w:w="5415"/>
      </w:tblGrid>
      <w:tr>
        <w:tblPrEx>
          <w:shd w:val="clear" w:color="auto" w:fill="auto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1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附表1：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1130" w:type="dxa"/>
            <w:gridSpan w:val="3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简体" w:hAnsi="方正小标宋简体" w:eastAsia="方正小标宋简体" w:cs="方正小标宋简体"/>
                <w:i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default" w:ascii="方正小标宋简体" w:hAnsi="方正小标宋简体" w:eastAsia="方正小标宋简体" w:cs="方正小标宋简体"/>
                <w:i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囚车1详细配置参数表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571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车型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行政版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基本参数</w:t>
            </w: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221815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221815"/>
                <w:kern w:val="0"/>
                <w:sz w:val="20"/>
                <w:szCs w:val="20"/>
                <w:u w:val="none"/>
                <w:lang w:val="en-US" w:eastAsia="zh-CN" w:bidi="ar"/>
              </w:rPr>
              <w:t>长*宽*高（mm）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5198╳1980╳1928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座位数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8座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轴距（mm）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3198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防抱制动ABS+制动力分配系统EBD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防抱制动ABS+制动力分配系统EBD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最小离地间隙（mm）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最高车速（km/h)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百公里加速(s)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10.9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安全气囊（个数）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6个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发动机</w:t>
            </w: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发动机型号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2.0TGI缸内直喷涡轮增压发动机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排量(ml)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92#汽油/2.0T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最大功率(kw)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最大扭距（N.m)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350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百公里及城市综合工况油耗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9.8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排放标准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国六b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底盘参数</w:t>
            </w: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变速器形式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ZF-8AT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驱动形式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前置后驱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悬架系统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前双叉臂独立前悬架/后多连杆独立悬架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电子辅助制动系统（EBA)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Autohold自动驻车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车辆稳定系统（ESP)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博世ESP 9.3系统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轮胎规格</w:t>
            </w: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17吋铝合金轮毂/玛吉斯轮胎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胎压监测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TPMS胎压监测系统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车辆主要配置</w:t>
            </w: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助力转向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ESP电子助力转向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铝合金轮毂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铝合金轮毂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真皮座椅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贵宾级真皮座椅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电动、电加热座椅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主驾八向电动座椅+副驾四向手动调节座椅+第二排舒享座椅+第三排4/6分滑动座椅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自动空调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前后自动独立空调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电动天窗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前电动天窗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多功能方向盘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悬浮式多功能中控台+聚氨酯多功能方向盘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其他配置</w:t>
            </w: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导航系统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12.3英寸高清触控悬浮式大屏+Car-Link人机智能交互系统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可视倒车雷达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360°全景影像+倒车影像+前后驻车雷达（前4后4）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CD/DVD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8喇叭车载扬声系统+后排USB接口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自动大灯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星罗式LED自动大灯（带迎宾模式）+LED尾灯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疝气灯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LED日间行车灯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科技配置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智能遥控钥匙+PEPS无钥匙进入及一键启动+发动机自动启停系统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雨量感应前雨刷&amp;后雨刮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220V电源接口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Touch-Frtee智能感应尾门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定速巡航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AGS智能感应格栅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智能防夹右侧电动滑移门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电动电加热外后视镜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主驾一键升降防夹电动车窗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403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第二排电动车窗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8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改装部分</w:t>
            </w: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警灯安装支架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100W长条警灯警报器-警用，LED，1.4米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04式法院制式警车外观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贴纸+喷漆，引擎盖贴字，车身两侧贴字+黄蓝条+弧形条，驾驶室两侧警徽,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PVC防滑地板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PVC材质，耐磨、易清洗、耐腐蚀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不锈钢C柱囚笼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不锈钢材质，不带门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囚车专用座箱-2人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钢制座箱，喷塑，带坐垫，无靠背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地环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4只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内防暴网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钢制，喷漆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车顶内饰安装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9" w:hRule="atLeast"/>
        </w:trPr>
        <w:tc>
          <w:tcPr>
            <w:tcW w:w="168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3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车内监控系统</w:t>
            </w:r>
          </w:p>
        </w:tc>
        <w:tc>
          <w:tcPr>
            <w:tcW w:w="54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含高清车内摄像头2套+硬盘录像机1套+1T硬盘1套+7寸监控显示屏1套,含卫星定位系统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0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54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/>
                <w:sz w:val="22"/>
                <w:szCs w:val="22"/>
                <w:u w:val="none"/>
              </w:rPr>
            </w:pPr>
          </w:p>
        </w:tc>
      </w:tr>
    </w:tbl>
    <w:p>
      <w:pPr>
        <w:pStyle w:val="2"/>
        <w:rPr>
          <w:rFonts w:hint="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>
      <w:pPr>
        <w:rPr>
          <w:b/>
          <w:spacing w:val="1"/>
        </w:rPr>
      </w:pPr>
    </w:p>
    <w:p>
      <w:pPr>
        <w:widowControl w:val="0"/>
        <w:autoSpaceDE w:val="0"/>
        <w:autoSpaceDN w:val="0"/>
        <w:spacing w:line="439" w:lineRule="exact"/>
        <w:rPr>
          <w:rFonts w:cs="宋体" w:asciiTheme="minorEastAsia" w:hAnsiTheme="minorEastAsia" w:eastAsiaTheme="minorEastAsia"/>
          <w:b/>
          <w:color w:val="000000"/>
          <w:sz w:val="28"/>
          <w:szCs w:val="28"/>
        </w:rPr>
      </w:pPr>
      <w:r>
        <w:rPr>
          <w:rFonts w:hint="eastAsia" w:cs="宋体" w:asciiTheme="minorEastAsia" w:hAnsiTheme="minorEastAsia" w:eastAsiaTheme="minorEastAsia"/>
          <w:b/>
          <w:color w:val="000000"/>
          <w:sz w:val="28"/>
          <w:szCs w:val="28"/>
        </w:rPr>
        <w:t>附表2：</w:t>
      </w:r>
    </w:p>
    <w:p>
      <w:pPr>
        <w:widowControl w:val="0"/>
        <w:autoSpaceDE w:val="0"/>
        <w:autoSpaceDN w:val="0"/>
        <w:spacing w:line="439" w:lineRule="exact"/>
        <w:jc w:val="center"/>
        <w:rPr>
          <w:rFonts w:asciiTheme="minorEastAsia" w:hAnsiTheme="minorEastAsia" w:eastAsiaTheme="minorEastAsia"/>
          <w:b/>
          <w:color w:val="000000"/>
          <w:sz w:val="36"/>
          <w:szCs w:val="36"/>
        </w:rPr>
      </w:pPr>
      <w:r>
        <w:rPr>
          <w:rFonts w:cs="宋体" w:asciiTheme="minorEastAsia" w:hAnsiTheme="minorEastAsia" w:eastAsiaTheme="minorEastAsia"/>
          <w:b/>
          <w:color w:val="000000"/>
          <w:sz w:val="36"/>
          <w:szCs w:val="36"/>
        </w:rPr>
        <w:t>长轴中顶转运型囚车</w:t>
      </w:r>
      <w:r>
        <w:rPr>
          <w:rFonts w:hint="eastAsia" w:cs="宋体" w:asciiTheme="minorEastAsia" w:hAnsiTheme="minorEastAsia" w:eastAsiaTheme="minorEastAsia"/>
          <w:b/>
          <w:color w:val="000000"/>
          <w:sz w:val="36"/>
          <w:szCs w:val="36"/>
        </w:rPr>
        <w:t>2</w:t>
      </w:r>
    </w:p>
    <w:p>
      <w:pPr>
        <w:rPr>
          <w:rFonts w:ascii="宋体" w:hAnsi="宋体"/>
          <w:b/>
          <w:spacing w:val="1"/>
        </w:rPr>
      </w:pPr>
      <w:r>
        <w:rPr>
          <w:rFonts w:hint="eastAsia" w:ascii="宋体" w:hAnsi="宋体"/>
          <w:b/>
          <w:spacing w:val="1"/>
        </w:rPr>
        <w:t>一、主要参数</w:t>
      </w:r>
    </w:p>
    <w:tbl>
      <w:tblPr>
        <w:tblStyle w:val="12"/>
        <w:tblW w:w="88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0"/>
        <w:gridCol w:w="2112"/>
        <w:gridCol w:w="60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6" w:hRule="atLeast"/>
        </w:trPr>
        <w:tc>
          <w:tcPr>
            <w:tcW w:w="690" w:type="dxa"/>
            <w:vMerge w:val="restart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</w:p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序号</w:t>
            </w:r>
          </w:p>
        </w:tc>
        <w:tc>
          <w:tcPr>
            <w:tcW w:w="2112" w:type="dxa"/>
            <w:vMerge w:val="restart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</w:p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项目名称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性能指标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" w:hRule="atLeast"/>
        </w:trPr>
        <w:tc>
          <w:tcPr>
            <w:tcW w:w="690" w:type="dxa"/>
            <w:vMerge w:val="continue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</w:p>
        </w:tc>
        <w:tc>
          <w:tcPr>
            <w:tcW w:w="2112" w:type="dxa"/>
            <w:vMerge w:val="continue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</w:p>
        </w:tc>
        <w:tc>
          <w:tcPr>
            <w:tcW w:w="6065" w:type="dxa"/>
          </w:tcPr>
          <w:p>
            <w:pPr>
              <w:spacing w:after="0"/>
              <w:rPr>
                <w:rFonts w:hAnsiTheme="minorHAnsi"/>
                <w:sz w:val="21"/>
              </w:rPr>
            </w:pPr>
            <w:r>
              <w:rPr>
                <w:rFonts w:ascii="宋体" w:hAnsiTheme="minorHAnsi"/>
                <w:spacing w:val="1"/>
                <w:sz w:val="21"/>
              </w:rPr>
              <w:t>JX5049XQCMK</w:t>
            </w:r>
            <w:r>
              <w:rPr>
                <w:rFonts w:ascii="宋体" w:hAnsi="宋体"/>
                <w:spacing w:val="1"/>
                <w:sz w:val="21"/>
              </w:rPr>
              <w:t>型，国五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3" w:hRule="atLeast"/>
        </w:trPr>
        <w:tc>
          <w:tcPr>
            <w:tcW w:w="8867" w:type="dxa"/>
            <w:gridSpan w:val="3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一、基本参数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1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底盘型号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hAnsiTheme="minorHAnsi"/>
                <w:sz w:val="21"/>
              </w:rPr>
            </w:pPr>
            <w:r>
              <w:rPr>
                <w:rFonts w:hint="eastAsia" w:ascii="宋体" w:hAnsiTheme="minorHAnsi"/>
                <w:sz w:val="21"/>
              </w:rPr>
              <w:t>J</w:t>
            </w:r>
            <w:r>
              <w:rPr>
                <w:rFonts w:ascii="宋体" w:hAnsiTheme="minorHAnsi"/>
                <w:sz w:val="21"/>
                <w:lang w:eastAsia="en-US"/>
              </w:rPr>
              <w:t>X6581TA-M5</w:t>
            </w:r>
            <w:r>
              <w:rPr>
                <w:rFonts w:ascii="宋体" w:hAnsi="宋体"/>
                <w:sz w:val="21"/>
                <w:lang w:eastAsia="en-US"/>
              </w:rPr>
              <w:t>，国五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2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外形尺寸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ascii="宋体" w:hAnsiTheme="minorHAnsi"/>
                <w:sz w:val="21"/>
                <w:lang w:eastAsia="en-US"/>
              </w:rPr>
              <w:t>5780</w:t>
            </w:r>
            <w:r>
              <w:rPr>
                <w:rFonts w:ascii="宋体" w:hAnsi="宋体"/>
                <w:spacing w:val="1"/>
                <w:sz w:val="21"/>
                <w:lang w:eastAsia="en-US"/>
              </w:rPr>
              <w:t>×</w:t>
            </w:r>
            <w:r>
              <w:rPr>
                <w:rFonts w:ascii="宋体" w:hAnsiTheme="minorHAnsi"/>
                <w:sz w:val="21"/>
                <w:lang w:eastAsia="en-US"/>
              </w:rPr>
              <w:t>2000</w:t>
            </w:r>
            <w:r>
              <w:rPr>
                <w:rFonts w:ascii="宋体" w:hAnsi="宋体"/>
                <w:sz w:val="21"/>
                <w:lang w:eastAsia="en-US"/>
              </w:rPr>
              <w:t>×</w:t>
            </w:r>
            <w:r>
              <w:rPr>
                <w:rFonts w:ascii="宋体" w:hAnsiTheme="minorHAnsi"/>
                <w:sz w:val="21"/>
                <w:lang w:eastAsia="en-US"/>
              </w:rPr>
              <w:t>2360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3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轴距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b/>
                <w:spacing w:val="1"/>
                <w:sz w:val="21"/>
              </w:rPr>
            </w:pPr>
            <w:r>
              <w:rPr>
                <w:rFonts w:ascii="宋体" w:hAnsiTheme="minorHAnsi"/>
                <w:sz w:val="21"/>
                <w:lang w:eastAsia="en-US"/>
              </w:rPr>
              <w:t>3750(mm)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4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最大总质量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ascii="宋体" w:hAnsiTheme="minorHAnsi"/>
                <w:sz w:val="21"/>
                <w:lang w:eastAsia="en-US"/>
              </w:rPr>
              <w:t>3700(Kg)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5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最高车速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ascii="宋体" w:hAnsiTheme="minorHAnsi"/>
                <w:sz w:val="21"/>
                <w:lang w:eastAsia="en-US"/>
              </w:rPr>
              <w:t>145(km/h)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6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最小离地间隙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ascii="宋体" w:hAnsiTheme="minorHAnsi"/>
                <w:spacing w:val="1"/>
                <w:sz w:val="21"/>
                <w:lang w:eastAsia="en-US"/>
              </w:rPr>
              <w:t>148</w:t>
            </w:r>
            <w:r>
              <w:rPr>
                <w:rFonts w:ascii="宋体" w:hAnsi="宋体"/>
                <w:spacing w:val="1"/>
                <w:sz w:val="21"/>
                <w:lang w:eastAsia="en-US"/>
              </w:rPr>
              <w:t>（</w:t>
            </w:r>
            <w:r>
              <w:rPr>
                <w:rFonts w:ascii="宋体" w:hAnsiTheme="minorHAnsi"/>
                <w:spacing w:val="-1"/>
                <w:sz w:val="21"/>
                <w:lang w:eastAsia="en-US"/>
              </w:rPr>
              <w:t>mm</w:t>
            </w:r>
            <w:r>
              <w:rPr>
                <w:rFonts w:ascii="宋体" w:hAnsi="宋体"/>
                <w:sz w:val="21"/>
                <w:lang w:eastAsia="en-U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7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发动机排量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ascii="宋体" w:hAnsiTheme="minorHAnsi"/>
                <w:spacing w:val="1"/>
                <w:sz w:val="21"/>
                <w:lang w:eastAsia="en-US"/>
              </w:rPr>
              <w:t>2.198</w:t>
            </w:r>
            <w:r>
              <w:rPr>
                <w:rFonts w:ascii="宋体" w:hAnsiTheme="minorHAnsi"/>
                <w:spacing w:val="-2"/>
                <w:sz w:val="21"/>
                <w:lang w:eastAsia="en-US"/>
              </w:rPr>
              <w:t xml:space="preserve"> </w:t>
            </w:r>
            <w:r>
              <w:rPr>
                <w:rFonts w:ascii="宋体" w:hAnsi="宋体"/>
                <w:spacing w:val="1"/>
                <w:sz w:val="21"/>
                <w:lang w:eastAsia="en-US"/>
              </w:rPr>
              <w:t>（</w:t>
            </w:r>
            <w:r>
              <w:rPr>
                <w:rFonts w:ascii="宋体" w:hAnsiTheme="minorHAnsi"/>
                <w:spacing w:val="-2"/>
                <w:sz w:val="21"/>
                <w:lang w:eastAsia="en-US"/>
              </w:rPr>
              <w:t>L</w:t>
            </w:r>
            <w:r>
              <w:rPr>
                <w:rFonts w:ascii="宋体" w:hAnsi="宋体"/>
                <w:sz w:val="21"/>
                <w:lang w:eastAsia="en-U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8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额定功率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ascii="宋体" w:hAnsiTheme="minorHAnsi"/>
                <w:spacing w:val="1"/>
                <w:sz w:val="21"/>
                <w:lang w:eastAsia="en-US"/>
              </w:rPr>
              <w:t>100</w:t>
            </w:r>
            <w:r>
              <w:rPr>
                <w:rFonts w:ascii="宋体" w:hAnsi="宋体"/>
                <w:spacing w:val="1"/>
                <w:sz w:val="21"/>
                <w:lang w:eastAsia="en-US"/>
              </w:rPr>
              <w:t>（</w:t>
            </w:r>
            <w:r>
              <w:rPr>
                <w:rFonts w:ascii="宋体" w:hAnsiTheme="minorHAnsi"/>
                <w:spacing w:val="-1"/>
                <w:sz w:val="21"/>
                <w:lang w:eastAsia="en-US"/>
              </w:rPr>
              <w:t>Kw</w:t>
            </w:r>
            <w:r>
              <w:rPr>
                <w:rFonts w:ascii="宋体" w:hAnsi="宋体"/>
                <w:sz w:val="21"/>
                <w:lang w:eastAsia="en-U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9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排放标准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ascii="宋体" w:hAnsiTheme="minorHAnsi"/>
                <w:sz w:val="21"/>
                <w:lang w:eastAsia="en-US"/>
              </w:rPr>
              <w:t>GB17691-2005(</w:t>
            </w:r>
            <w:r>
              <w:rPr>
                <w:rFonts w:ascii="宋体" w:hAnsi="宋体"/>
                <w:spacing w:val="2"/>
                <w:sz w:val="21"/>
                <w:lang w:eastAsia="en-US"/>
              </w:rPr>
              <w:t>国</w:t>
            </w:r>
            <w:r>
              <w:rPr>
                <w:rFonts w:hint="eastAsia" w:ascii="宋体" w:hAnsi="宋体" w:eastAsia="宋体" w:cs="宋体"/>
                <w:spacing w:val="2"/>
                <w:sz w:val="21"/>
                <w:lang w:eastAsia="en-US"/>
              </w:rPr>
              <w:t>Ⅴ</w:t>
            </w:r>
            <w:r>
              <w:rPr>
                <w:rFonts w:ascii="宋体" w:hAnsiTheme="minorHAnsi"/>
                <w:sz w:val="21"/>
                <w:lang w:eastAsia="en-US"/>
              </w:rPr>
              <w:t>),GB3847-2005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10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燃油类型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hAnsiTheme="minorHAnsi"/>
                <w:sz w:val="21"/>
              </w:rPr>
            </w:pPr>
            <w:r>
              <w:rPr>
                <w:rFonts w:ascii="宋体" w:hAnsi="宋体"/>
                <w:spacing w:val="1"/>
                <w:sz w:val="21"/>
                <w:lang w:eastAsia="en-US"/>
              </w:rPr>
              <w:t>柴油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11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油箱容量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ascii="宋体" w:hAnsiTheme="minorHAnsi"/>
                <w:spacing w:val="1"/>
                <w:sz w:val="21"/>
                <w:lang w:eastAsia="en-US"/>
              </w:rPr>
              <w:t>80</w:t>
            </w:r>
            <w:r>
              <w:rPr>
                <w:rFonts w:ascii="宋体" w:hAnsi="宋体"/>
                <w:spacing w:val="1"/>
                <w:sz w:val="21"/>
                <w:lang w:eastAsia="en-US"/>
              </w:rPr>
              <w:t>（</w:t>
            </w:r>
            <w:r>
              <w:rPr>
                <w:rFonts w:ascii="宋体" w:hAnsiTheme="minorHAnsi"/>
                <w:spacing w:val="1"/>
                <w:sz w:val="21"/>
                <w:lang w:eastAsia="en-US"/>
              </w:rPr>
              <w:t>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12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驱动形式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ascii="宋体" w:hAnsi="宋体"/>
                <w:sz w:val="21"/>
                <w:lang w:eastAsia="en-US"/>
              </w:rPr>
              <w:t>前置后驱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13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变速箱类型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ascii="宋体" w:hAnsi="宋体"/>
                <w:sz w:val="21"/>
                <w:lang w:eastAsia="en-US"/>
              </w:rPr>
              <w:t>六档，手动变速箱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14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悬挂类型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hAnsiTheme="minorHAnsi"/>
                <w:sz w:val="21"/>
              </w:rPr>
            </w:pPr>
            <w:r>
              <w:rPr>
                <w:rFonts w:ascii="宋体" w:hAnsi="宋体"/>
                <w:sz w:val="21"/>
              </w:rPr>
              <w:t>前悬架：麦佛逊式独立悬架</w:t>
            </w:r>
          </w:p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ascii="宋体" w:hAnsi="宋体"/>
                <w:sz w:val="21"/>
              </w:rPr>
              <w:t>后悬架：钢板弹簧式非独立悬架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15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车门数量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5个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16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轮胎规格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/>
              </w:rPr>
            </w:pPr>
            <w:r>
              <w:rPr>
                <w:rFonts w:ascii="宋体" w:hAnsiTheme="minorHAnsi"/>
                <w:sz w:val="21"/>
                <w:lang w:eastAsia="en-US"/>
              </w:rPr>
              <w:t>215/75R16LT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17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刹车系统</w:t>
            </w:r>
          </w:p>
        </w:tc>
        <w:tc>
          <w:tcPr>
            <w:tcW w:w="6065" w:type="dxa"/>
          </w:tcPr>
          <w:p>
            <w:pPr>
              <w:spacing w:after="0"/>
            </w:pPr>
            <w:r>
              <w:rPr>
                <w:rFonts w:ascii="宋体" w:hAnsi="宋体"/>
                <w:sz w:val="21"/>
                <w:lang w:eastAsia="en-US"/>
              </w:rPr>
              <w:t>盘式制动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8867" w:type="dxa"/>
            <w:gridSpan w:val="3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二、性能参数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1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警员人数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8人（含司机座位）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2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押解人数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6人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3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囚笼总成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hAnsiTheme="minorHAnsi"/>
                <w:sz w:val="21"/>
              </w:rPr>
            </w:pPr>
            <w:r>
              <w:rPr>
                <w:rFonts w:ascii="宋体" w:hAnsi="宋体"/>
                <w:spacing w:val="-2"/>
                <w:sz w:val="21"/>
              </w:rPr>
              <w:t>不锈钢，含中隔断、亚克力板、后隔断（带尾部单开门）、左</w:t>
            </w:r>
            <w:r>
              <w:rPr>
                <w:rFonts w:ascii="宋体" w:hAnsiTheme="minorHAnsi"/>
                <w:spacing w:val="1"/>
                <w:sz w:val="21"/>
              </w:rPr>
              <w:t>/</w:t>
            </w:r>
            <w:r>
              <w:rPr>
                <w:rFonts w:ascii="宋体" w:hAnsi="宋体"/>
                <w:sz w:val="21"/>
              </w:rPr>
              <w:t>右侧窗</w:t>
            </w:r>
            <w:r>
              <w:rPr>
                <w:rFonts w:ascii="宋体" w:hAnsi="宋体"/>
                <w:spacing w:val="1"/>
                <w:sz w:val="21"/>
              </w:rPr>
              <w:t>栅栏。</w:t>
            </w:r>
          </w:p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4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监控系统</w:t>
            </w:r>
          </w:p>
        </w:tc>
        <w:tc>
          <w:tcPr>
            <w:tcW w:w="6065" w:type="dxa"/>
          </w:tcPr>
          <w:p>
            <w:pPr>
              <w:spacing w:after="0"/>
            </w:pPr>
            <w:r>
              <w:rPr>
                <w:rFonts w:ascii="宋体" w:hAnsi="宋体"/>
                <w:sz w:val="21"/>
              </w:rPr>
              <w:t>囚室内布置</w:t>
            </w:r>
            <w:r>
              <w:rPr>
                <w:rFonts w:hAnsiTheme="minorHAnsi"/>
                <w:spacing w:val="1"/>
                <w:sz w:val="21"/>
              </w:rPr>
              <w:t xml:space="preserve"> </w:t>
            </w:r>
            <w:r>
              <w:rPr>
                <w:rFonts w:ascii="宋体" w:hAnsiTheme="minorHAnsi"/>
                <w:spacing w:val="53"/>
                <w:sz w:val="21"/>
              </w:rPr>
              <w:t>4</w:t>
            </w:r>
            <w:r>
              <w:rPr>
                <w:rFonts w:ascii="宋体" w:hAnsi="宋体"/>
                <w:sz w:val="21"/>
              </w:rPr>
              <w:t>只监控摄像头</w:t>
            </w:r>
            <w:r>
              <w:rPr>
                <w:rFonts w:ascii="宋体" w:hAnsiTheme="minorHAnsi"/>
                <w:sz w:val="21"/>
              </w:rPr>
              <w:t>+1</w:t>
            </w:r>
            <w:r>
              <w:rPr>
                <w:rFonts w:ascii="宋体" w:hAnsi="宋体"/>
                <w:sz w:val="21"/>
              </w:rPr>
              <w:t>只遮阳板显示器</w:t>
            </w:r>
            <w:r>
              <w:rPr>
                <w:rFonts w:ascii="宋体" w:hAnsiTheme="minorHAnsi"/>
                <w:sz w:val="21"/>
              </w:rPr>
              <w:t>+1</w:t>
            </w:r>
            <w:r>
              <w:rPr>
                <w:rFonts w:ascii="宋体" w:hAnsi="宋体"/>
                <w:sz w:val="21"/>
              </w:rPr>
              <w:t>只硬盘录像机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5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玻璃安全</w:t>
            </w:r>
          </w:p>
        </w:tc>
        <w:tc>
          <w:tcPr>
            <w:tcW w:w="6065" w:type="dxa"/>
          </w:tcPr>
          <w:p>
            <w:pPr>
              <w:spacing w:after="0"/>
            </w:pPr>
            <w:r>
              <w:rPr>
                <w:rFonts w:ascii="宋体" w:hAnsiTheme="minorHAnsi"/>
                <w:sz w:val="21"/>
                <w:lang w:eastAsia="en-US"/>
              </w:rPr>
              <w:t>4Mil</w:t>
            </w:r>
            <w:r>
              <w:rPr>
                <w:rFonts w:ascii="宋体" w:hAnsi="宋体"/>
                <w:sz w:val="21"/>
                <w:lang w:eastAsia="en-US"/>
              </w:rPr>
              <w:t>厚度防暴膜，深色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6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轮胎安全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ascii="宋体" w:hAnsi="宋体"/>
                <w:sz w:val="21"/>
              </w:rPr>
              <w:t>防漏气自修复轮胎（</w:t>
            </w:r>
            <w:r>
              <w:rPr>
                <w:rFonts w:ascii="宋体" w:hAnsiTheme="minorHAnsi"/>
                <w:spacing w:val="53"/>
                <w:sz w:val="21"/>
              </w:rPr>
              <w:t>4</w:t>
            </w:r>
            <w:r>
              <w:rPr>
                <w:rFonts w:ascii="宋体" w:hAnsi="宋体"/>
                <w:spacing w:val="-1"/>
                <w:sz w:val="21"/>
              </w:rPr>
              <w:t>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7</w:t>
            </w:r>
          </w:p>
        </w:tc>
        <w:tc>
          <w:tcPr>
            <w:tcW w:w="2112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囚室座椅</w:t>
            </w:r>
          </w:p>
        </w:tc>
        <w:tc>
          <w:tcPr>
            <w:tcW w:w="6065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ascii="宋体" w:hAnsi="宋体"/>
                <w:sz w:val="21"/>
              </w:rPr>
              <w:t>翻板式、带两点式安全带、左</w:t>
            </w:r>
            <w:r>
              <w:rPr>
                <w:rFonts w:ascii="宋体" w:hAnsiTheme="minorHAnsi"/>
                <w:spacing w:val="-2"/>
                <w:sz w:val="21"/>
              </w:rPr>
              <w:t>/</w:t>
            </w:r>
            <w:r>
              <w:rPr>
                <w:rFonts w:ascii="宋体" w:hAnsi="宋体"/>
                <w:sz w:val="21"/>
              </w:rPr>
              <w:t>右对称件，带支撑杠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" w:hRule="atLeast"/>
        </w:trPr>
        <w:tc>
          <w:tcPr>
            <w:tcW w:w="690" w:type="dxa"/>
          </w:tcPr>
          <w:p>
            <w:pPr>
              <w:spacing w:after="0"/>
              <w:rPr>
                <w:rFonts w:ascii="宋体" w:hAnsi="宋体"/>
                <w:spacing w:val="1"/>
                <w:sz w:val="21"/>
              </w:rPr>
            </w:pPr>
            <w:r>
              <w:rPr>
                <w:rFonts w:hint="eastAsia" w:ascii="宋体" w:hAnsi="宋体"/>
                <w:spacing w:val="1"/>
                <w:sz w:val="21"/>
              </w:rPr>
              <w:t>8</w:t>
            </w:r>
          </w:p>
        </w:tc>
        <w:tc>
          <w:tcPr>
            <w:tcW w:w="8177" w:type="dxa"/>
            <w:gridSpan w:val="2"/>
          </w:tcPr>
          <w:p>
            <w:pPr>
              <w:spacing w:after="0"/>
              <w:rPr>
                <w:rFonts w:ascii="宋体" w:hAnsi="宋体"/>
                <w:b/>
                <w:sz w:val="21"/>
              </w:rPr>
            </w:pPr>
            <w:r>
              <w:rPr>
                <w:rFonts w:hint="eastAsia" w:ascii="宋体" w:hAnsi="宋体"/>
                <w:b/>
                <w:sz w:val="21"/>
              </w:rPr>
              <w:t>提供的车辆底盘与改装为同一品牌</w:t>
            </w:r>
          </w:p>
        </w:tc>
      </w:tr>
    </w:tbl>
    <w:p>
      <w:pPr>
        <w:rPr>
          <w:b/>
        </w:rPr>
      </w:pPr>
      <w:r>
        <w:rPr>
          <w:rFonts w:hint="eastAsia" w:ascii="宋体" w:hAnsi="宋体"/>
          <w:spacing w:val="1"/>
          <w:sz w:val="21"/>
        </w:rPr>
        <w:t>二</w:t>
      </w:r>
      <w:r>
        <w:rPr>
          <w:rFonts w:hint="eastAsia"/>
          <w:b/>
        </w:rPr>
        <w:t>、设计方案</w:t>
      </w:r>
    </w:p>
    <w:p>
      <w:r>
        <w:rPr>
          <w:rFonts w:hint="eastAsia"/>
        </w:rPr>
        <w:t>1、车外布局</w:t>
      </w:r>
    </w:p>
    <w:p>
      <w:pPr>
        <w:rPr>
          <w:rFonts w:hAnsiTheme="minorHAnsi"/>
          <w:sz w:val="21"/>
        </w:rPr>
      </w:pPr>
      <w:r>
        <w:rPr>
          <w:rFonts w:ascii="宋体" w:hAnsi="宋体"/>
          <w:sz w:val="21"/>
        </w:rPr>
        <w:t>车顶加装长排警灯警报器，车身喷</w:t>
      </w:r>
      <w:r>
        <w:rPr>
          <w:rFonts w:hAnsiTheme="minorHAnsi"/>
          <w:spacing w:val="1"/>
          <w:sz w:val="21"/>
        </w:rPr>
        <w:t xml:space="preserve"> </w:t>
      </w:r>
      <w:r>
        <w:rPr>
          <w:rFonts w:ascii="UAUVIE+TimesNewRomanPSMT" w:hAnsiTheme="minorHAnsi"/>
          <w:sz w:val="21"/>
        </w:rPr>
        <w:t>2004</w:t>
      </w:r>
      <w:r>
        <w:rPr>
          <w:rFonts w:ascii="UAUVIE+TimesNewRomanPSMT" w:hAnsiTheme="minorHAnsi"/>
          <w:spacing w:val="-1"/>
          <w:sz w:val="21"/>
        </w:rPr>
        <w:t xml:space="preserve"> </w:t>
      </w:r>
      <w:r>
        <w:rPr>
          <w:rFonts w:ascii="宋体" w:hAnsi="宋体"/>
          <w:sz w:val="21"/>
        </w:rPr>
        <w:t>制警用外观，除前挡风玻璃和三角玻璃窗外，</w:t>
      </w:r>
    </w:p>
    <w:p>
      <w:pPr>
        <w:rPr>
          <w:rFonts w:ascii="宋体" w:hAnsi="宋体"/>
          <w:sz w:val="21"/>
        </w:rPr>
      </w:pPr>
      <w:r>
        <w:rPr>
          <w:rFonts w:ascii="宋体" w:hAnsi="宋体"/>
          <w:sz w:val="21"/>
        </w:rPr>
        <w:t>其余玻璃窗均贴</w:t>
      </w:r>
      <w:r>
        <w:rPr>
          <w:rFonts w:hAnsiTheme="minorHAnsi"/>
          <w:spacing w:val="2"/>
          <w:sz w:val="21"/>
        </w:rPr>
        <w:t xml:space="preserve"> </w:t>
      </w:r>
      <w:r>
        <w:rPr>
          <w:rFonts w:ascii="UAUVIE+TimesNewRomanPSMT" w:hAnsiTheme="minorHAnsi"/>
          <w:sz w:val="21"/>
        </w:rPr>
        <w:t xml:space="preserve">4Mil </w:t>
      </w:r>
      <w:r>
        <w:rPr>
          <w:rFonts w:ascii="宋体" w:hAnsi="宋体"/>
          <w:sz w:val="21"/>
        </w:rPr>
        <w:t>的深色安全太阳膜，原车的四个车轮更换成防扎轮胎，在紧急执行任务时能够保障过程的延续性。</w:t>
      </w:r>
    </w:p>
    <w:p>
      <w:pPr>
        <w:rPr>
          <w:rFonts w:hAnsiTheme="minorHAnsi"/>
          <w:b/>
        </w:rPr>
      </w:pPr>
      <w:r>
        <w:rPr>
          <w:rFonts w:hint="eastAsia" w:ascii="宋体" w:hAnsi="宋体"/>
          <w:b/>
          <w:spacing w:val="1"/>
        </w:rPr>
        <w:t>2、</w:t>
      </w:r>
      <w:r>
        <w:rPr>
          <w:rFonts w:ascii="宋体" w:hAnsi="宋体"/>
          <w:b/>
          <w:spacing w:val="1"/>
        </w:rPr>
        <w:t>车内布局</w:t>
      </w:r>
    </w:p>
    <w:p>
      <w:pPr>
        <w:rPr>
          <w:rFonts w:hAnsiTheme="minorHAnsi"/>
          <w:sz w:val="21"/>
        </w:rPr>
      </w:pPr>
      <w:r>
        <w:rPr>
          <w:rFonts w:ascii="宋体" w:hAnsi="宋体"/>
          <w:sz w:val="21"/>
        </w:rPr>
        <w:t>车内按功能分为乘警区、囚室两部分，乘员舱可搭载</w:t>
      </w:r>
      <w:r>
        <w:rPr>
          <w:rFonts w:hAnsiTheme="minorHAnsi"/>
          <w:spacing w:val="1"/>
          <w:sz w:val="21"/>
        </w:rPr>
        <w:t xml:space="preserve"> </w:t>
      </w:r>
      <w:r>
        <w:rPr>
          <w:rFonts w:ascii="UAUVIE+TimesNewRomanPSMT" w:hAnsiTheme="minorHAnsi"/>
          <w:sz w:val="21"/>
        </w:rPr>
        <w:t>4</w:t>
      </w:r>
      <w:r>
        <w:rPr>
          <w:rFonts w:ascii="UAUVIE+TimesNewRomanPSMT" w:hAnsiTheme="minorHAnsi"/>
          <w:spacing w:val="1"/>
          <w:sz w:val="21"/>
        </w:rPr>
        <w:t xml:space="preserve"> </w:t>
      </w:r>
      <w:r>
        <w:rPr>
          <w:rFonts w:ascii="宋体" w:hAnsi="宋体"/>
          <w:sz w:val="21"/>
        </w:rPr>
        <w:t>名警员，囚室内可关</w:t>
      </w:r>
      <w:r>
        <w:rPr>
          <w:rFonts w:hAnsiTheme="minorHAnsi"/>
          <w:sz w:val="21"/>
        </w:rPr>
        <w:t xml:space="preserve"> </w:t>
      </w:r>
      <w:r>
        <w:rPr>
          <w:rFonts w:ascii="UAUVIE+TimesNewRomanPSMT" w:hAnsiTheme="minorHAnsi"/>
          <w:sz w:val="21"/>
        </w:rPr>
        <w:t>4</w:t>
      </w:r>
      <w:r>
        <w:rPr>
          <w:rFonts w:ascii="UAUVIE+TimesNewRomanPSMT" w:hAnsiTheme="minorHAnsi"/>
          <w:spacing w:val="1"/>
          <w:sz w:val="21"/>
        </w:rPr>
        <w:t xml:space="preserve"> </w:t>
      </w:r>
      <w:r>
        <w:rPr>
          <w:rFonts w:ascii="宋体" w:hAnsi="宋体"/>
          <w:spacing w:val="1"/>
          <w:sz w:val="21"/>
        </w:rPr>
        <w:t>名囚犯，</w:t>
      </w:r>
    </w:p>
    <w:p>
      <w:pPr>
        <w:rPr>
          <w:rFonts w:hAnsiTheme="minorHAnsi"/>
          <w:sz w:val="21"/>
        </w:rPr>
      </w:pPr>
      <w:r>
        <w:rPr>
          <w:rFonts w:ascii="宋体" w:hAnsi="宋体"/>
          <w:sz w:val="21"/>
        </w:rPr>
        <w:t>副司机位置配置遮阳板显示器可随时观察囚室内的状态。</w:t>
      </w:r>
    </w:p>
    <w:p>
      <w:pPr>
        <w:rPr>
          <w:rFonts w:ascii="宋体" w:hAnsi="宋体"/>
          <w:b/>
          <w:spacing w:val="1"/>
        </w:rPr>
      </w:pPr>
      <w:r>
        <w:rPr>
          <w:rFonts w:hint="eastAsia" w:ascii="宋体" w:hAnsi="宋体"/>
          <w:b/>
          <w:spacing w:val="1"/>
        </w:rPr>
        <w:t>3</w:t>
      </w:r>
      <w:r>
        <w:rPr>
          <w:rFonts w:ascii="宋体" w:hAnsi="宋体"/>
          <w:b/>
          <w:spacing w:val="1"/>
        </w:rPr>
        <w:t>、囚室总成</w:t>
      </w:r>
    </w:p>
    <w:p>
      <w:pPr>
        <w:rPr>
          <w:rFonts w:ascii="宋体" w:hAnsi="宋体"/>
          <w:spacing w:val="-3"/>
          <w:sz w:val="21"/>
        </w:rPr>
      </w:pPr>
      <w:r>
        <w:rPr>
          <w:rFonts w:ascii="宋体" w:hAnsi="宋体"/>
          <w:spacing w:val="-3"/>
          <w:sz w:val="21"/>
        </w:rPr>
        <w:t>囚室位于警员乘坐舱的后部，是本车最重要的功能区域，配备了不锈钢前隔断总成，不</w:t>
      </w:r>
    </w:p>
    <w:p>
      <w:pPr>
        <w:rPr>
          <w:rFonts w:ascii="UAUVIE+TimesNewRomanPSMT" w:hAnsiTheme="minorHAnsi"/>
          <w:sz w:val="21"/>
        </w:rPr>
      </w:pPr>
      <w:r>
        <w:rPr>
          <w:rFonts w:ascii="宋体" w:hAnsi="宋体"/>
          <w:spacing w:val="-7"/>
          <w:sz w:val="21"/>
        </w:rPr>
        <w:t>锈钢后隔断总成（带单开门），左</w:t>
      </w:r>
      <w:r>
        <w:rPr>
          <w:rFonts w:ascii="UAUVIE+TimesNewRomanPSMT" w:hAnsiTheme="minorHAnsi"/>
          <w:spacing w:val="-1"/>
          <w:sz w:val="21"/>
        </w:rPr>
        <w:t>/</w:t>
      </w:r>
      <w:r>
        <w:rPr>
          <w:rFonts w:ascii="宋体" w:hAnsi="宋体"/>
          <w:sz w:val="21"/>
        </w:rPr>
        <w:t>右两侧的后侧窗玻璃上固定不锈钢侧窗栅栏，囚室内左</w:t>
      </w:r>
      <w:r>
        <w:rPr>
          <w:rFonts w:ascii="UAUVIE+TimesNewRomanPSMT" w:hAnsiTheme="minorHAnsi"/>
          <w:sz w:val="21"/>
        </w:rPr>
        <w:t>/</w:t>
      </w:r>
    </w:p>
    <w:p>
      <w:pPr>
        <w:rPr>
          <w:rFonts w:ascii="宋体" w:hAnsi="宋体"/>
          <w:spacing w:val="-3"/>
          <w:sz w:val="21"/>
        </w:rPr>
      </w:pPr>
      <w:r>
        <w:rPr>
          <w:rFonts w:ascii="宋体" w:hAnsi="宋体"/>
          <w:spacing w:val="-2"/>
          <w:sz w:val="21"/>
        </w:rPr>
        <w:t>右两侧固定两只双人翻板式囚椅，可关押</w:t>
      </w:r>
      <w:r>
        <w:rPr>
          <w:rFonts w:hAnsiTheme="minorHAnsi"/>
          <w:spacing w:val="3"/>
          <w:sz w:val="21"/>
        </w:rPr>
        <w:t xml:space="preserve"> </w:t>
      </w:r>
      <w:r>
        <w:rPr>
          <w:rFonts w:ascii="UAUVIE+TimesNewRomanPSMT" w:hAnsiTheme="minorHAnsi"/>
          <w:sz w:val="21"/>
        </w:rPr>
        <w:t>4</w:t>
      </w:r>
      <w:r>
        <w:rPr>
          <w:rFonts w:ascii="UAUVIE+TimesNewRomanPSMT" w:hAnsiTheme="minorHAnsi"/>
          <w:spacing w:val="1"/>
          <w:sz w:val="21"/>
        </w:rPr>
        <w:t xml:space="preserve"> </w:t>
      </w:r>
      <w:r>
        <w:rPr>
          <w:rFonts w:ascii="宋体" w:hAnsi="宋体"/>
          <w:spacing w:val="-5"/>
          <w:sz w:val="21"/>
        </w:rPr>
        <w:t>人；地板上固定</w:t>
      </w:r>
      <w:r>
        <w:rPr>
          <w:rFonts w:hAnsiTheme="minorHAnsi"/>
          <w:spacing w:val="6"/>
          <w:sz w:val="21"/>
        </w:rPr>
        <w:t xml:space="preserve"> </w:t>
      </w:r>
      <w:r>
        <w:rPr>
          <w:rFonts w:ascii="UAUVIE+TimesNewRomanPSMT" w:hAnsiTheme="minorHAnsi"/>
          <w:sz w:val="21"/>
        </w:rPr>
        <w:t>3</w:t>
      </w:r>
      <w:r>
        <w:rPr>
          <w:rFonts w:ascii="UAUVIE+TimesNewRomanPSMT" w:hAnsiTheme="minorHAnsi"/>
          <w:spacing w:val="-1"/>
          <w:sz w:val="21"/>
        </w:rPr>
        <w:t xml:space="preserve"> </w:t>
      </w:r>
      <w:r>
        <w:rPr>
          <w:rFonts w:ascii="宋体" w:hAnsi="宋体"/>
          <w:spacing w:val="-3"/>
          <w:sz w:val="21"/>
        </w:rPr>
        <w:t>只脚镣固定环。脚镣固定环</w:t>
      </w:r>
    </w:p>
    <w:p>
      <w:pPr>
        <w:rPr>
          <w:rFonts w:ascii="宋体" w:hAnsi="宋体"/>
          <w:spacing w:val="-7"/>
          <w:sz w:val="21"/>
        </w:rPr>
      </w:pPr>
      <w:r>
        <w:rPr>
          <w:rFonts w:ascii="宋体" w:hAnsi="宋体"/>
          <w:spacing w:val="-3"/>
          <w:sz w:val="21"/>
        </w:rPr>
        <w:t>与</w:t>
      </w:r>
      <w:r>
        <w:rPr>
          <w:rFonts w:ascii="宋体" w:hAnsi="宋体"/>
          <w:sz w:val="21"/>
        </w:rPr>
        <w:t>地板上表面齐平，无凸起。囚室内视频监控系统，监控犯人的相关动作。</w:t>
      </w:r>
    </w:p>
    <w:p>
      <w:pPr>
        <w:rPr>
          <w:rFonts w:ascii="宋体" w:hAnsi="宋体"/>
          <w:b/>
          <w:spacing w:val="1"/>
        </w:rPr>
      </w:pPr>
      <w:r>
        <w:rPr>
          <w:rFonts w:hint="eastAsia" w:ascii="宋体" w:hAnsi="宋体"/>
          <w:b/>
          <w:spacing w:val="1"/>
        </w:rPr>
        <w:t>4、监控系统</w:t>
      </w:r>
    </w:p>
    <w:p>
      <w:r>
        <w:rPr>
          <w:rFonts w:hint="eastAsia"/>
        </w:rPr>
        <w:drawing>
          <wp:inline distT="0" distB="0" distL="0" distR="0">
            <wp:extent cx="3257550" cy="2105025"/>
            <wp:effectExtent l="0" t="0" r="0" b="952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/>
          <w:sz w:val="21"/>
        </w:rPr>
      </w:pPr>
      <w:r>
        <w:rPr>
          <w:rFonts w:ascii="宋体" w:hAnsi="宋体"/>
          <w:spacing w:val="-2"/>
          <w:sz w:val="21"/>
        </w:rPr>
        <w:t>监控系统由高清监控摄像机、高清硬盘录像机和监视器组成。高清监控摄像机所采集的音、视频数据可被高清硬盘录像机压缩并存储，同时视频可由高清硬盘录像机实时解码，在</w:t>
      </w:r>
      <w:r>
        <w:rPr>
          <w:rFonts w:ascii="宋体" w:hAnsi="宋体"/>
          <w:sz w:val="21"/>
        </w:rPr>
        <w:t>监视器上播放出来。</w:t>
      </w:r>
    </w:p>
    <w:p>
      <w:pPr>
        <w:rPr>
          <w:rFonts w:ascii="宋体" w:hAnsi="宋体"/>
          <w:b/>
          <w:spacing w:val="1"/>
        </w:rPr>
      </w:pPr>
      <w:r>
        <w:rPr>
          <w:rFonts w:hint="eastAsia" w:ascii="宋体" w:hAnsi="宋体"/>
          <w:b/>
          <w:spacing w:val="1"/>
        </w:rPr>
        <w:t>三、配置说明</w:t>
      </w:r>
    </w:p>
    <w:p>
      <w:pPr>
        <w:rPr>
          <w:rFonts w:ascii="宋体" w:hAnsi="宋体"/>
          <w:sz w:val="21"/>
        </w:rPr>
      </w:pPr>
      <w:r>
        <w:rPr>
          <w:rFonts w:hint="eastAsia" w:ascii="宋体" w:hAnsi="宋体"/>
          <w:sz w:val="21"/>
        </w:rPr>
        <w:t>1、标准配置</w:t>
      </w:r>
    </w:p>
    <w:tbl>
      <w:tblPr>
        <w:tblStyle w:val="12"/>
        <w:tblW w:w="91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418"/>
        <w:gridCol w:w="2835"/>
        <w:gridCol w:w="850"/>
        <w:gridCol w:w="32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817" w:type="dxa"/>
          </w:tcPr>
          <w:p>
            <w:pPr>
              <w:spacing w:after="0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1418" w:type="dxa"/>
          </w:tcPr>
          <w:p>
            <w:pPr>
              <w:spacing w:after="0"/>
              <w:rPr>
                <w:b/>
              </w:rPr>
            </w:pPr>
            <w:r>
              <w:rPr>
                <w:rFonts w:hint="eastAsia"/>
                <w:b/>
              </w:rPr>
              <w:t>功能分类</w:t>
            </w:r>
          </w:p>
        </w:tc>
        <w:tc>
          <w:tcPr>
            <w:tcW w:w="2835" w:type="dxa"/>
          </w:tcPr>
          <w:p>
            <w:pPr>
              <w:spacing w:after="0"/>
              <w:rPr>
                <w:b/>
              </w:rPr>
            </w:pPr>
            <w:r>
              <w:rPr>
                <w:rFonts w:hint="eastAsia"/>
                <w:b/>
              </w:rPr>
              <w:t>设备名称/型号</w:t>
            </w:r>
          </w:p>
        </w:tc>
        <w:tc>
          <w:tcPr>
            <w:tcW w:w="850" w:type="dxa"/>
          </w:tcPr>
          <w:p>
            <w:pPr>
              <w:spacing w:after="0"/>
              <w:rPr>
                <w:b/>
              </w:rPr>
            </w:pPr>
            <w:r>
              <w:rPr>
                <w:rFonts w:hint="eastAsia"/>
                <w:b/>
              </w:rPr>
              <w:t>数量</w:t>
            </w:r>
          </w:p>
        </w:tc>
        <w:tc>
          <w:tcPr>
            <w:tcW w:w="3260" w:type="dxa"/>
          </w:tcPr>
          <w:p>
            <w:pPr>
              <w:spacing w:after="0"/>
              <w:rPr>
                <w:b/>
              </w:rPr>
            </w:pPr>
            <w:r>
              <w:rPr>
                <w:rFonts w:hint="eastAsia"/>
                <w:b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817" w:type="dxa"/>
          </w:tcPr>
          <w:p>
            <w:pPr>
              <w:spacing w:after="0"/>
            </w:pPr>
            <w:r>
              <w:rPr>
                <w:rFonts w:hint="eastAsia"/>
              </w:rPr>
              <w:t>1</w:t>
            </w:r>
          </w:p>
        </w:tc>
        <w:tc>
          <w:tcPr>
            <w:tcW w:w="1418" w:type="dxa"/>
          </w:tcPr>
          <w:p>
            <w:pPr>
              <w:spacing w:after="0"/>
            </w:pPr>
            <w:r>
              <w:rPr>
                <w:rFonts w:hint="eastAsia"/>
              </w:rPr>
              <w:t>车型</w:t>
            </w:r>
          </w:p>
        </w:tc>
        <w:tc>
          <w:tcPr>
            <w:tcW w:w="2835" w:type="dxa"/>
          </w:tcPr>
          <w:p>
            <w:pPr>
              <w:spacing w:after="0"/>
            </w:pPr>
            <w:r>
              <w:rPr>
                <w:rFonts w:hint="eastAsia"/>
              </w:rPr>
              <w:t>长轴中顶客车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hint="eastAsia"/>
              </w:rPr>
              <w:t>1台</w:t>
            </w:r>
          </w:p>
        </w:tc>
        <w:tc>
          <w:tcPr>
            <w:tcW w:w="3260" w:type="dxa"/>
          </w:tcPr>
          <w:p>
            <w:pPr>
              <w:spacing w:after="0"/>
              <w:rPr>
                <w:rFonts w:hAnsiTheme="minorHAnsi"/>
                <w:sz w:val="21"/>
              </w:rPr>
            </w:pPr>
            <w:r>
              <w:rPr>
                <w:rFonts w:ascii="宋体" w:hAnsiTheme="minorHAnsi"/>
                <w:sz w:val="21"/>
              </w:rPr>
              <w:t>JX6581TA-M5</w:t>
            </w:r>
            <w:r>
              <w:rPr>
                <w:rFonts w:ascii="宋体" w:hAnsi="宋体"/>
                <w:sz w:val="21"/>
              </w:rPr>
              <w:t>，柴油国五，手动挡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" w:hRule="atLeast"/>
        </w:trPr>
        <w:tc>
          <w:tcPr>
            <w:tcW w:w="817" w:type="dxa"/>
            <w:vMerge w:val="restart"/>
          </w:tcPr>
          <w:p>
            <w:pPr>
              <w:spacing w:after="0"/>
            </w:pPr>
            <w:r>
              <w:rPr>
                <w:rFonts w:hint="eastAsia"/>
              </w:rPr>
              <w:t>2</w:t>
            </w:r>
          </w:p>
        </w:tc>
        <w:tc>
          <w:tcPr>
            <w:tcW w:w="1418" w:type="dxa"/>
            <w:vMerge w:val="restart"/>
          </w:tcPr>
          <w:p>
            <w:pPr>
              <w:spacing w:after="0"/>
            </w:pPr>
            <w:r>
              <w:rPr>
                <w:rFonts w:hint="eastAsia"/>
              </w:rPr>
              <w:t>警示系统</w:t>
            </w:r>
          </w:p>
        </w:tc>
        <w:tc>
          <w:tcPr>
            <w:tcW w:w="2835" w:type="dxa"/>
          </w:tcPr>
          <w:p>
            <w:pPr>
              <w:spacing w:after="0"/>
            </w:pPr>
            <w:r>
              <w:rPr>
                <w:rFonts w:ascii="宋体" w:hAnsi="宋体"/>
                <w:sz w:val="21"/>
              </w:rPr>
              <w:t>长排警灯警报器，星际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hint="eastAsia"/>
              </w:rPr>
              <w:t>1套</w:t>
            </w:r>
          </w:p>
        </w:tc>
        <w:tc>
          <w:tcPr>
            <w:tcW w:w="3260" w:type="dxa"/>
          </w:tcPr>
          <w:p>
            <w:pPr>
              <w:spacing w:after="0"/>
              <w:rPr>
                <w:rFonts w:ascii="宋体" w:hAnsiTheme="minorHAnsi"/>
                <w:sz w:val="21"/>
              </w:rPr>
            </w:pPr>
            <w:r>
              <w:rPr>
                <w:rFonts w:hint="eastAsia" w:ascii="宋体" w:hAnsiTheme="minorHAnsi"/>
                <w:sz w:val="21"/>
              </w:rPr>
              <w:t>1</w:t>
            </w:r>
            <w:r>
              <w:rPr>
                <w:rFonts w:ascii="宋体" w:hAnsiTheme="minorHAnsi"/>
                <w:sz w:val="21"/>
                <w:lang w:eastAsia="en-US"/>
              </w:rPr>
              <w:t>.4</w:t>
            </w:r>
            <w:r>
              <w:rPr>
                <w:rFonts w:ascii="宋体" w:hAnsi="宋体"/>
                <w:sz w:val="21"/>
                <w:lang w:eastAsia="en-US"/>
              </w:rPr>
              <w:t>米、</w:t>
            </w:r>
            <w:r>
              <w:rPr>
                <w:rFonts w:ascii="宋体" w:hAnsiTheme="minorHAnsi"/>
                <w:sz w:val="21"/>
                <w:lang w:eastAsia="en-US"/>
              </w:rPr>
              <w:t>100W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" w:hRule="atLeast"/>
        </w:trPr>
        <w:tc>
          <w:tcPr>
            <w:tcW w:w="817" w:type="dxa"/>
            <w:vMerge w:val="continue"/>
          </w:tcPr>
          <w:p>
            <w:pPr>
              <w:spacing w:after="0"/>
            </w:pPr>
          </w:p>
        </w:tc>
        <w:tc>
          <w:tcPr>
            <w:tcW w:w="1418" w:type="dxa"/>
            <w:vMerge w:val="continue"/>
          </w:tcPr>
          <w:p>
            <w:pPr>
              <w:spacing w:after="0"/>
            </w:pPr>
          </w:p>
        </w:tc>
        <w:tc>
          <w:tcPr>
            <w:tcW w:w="2835" w:type="dxa"/>
          </w:tcPr>
          <w:p>
            <w:pPr>
              <w:spacing w:after="0"/>
              <w:rPr>
                <w:rFonts w:ascii="宋体" w:hAnsiTheme="minorHAnsi"/>
                <w:sz w:val="21"/>
              </w:rPr>
            </w:pPr>
            <w:r>
              <w:rPr>
                <w:rFonts w:ascii="宋体" w:hAnsi="宋体"/>
                <w:sz w:val="21"/>
                <w:lang w:eastAsia="en-US"/>
              </w:rPr>
              <w:t>车辆外观，</w:t>
            </w:r>
            <w:r>
              <w:rPr>
                <w:rFonts w:ascii="宋体" w:hAnsiTheme="minorHAnsi"/>
                <w:spacing w:val="1"/>
                <w:sz w:val="21"/>
                <w:lang w:eastAsia="en-US"/>
              </w:rPr>
              <w:t>JSV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hint="eastAsia"/>
              </w:rPr>
              <w:t>1套</w:t>
            </w:r>
          </w:p>
        </w:tc>
        <w:tc>
          <w:tcPr>
            <w:tcW w:w="3260" w:type="dxa"/>
          </w:tcPr>
          <w:p>
            <w:pPr>
              <w:spacing w:after="0"/>
            </w:pPr>
            <w:r>
              <w:rPr>
                <w:rFonts w:ascii="宋体" w:hAnsiTheme="minorHAnsi"/>
                <w:sz w:val="21"/>
                <w:lang w:eastAsia="en-US"/>
              </w:rPr>
              <w:t>04</w:t>
            </w:r>
            <w:r>
              <w:rPr>
                <w:rFonts w:ascii="宋体" w:hAnsi="宋体"/>
                <w:sz w:val="21"/>
                <w:lang w:eastAsia="en-US"/>
              </w:rPr>
              <w:t>制警用标识及警兰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4" w:hRule="atLeast"/>
        </w:trPr>
        <w:tc>
          <w:tcPr>
            <w:tcW w:w="817" w:type="dxa"/>
            <w:vMerge w:val="restart"/>
          </w:tcPr>
          <w:p>
            <w:pPr>
              <w:spacing w:after="0"/>
            </w:pPr>
            <w:r>
              <w:rPr>
                <w:rFonts w:hint="eastAsia"/>
              </w:rPr>
              <w:t>3</w:t>
            </w:r>
          </w:p>
        </w:tc>
        <w:tc>
          <w:tcPr>
            <w:tcW w:w="1418" w:type="dxa"/>
            <w:vMerge w:val="restart"/>
          </w:tcPr>
          <w:p>
            <w:pPr>
              <w:spacing w:after="0"/>
            </w:pPr>
            <w:r>
              <w:rPr>
                <w:rFonts w:hint="eastAsia"/>
              </w:rPr>
              <w:t>监控系统</w:t>
            </w:r>
          </w:p>
        </w:tc>
        <w:tc>
          <w:tcPr>
            <w:tcW w:w="2835" w:type="dxa"/>
          </w:tcPr>
          <w:p>
            <w:pPr>
              <w:spacing w:after="0"/>
              <w:rPr>
                <w:rFonts w:ascii="宋体" w:hAnsiTheme="minorHAnsi"/>
                <w:sz w:val="21"/>
              </w:rPr>
            </w:pPr>
            <w:r>
              <w:rPr>
                <w:rFonts w:ascii="宋体" w:hAnsiTheme="minorHAnsi"/>
                <w:sz w:val="21"/>
              </w:rPr>
              <w:t>4</w:t>
            </w:r>
            <w:r>
              <w:rPr>
                <w:rFonts w:ascii="宋体" w:hAnsiTheme="minorHAnsi"/>
                <w:spacing w:val="54"/>
                <w:sz w:val="21"/>
              </w:rPr>
              <w:t>G</w:t>
            </w:r>
            <w:r>
              <w:rPr>
                <w:rFonts w:ascii="宋体" w:hAnsi="宋体"/>
                <w:sz w:val="21"/>
              </w:rPr>
              <w:t>高清硬盘录像机，大华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hint="eastAsia"/>
              </w:rPr>
              <w:t>1台</w:t>
            </w:r>
          </w:p>
        </w:tc>
        <w:tc>
          <w:tcPr>
            <w:tcW w:w="3260" w:type="dxa"/>
          </w:tcPr>
          <w:p>
            <w:pPr>
              <w:spacing w:after="0"/>
            </w:pPr>
            <w:r>
              <w:rPr>
                <w:rFonts w:ascii="宋体" w:hAnsiTheme="minorHAnsi"/>
                <w:sz w:val="21"/>
                <w:lang w:eastAsia="en-US"/>
              </w:rPr>
              <w:t>DH-MNVR1104,1T</w:t>
            </w:r>
            <w:r>
              <w:rPr>
                <w:rFonts w:ascii="宋体" w:hAnsi="宋体"/>
                <w:spacing w:val="-1"/>
                <w:sz w:val="21"/>
                <w:lang w:eastAsia="en-US"/>
              </w:rPr>
              <w:t>硬盘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817" w:type="dxa"/>
            <w:vMerge w:val="continue"/>
          </w:tcPr>
          <w:p>
            <w:pPr>
              <w:spacing w:after="0"/>
            </w:pPr>
          </w:p>
        </w:tc>
        <w:tc>
          <w:tcPr>
            <w:tcW w:w="1418" w:type="dxa"/>
            <w:vMerge w:val="continue"/>
          </w:tcPr>
          <w:p>
            <w:pPr>
              <w:spacing w:after="0"/>
            </w:pPr>
          </w:p>
        </w:tc>
        <w:tc>
          <w:tcPr>
            <w:tcW w:w="2835" w:type="dxa"/>
          </w:tcPr>
          <w:p>
            <w:pPr>
              <w:spacing w:after="0"/>
            </w:pPr>
            <w:r>
              <w:rPr>
                <w:rFonts w:ascii="宋体" w:hAnsi="宋体"/>
                <w:sz w:val="21"/>
              </w:rPr>
              <w:t>高清监控摄像头，大华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hint="eastAsia"/>
              </w:rPr>
              <w:t>4个</w:t>
            </w:r>
          </w:p>
        </w:tc>
        <w:tc>
          <w:tcPr>
            <w:tcW w:w="3260" w:type="dxa"/>
          </w:tcPr>
          <w:p>
            <w:pPr>
              <w:spacing w:after="0"/>
            </w:pPr>
            <w:r>
              <w:rPr>
                <w:rFonts w:hint="eastAsia" w:ascii="宋体" w:hAnsiTheme="minorHAnsi"/>
                <w:sz w:val="21"/>
              </w:rPr>
              <w:t>2</w:t>
            </w:r>
            <w:r>
              <w:rPr>
                <w:rFonts w:ascii="宋体" w:hAnsiTheme="minorHAnsi"/>
                <w:sz w:val="21"/>
              </w:rPr>
              <w:t>00W</w:t>
            </w:r>
            <w:r>
              <w:rPr>
                <w:rFonts w:ascii="宋体" w:hAnsi="宋体"/>
                <w:spacing w:val="-2"/>
                <w:sz w:val="21"/>
              </w:rPr>
              <w:t>像素，内置</w:t>
            </w:r>
            <w:r>
              <w:rPr>
                <w:rFonts w:hAnsiTheme="minorHAnsi"/>
                <w:spacing w:val="1"/>
                <w:sz w:val="21"/>
              </w:rPr>
              <w:t xml:space="preserve"> </w:t>
            </w:r>
            <w:r>
              <w:rPr>
                <w:rFonts w:ascii="宋体" w:hAnsiTheme="minorHAnsi"/>
                <w:spacing w:val="1"/>
                <w:sz w:val="21"/>
              </w:rPr>
              <w:t>MIC</w:t>
            </w:r>
            <w:r>
              <w:rPr>
                <w:rFonts w:ascii="宋体" w:hAnsi="宋体"/>
                <w:spacing w:val="-11"/>
                <w:sz w:val="21"/>
              </w:rPr>
              <w:t>，</w:t>
            </w:r>
            <w:r>
              <w:rPr>
                <w:rFonts w:ascii="宋体" w:hAnsiTheme="minorHAnsi"/>
                <w:spacing w:val="-1"/>
                <w:sz w:val="21"/>
              </w:rPr>
              <w:t>IP67</w:t>
            </w:r>
            <w:r>
              <w:rPr>
                <w:rFonts w:ascii="宋体" w:hAnsi="宋体"/>
                <w:spacing w:val="-11"/>
                <w:sz w:val="21"/>
              </w:rPr>
              <w:t>、</w:t>
            </w:r>
            <w:r>
              <w:rPr>
                <w:rFonts w:ascii="宋体" w:hAnsiTheme="minorHAnsi"/>
                <w:sz w:val="21"/>
              </w:rPr>
              <w:t>IK10</w:t>
            </w:r>
            <w:r>
              <w:rPr>
                <w:rFonts w:ascii="宋体" w:hAnsi="宋体"/>
                <w:sz w:val="21"/>
              </w:rPr>
              <w:t>防</w:t>
            </w:r>
            <w:r>
              <w:rPr>
                <w:rFonts w:ascii="宋体" w:hAnsi="宋体"/>
                <w:spacing w:val="1"/>
                <w:sz w:val="21"/>
              </w:rPr>
              <w:t>护等级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</w:tcPr>
          <w:p>
            <w:pPr>
              <w:spacing w:after="0"/>
            </w:pPr>
          </w:p>
        </w:tc>
        <w:tc>
          <w:tcPr>
            <w:tcW w:w="1418" w:type="dxa"/>
            <w:vMerge w:val="continue"/>
          </w:tcPr>
          <w:p>
            <w:pPr>
              <w:spacing w:after="0"/>
            </w:pPr>
          </w:p>
        </w:tc>
        <w:tc>
          <w:tcPr>
            <w:tcW w:w="2835" w:type="dxa"/>
          </w:tcPr>
          <w:p>
            <w:pPr>
              <w:spacing w:after="0"/>
            </w:pPr>
            <w:r>
              <w:rPr>
                <w:rFonts w:ascii="宋体" w:hAnsi="宋体"/>
                <w:sz w:val="21"/>
                <w:lang w:eastAsia="en-US"/>
              </w:rPr>
              <w:t>专用监视器，明景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ascii="宋体" w:hAnsiTheme="minorHAnsi"/>
                <w:spacing w:val="53"/>
                <w:sz w:val="21"/>
                <w:lang w:eastAsia="en-US"/>
              </w:rPr>
              <w:t>1</w:t>
            </w:r>
            <w:r>
              <w:rPr>
                <w:rFonts w:ascii="宋体" w:hAnsi="宋体"/>
                <w:sz w:val="21"/>
                <w:lang w:eastAsia="en-US"/>
              </w:rPr>
              <w:t>个</w:t>
            </w:r>
          </w:p>
        </w:tc>
        <w:tc>
          <w:tcPr>
            <w:tcW w:w="3260" w:type="dxa"/>
          </w:tcPr>
          <w:p>
            <w:pPr>
              <w:spacing w:after="0"/>
            </w:pPr>
            <w:r>
              <w:rPr>
                <w:rFonts w:ascii="宋体" w:hAnsi="宋体"/>
                <w:sz w:val="21"/>
                <w:lang w:eastAsia="en-US"/>
              </w:rPr>
              <w:t>遮阳板式，</w:t>
            </w:r>
            <w:r>
              <w:rPr>
                <w:rFonts w:ascii="宋体" w:hAnsiTheme="minorHAnsi"/>
                <w:spacing w:val="53"/>
                <w:sz w:val="21"/>
                <w:lang w:eastAsia="en-US"/>
              </w:rPr>
              <w:t>9</w:t>
            </w:r>
            <w:r>
              <w:rPr>
                <w:rFonts w:ascii="宋体" w:hAnsi="宋体"/>
                <w:sz w:val="21"/>
                <w:lang w:eastAsia="en-US"/>
              </w:rPr>
              <w:t>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</w:tcPr>
          <w:p>
            <w:pPr>
              <w:spacing w:after="0"/>
            </w:pPr>
          </w:p>
          <w:p>
            <w:pPr>
              <w:spacing w:after="0"/>
            </w:pPr>
          </w:p>
          <w:p>
            <w:pPr>
              <w:spacing w:after="0"/>
            </w:pPr>
            <w:r>
              <w:rPr>
                <w:rFonts w:hint="eastAsia"/>
              </w:rPr>
              <w:t>4</w:t>
            </w:r>
          </w:p>
        </w:tc>
        <w:tc>
          <w:tcPr>
            <w:tcW w:w="1418" w:type="dxa"/>
            <w:vMerge w:val="restart"/>
          </w:tcPr>
          <w:p>
            <w:pPr>
              <w:spacing w:after="0"/>
            </w:pPr>
          </w:p>
          <w:p>
            <w:pPr>
              <w:spacing w:after="0"/>
            </w:pPr>
          </w:p>
          <w:p>
            <w:pPr>
              <w:spacing w:after="0"/>
            </w:pPr>
            <w:r>
              <w:rPr>
                <w:rFonts w:hint="eastAsia"/>
              </w:rPr>
              <w:t>囚室系统</w:t>
            </w:r>
          </w:p>
        </w:tc>
        <w:tc>
          <w:tcPr>
            <w:tcW w:w="2835" w:type="dxa"/>
          </w:tcPr>
          <w:p>
            <w:pPr>
              <w:spacing w:after="0"/>
              <w:rPr>
                <w:rFonts w:ascii="宋体"/>
              </w:rPr>
            </w:pPr>
            <w:r>
              <w:rPr>
                <w:rFonts w:ascii="宋体" w:hAnsi="宋体"/>
                <w:sz w:val="21"/>
                <w:lang w:eastAsia="en-US"/>
              </w:rPr>
              <w:t>中隔栅栏，</w:t>
            </w:r>
            <w:r>
              <w:rPr>
                <w:rFonts w:ascii="宋体" w:hAnsiTheme="minorHAnsi"/>
                <w:spacing w:val="1"/>
                <w:sz w:val="21"/>
                <w:lang w:eastAsia="en-US"/>
              </w:rPr>
              <w:t>JSV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ascii="宋体" w:hAnsiTheme="minorHAnsi"/>
                <w:spacing w:val="53"/>
                <w:sz w:val="21"/>
                <w:lang w:eastAsia="en-US"/>
              </w:rPr>
              <w:t>1</w:t>
            </w:r>
            <w:r>
              <w:rPr>
                <w:rFonts w:ascii="宋体" w:hAnsi="宋体"/>
                <w:sz w:val="21"/>
                <w:lang w:eastAsia="en-US"/>
              </w:rPr>
              <w:t>套</w:t>
            </w:r>
          </w:p>
        </w:tc>
        <w:tc>
          <w:tcPr>
            <w:tcW w:w="3260" w:type="dxa"/>
          </w:tcPr>
          <w:p>
            <w:pPr>
              <w:spacing w:after="0"/>
            </w:pPr>
            <w:r>
              <w:rPr>
                <w:rFonts w:ascii="宋体" w:hAnsi="宋体"/>
                <w:spacing w:val="1"/>
                <w:sz w:val="21"/>
                <w:lang w:eastAsia="en-US"/>
              </w:rPr>
              <w:t>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</w:tcPr>
          <w:p>
            <w:pPr>
              <w:spacing w:after="0"/>
            </w:pPr>
          </w:p>
        </w:tc>
        <w:tc>
          <w:tcPr>
            <w:tcW w:w="1418" w:type="dxa"/>
            <w:vMerge w:val="continue"/>
          </w:tcPr>
          <w:p>
            <w:pPr>
              <w:spacing w:after="0"/>
            </w:pPr>
          </w:p>
        </w:tc>
        <w:tc>
          <w:tcPr>
            <w:tcW w:w="2835" w:type="dxa"/>
          </w:tcPr>
          <w:p>
            <w:pPr>
              <w:spacing w:after="0"/>
              <w:rPr>
                <w:rFonts w:ascii="宋体"/>
              </w:rPr>
            </w:pPr>
            <w:r>
              <w:rPr>
                <w:rFonts w:ascii="宋体" w:hAnsi="宋体"/>
                <w:sz w:val="21"/>
                <w:lang w:eastAsia="en-US"/>
              </w:rPr>
              <w:t>囚室逃生门，</w:t>
            </w:r>
            <w:r>
              <w:rPr>
                <w:rFonts w:ascii="宋体" w:hAnsiTheme="minorHAnsi"/>
                <w:spacing w:val="-1"/>
                <w:sz w:val="21"/>
                <w:lang w:eastAsia="en-US"/>
              </w:rPr>
              <w:t>JSV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ascii="宋体" w:hAnsiTheme="minorHAnsi"/>
                <w:spacing w:val="53"/>
                <w:sz w:val="21"/>
                <w:lang w:eastAsia="en-US"/>
              </w:rPr>
              <w:t>1</w:t>
            </w:r>
            <w:r>
              <w:rPr>
                <w:rFonts w:ascii="宋体" w:hAnsi="宋体"/>
                <w:sz w:val="21"/>
                <w:lang w:eastAsia="en-US"/>
              </w:rPr>
              <w:t>套</w:t>
            </w:r>
          </w:p>
        </w:tc>
        <w:tc>
          <w:tcPr>
            <w:tcW w:w="3260" w:type="dxa"/>
          </w:tcPr>
          <w:p>
            <w:pPr>
              <w:spacing w:after="0"/>
            </w:pPr>
            <w:r>
              <w:rPr>
                <w:rFonts w:ascii="宋体" w:hAnsi="宋体"/>
                <w:sz w:val="21"/>
                <w:lang w:eastAsia="en-US"/>
              </w:rPr>
              <w:t>满足法规要求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</w:tcPr>
          <w:p>
            <w:pPr>
              <w:spacing w:after="0"/>
            </w:pPr>
          </w:p>
        </w:tc>
        <w:tc>
          <w:tcPr>
            <w:tcW w:w="1418" w:type="dxa"/>
            <w:vMerge w:val="continue"/>
          </w:tcPr>
          <w:p>
            <w:pPr>
              <w:spacing w:after="0"/>
            </w:pPr>
          </w:p>
        </w:tc>
        <w:tc>
          <w:tcPr>
            <w:tcW w:w="2835" w:type="dxa"/>
          </w:tcPr>
          <w:p>
            <w:pPr>
              <w:spacing w:after="0"/>
              <w:rPr>
                <w:rFonts w:ascii="宋体"/>
              </w:rPr>
            </w:pPr>
            <w:r>
              <w:rPr>
                <w:rFonts w:ascii="宋体" w:hAnsi="宋体"/>
                <w:sz w:val="21"/>
                <w:lang w:eastAsia="en-US"/>
              </w:rPr>
              <w:t>尾门栅栏，</w:t>
            </w:r>
            <w:r>
              <w:rPr>
                <w:rFonts w:ascii="宋体" w:hAnsiTheme="minorHAnsi"/>
                <w:spacing w:val="1"/>
                <w:sz w:val="21"/>
                <w:lang w:eastAsia="en-US"/>
              </w:rPr>
              <w:t>JSV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ascii="宋体" w:hAnsiTheme="minorHAnsi"/>
                <w:spacing w:val="53"/>
                <w:sz w:val="21"/>
                <w:lang w:eastAsia="en-US"/>
              </w:rPr>
              <w:t>1</w:t>
            </w:r>
            <w:r>
              <w:rPr>
                <w:rFonts w:ascii="宋体" w:hAnsi="宋体"/>
                <w:sz w:val="21"/>
                <w:lang w:eastAsia="en-US"/>
              </w:rPr>
              <w:t>套</w:t>
            </w:r>
          </w:p>
        </w:tc>
        <w:tc>
          <w:tcPr>
            <w:tcW w:w="3260" w:type="dxa"/>
          </w:tcPr>
          <w:p>
            <w:pPr>
              <w:spacing w:after="0"/>
            </w:pPr>
            <w:r>
              <w:rPr>
                <w:rFonts w:ascii="宋体" w:hAnsi="宋体"/>
                <w:sz w:val="21"/>
                <w:lang w:eastAsia="en-US"/>
              </w:rPr>
              <w:t>不锈钢，单开门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</w:tcPr>
          <w:p>
            <w:pPr>
              <w:spacing w:after="0"/>
            </w:pPr>
          </w:p>
        </w:tc>
        <w:tc>
          <w:tcPr>
            <w:tcW w:w="1418" w:type="dxa"/>
            <w:vMerge w:val="continue"/>
          </w:tcPr>
          <w:p>
            <w:pPr>
              <w:spacing w:after="0"/>
            </w:pPr>
          </w:p>
        </w:tc>
        <w:tc>
          <w:tcPr>
            <w:tcW w:w="2835" w:type="dxa"/>
          </w:tcPr>
          <w:p>
            <w:pPr>
              <w:spacing w:after="0"/>
              <w:rPr>
                <w:rFonts w:ascii="宋体"/>
              </w:rPr>
            </w:pPr>
            <w:r>
              <w:rPr>
                <w:rFonts w:ascii="宋体" w:hAnsi="宋体"/>
                <w:sz w:val="21"/>
                <w:lang w:eastAsia="en-US"/>
              </w:rPr>
              <w:t>侧窗栅栏，</w:t>
            </w:r>
            <w:r>
              <w:rPr>
                <w:rFonts w:ascii="宋体" w:hAnsiTheme="minorHAnsi"/>
                <w:spacing w:val="1"/>
                <w:sz w:val="21"/>
                <w:lang w:eastAsia="en-US"/>
              </w:rPr>
              <w:t>JSV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ascii="宋体" w:hAnsiTheme="minorHAnsi"/>
                <w:spacing w:val="53"/>
                <w:sz w:val="21"/>
                <w:lang w:eastAsia="en-US"/>
              </w:rPr>
              <w:t>2</w:t>
            </w:r>
            <w:r>
              <w:rPr>
                <w:rFonts w:ascii="宋体" w:hAnsi="宋体"/>
                <w:sz w:val="21"/>
                <w:lang w:eastAsia="en-US"/>
              </w:rPr>
              <w:t>套</w:t>
            </w:r>
          </w:p>
        </w:tc>
        <w:tc>
          <w:tcPr>
            <w:tcW w:w="3260" w:type="dxa"/>
          </w:tcPr>
          <w:p>
            <w:pPr>
              <w:spacing w:after="0"/>
            </w:pPr>
            <w:r>
              <w:rPr>
                <w:rFonts w:ascii="宋体" w:hAnsi="宋体"/>
                <w:spacing w:val="1"/>
                <w:sz w:val="21"/>
                <w:lang w:eastAsia="en-US"/>
              </w:rPr>
              <w:t>不锈钢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</w:tcPr>
          <w:p>
            <w:pPr>
              <w:spacing w:after="0"/>
            </w:pPr>
          </w:p>
        </w:tc>
        <w:tc>
          <w:tcPr>
            <w:tcW w:w="1418" w:type="dxa"/>
            <w:vMerge w:val="continue"/>
          </w:tcPr>
          <w:p>
            <w:pPr>
              <w:spacing w:after="0"/>
            </w:pPr>
          </w:p>
        </w:tc>
        <w:tc>
          <w:tcPr>
            <w:tcW w:w="2835" w:type="dxa"/>
          </w:tcPr>
          <w:p>
            <w:pPr>
              <w:spacing w:after="0"/>
              <w:rPr>
                <w:rFonts w:ascii="宋体"/>
              </w:rPr>
            </w:pPr>
            <w:r>
              <w:rPr>
                <w:rFonts w:ascii="宋体" w:hAnsi="宋体"/>
                <w:sz w:val="21"/>
              </w:rPr>
              <w:t>透明亚克力板，</w:t>
            </w:r>
            <w:r>
              <w:rPr>
                <w:rFonts w:ascii="宋体" w:hAnsiTheme="minorHAnsi"/>
                <w:spacing w:val="1"/>
                <w:sz w:val="21"/>
              </w:rPr>
              <w:t>JSV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ascii="宋体" w:hAnsiTheme="minorHAnsi"/>
                <w:spacing w:val="53"/>
                <w:sz w:val="21"/>
                <w:lang w:eastAsia="en-US"/>
              </w:rPr>
              <w:t>1</w:t>
            </w:r>
            <w:r>
              <w:rPr>
                <w:rFonts w:ascii="宋体" w:hAnsi="宋体"/>
                <w:sz w:val="21"/>
                <w:lang w:eastAsia="en-US"/>
              </w:rPr>
              <w:t>套</w:t>
            </w:r>
          </w:p>
        </w:tc>
        <w:tc>
          <w:tcPr>
            <w:tcW w:w="3260" w:type="dxa"/>
          </w:tcPr>
          <w:p>
            <w:pPr>
              <w:spacing w:after="0"/>
            </w:pPr>
            <w:r>
              <w:rPr>
                <w:rFonts w:hint="eastAsia" w:ascii="宋体" w:hAnsiTheme="minorHAnsi"/>
                <w:sz w:val="21"/>
              </w:rPr>
              <w:t>4</w:t>
            </w:r>
            <w:r>
              <w:rPr>
                <w:rFonts w:ascii="宋体" w:hAnsiTheme="minorHAnsi"/>
                <w:sz w:val="21"/>
              </w:rPr>
              <w:t>mm</w:t>
            </w:r>
            <w:r>
              <w:rPr>
                <w:rFonts w:ascii="宋体" w:hAnsi="宋体"/>
                <w:sz w:val="21"/>
              </w:rPr>
              <w:t>厚，紧贴中隔栅栏后部，防止嫌疑人通过栅栏间隙攻击警员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</w:tcPr>
          <w:p>
            <w:pPr>
              <w:spacing w:after="0"/>
            </w:pPr>
          </w:p>
        </w:tc>
        <w:tc>
          <w:tcPr>
            <w:tcW w:w="1418" w:type="dxa"/>
            <w:vMerge w:val="continue"/>
          </w:tcPr>
          <w:p>
            <w:pPr>
              <w:spacing w:after="0"/>
            </w:pPr>
          </w:p>
        </w:tc>
        <w:tc>
          <w:tcPr>
            <w:tcW w:w="2835" w:type="dxa"/>
          </w:tcPr>
          <w:p>
            <w:pPr>
              <w:spacing w:after="0"/>
              <w:rPr>
                <w:rFonts w:ascii="宋体"/>
              </w:rPr>
            </w:pPr>
            <w:r>
              <w:rPr>
                <w:rFonts w:ascii="宋体" w:hAnsi="宋体"/>
                <w:sz w:val="21"/>
                <w:lang w:eastAsia="en-US"/>
              </w:rPr>
              <w:t>脚铐固定环，</w:t>
            </w:r>
            <w:r>
              <w:rPr>
                <w:rFonts w:ascii="宋体" w:hAnsiTheme="minorHAnsi"/>
                <w:spacing w:val="-1"/>
                <w:sz w:val="21"/>
                <w:lang w:eastAsia="en-US"/>
              </w:rPr>
              <w:t>JSV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ascii="宋体" w:hAnsiTheme="minorHAnsi"/>
                <w:spacing w:val="53"/>
                <w:sz w:val="21"/>
                <w:lang w:eastAsia="en-US"/>
              </w:rPr>
              <w:t>3</w:t>
            </w:r>
            <w:r>
              <w:rPr>
                <w:rFonts w:ascii="宋体" w:hAnsi="宋体"/>
                <w:sz w:val="21"/>
                <w:lang w:eastAsia="en-US"/>
              </w:rPr>
              <w:t>个</w:t>
            </w:r>
          </w:p>
        </w:tc>
        <w:tc>
          <w:tcPr>
            <w:tcW w:w="3260" w:type="dxa"/>
          </w:tcPr>
          <w:p>
            <w:pPr>
              <w:spacing w:after="0"/>
            </w:pPr>
            <w:r>
              <w:rPr>
                <w:rFonts w:ascii="宋体" w:hAnsi="宋体"/>
                <w:sz w:val="21"/>
                <w:lang w:eastAsia="en-US"/>
              </w:rPr>
              <w:t>囚犯脚铐固定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</w:tcPr>
          <w:p>
            <w:pPr>
              <w:spacing w:after="0"/>
            </w:pPr>
            <w:r>
              <w:rPr>
                <w:rFonts w:hint="eastAsia"/>
              </w:rPr>
              <w:t>5</w:t>
            </w:r>
          </w:p>
        </w:tc>
        <w:tc>
          <w:tcPr>
            <w:tcW w:w="1418" w:type="dxa"/>
          </w:tcPr>
          <w:p>
            <w:pPr>
              <w:spacing w:after="0"/>
            </w:pPr>
            <w:r>
              <w:rPr>
                <w:rFonts w:hint="eastAsia"/>
              </w:rPr>
              <w:t>座椅内饰</w:t>
            </w:r>
          </w:p>
        </w:tc>
        <w:tc>
          <w:tcPr>
            <w:tcW w:w="2835" w:type="dxa"/>
          </w:tcPr>
          <w:p>
            <w:pPr>
              <w:spacing w:after="0"/>
              <w:rPr>
                <w:rFonts w:ascii="宋体"/>
              </w:rPr>
            </w:pPr>
            <w:r>
              <w:rPr>
                <w:rFonts w:ascii="宋体" w:hAnsi="宋体"/>
                <w:sz w:val="21"/>
              </w:rPr>
              <w:t>长条翻板座椅，</w:t>
            </w:r>
            <w:r>
              <w:rPr>
                <w:rFonts w:ascii="宋体" w:hAnsiTheme="minorHAnsi"/>
                <w:spacing w:val="1"/>
                <w:sz w:val="21"/>
              </w:rPr>
              <w:t>JSV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ascii="宋体" w:hAnsiTheme="minorHAnsi"/>
                <w:spacing w:val="53"/>
                <w:sz w:val="21"/>
                <w:lang w:eastAsia="en-US"/>
              </w:rPr>
              <w:t>2</w:t>
            </w:r>
            <w:r>
              <w:rPr>
                <w:rFonts w:ascii="宋体" w:hAnsi="宋体"/>
                <w:sz w:val="21"/>
                <w:lang w:eastAsia="en-US"/>
              </w:rPr>
              <w:t>套</w:t>
            </w:r>
          </w:p>
        </w:tc>
        <w:tc>
          <w:tcPr>
            <w:tcW w:w="3260" w:type="dxa"/>
          </w:tcPr>
          <w:p>
            <w:pPr>
              <w:spacing w:after="0"/>
              <w:rPr>
                <w:rFonts w:hAnsiTheme="minorHAnsi"/>
                <w:sz w:val="21"/>
              </w:rPr>
            </w:pPr>
            <w:r>
              <w:rPr>
                <w:rFonts w:ascii="宋体" w:hAnsi="宋体"/>
                <w:sz w:val="21"/>
              </w:rPr>
              <w:t>满足三人使用，带支撑杠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tcBorders>
              <w:bottom w:val="single" w:color="auto" w:sz="4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6</w:t>
            </w:r>
          </w:p>
        </w:tc>
        <w:tc>
          <w:tcPr>
            <w:tcW w:w="1418" w:type="dxa"/>
            <w:tcBorders>
              <w:bottom w:val="single" w:color="auto" w:sz="4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法规配置</w:t>
            </w:r>
          </w:p>
        </w:tc>
        <w:tc>
          <w:tcPr>
            <w:tcW w:w="2835" w:type="dxa"/>
          </w:tcPr>
          <w:p>
            <w:pPr>
              <w:spacing w:after="0"/>
              <w:rPr>
                <w:rFonts w:ascii="宋体"/>
              </w:rPr>
            </w:pPr>
            <w:r>
              <w:rPr>
                <w:rFonts w:ascii="宋体" w:hAnsi="宋体"/>
                <w:sz w:val="21"/>
              </w:rPr>
              <w:t>汽车行驶记录仪，</w:t>
            </w:r>
            <w:r>
              <w:rPr>
                <w:rFonts w:ascii="宋体" w:hAnsiTheme="minorHAnsi"/>
                <w:spacing w:val="-1"/>
                <w:sz w:val="21"/>
              </w:rPr>
              <w:t>JSV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ascii="宋体" w:hAnsiTheme="minorHAnsi"/>
                <w:spacing w:val="53"/>
                <w:sz w:val="21"/>
                <w:lang w:eastAsia="en-US"/>
              </w:rPr>
              <w:t>1</w:t>
            </w:r>
            <w:r>
              <w:rPr>
                <w:rFonts w:ascii="宋体" w:hAnsi="宋体"/>
                <w:sz w:val="21"/>
                <w:lang w:eastAsia="en-US"/>
              </w:rPr>
              <w:t>套</w:t>
            </w:r>
          </w:p>
        </w:tc>
        <w:tc>
          <w:tcPr>
            <w:tcW w:w="3260" w:type="dxa"/>
          </w:tcPr>
          <w:p>
            <w:pPr>
              <w:spacing w:after="0"/>
            </w:pPr>
            <w:r>
              <w:rPr>
                <w:rFonts w:ascii="宋体" w:hAnsi="宋体"/>
                <w:sz w:val="21"/>
                <w:lang w:eastAsia="en-US"/>
              </w:rPr>
              <w:t>满足法规要求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7</w:t>
            </w:r>
          </w:p>
        </w:tc>
        <w:tc>
          <w:tcPr>
            <w:tcW w:w="1418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spacing w:after="0"/>
            </w:pPr>
            <w:r>
              <w:rPr>
                <w:rFonts w:hint="eastAsia"/>
              </w:rPr>
              <w:t>辅助材料</w:t>
            </w:r>
          </w:p>
        </w:tc>
        <w:tc>
          <w:tcPr>
            <w:tcW w:w="2835" w:type="dxa"/>
            <w:tcBorders>
              <w:left w:val="single" w:color="auto" w:sz="4" w:space="0"/>
            </w:tcBorders>
          </w:tcPr>
          <w:p>
            <w:pPr>
              <w:spacing w:after="0"/>
              <w:rPr>
                <w:rFonts w:ascii="宋体"/>
              </w:rPr>
            </w:pPr>
            <w:r>
              <w:rPr>
                <w:rFonts w:ascii="宋体" w:hAnsi="宋体"/>
                <w:sz w:val="21"/>
                <w:lang w:eastAsia="en-US"/>
              </w:rPr>
              <w:t>车体改制，</w:t>
            </w:r>
            <w:r>
              <w:rPr>
                <w:rFonts w:ascii="宋体" w:hAnsiTheme="minorHAnsi"/>
                <w:spacing w:val="1"/>
                <w:sz w:val="21"/>
                <w:lang w:eastAsia="en-US"/>
              </w:rPr>
              <w:t>JSV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ascii="宋体" w:hAnsiTheme="minorHAnsi"/>
                <w:spacing w:val="53"/>
                <w:sz w:val="21"/>
                <w:lang w:eastAsia="en-US"/>
              </w:rPr>
              <w:t>1</w:t>
            </w:r>
            <w:r>
              <w:rPr>
                <w:rFonts w:ascii="宋体" w:hAnsi="宋体"/>
                <w:sz w:val="21"/>
                <w:lang w:eastAsia="en-US"/>
              </w:rPr>
              <w:t>套</w:t>
            </w:r>
          </w:p>
        </w:tc>
        <w:tc>
          <w:tcPr>
            <w:tcW w:w="3260" w:type="dxa"/>
          </w:tcPr>
          <w:p>
            <w:pPr>
              <w:spacing w:after="0"/>
            </w:pPr>
            <w:r>
              <w:rPr>
                <w:rFonts w:ascii="宋体" w:hAnsi="宋体"/>
                <w:sz w:val="21"/>
              </w:rPr>
              <w:t>局部开孔，加强、加固等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</w:pPr>
          </w:p>
        </w:tc>
        <w:tc>
          <w:tcPr>
            <w:tcW w:w="1418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after="0"/>
            </w:pPr>
          </w:p>
        </w:tc>
        <w:tc>
          <w:tcPr>
            <w:tcW w:w="2835" w:type="dxa"/>
            <w:tcBorders>
              <w:left w:val="single" w:color="auto" w:sz="4" w:space="0"/>
            </w:tcBorders>
          </w:tcPr>
          <w:p>
            <w:pPr>
              <w:spacing w:after="0"/>
              <w:rPr>
                <w:rFonts w:ascii="宋体" w:hAnsiTheme="minorHAnsi"/>
                <w:sz w:val="21"/>
              </w:rPr>
            </w:pPr>
            <w:r>
              <w:rPr>
                <w:rFonts w:ascii="宋体" w:hAnsi="宋体"/>
                <w:sz w:val="21"/>
                <w:lang w:eastAsia="en-US"/>
              </w:rPr>
              <w:t>电器辅助材料，</w:t>
            </w:r>
            <w:r>
              <w:rPr>
                <w:rFonts w:ascii="宋体" w:hAnsiTheme="minorHAnsi"/>
                <w:spacing w:val="1"/>
                <w:sz w:val="21"/>
                <w:lang w:eastAsia="en-US"/>
              </w:rPr>
              <w:t>JSV</w:t>
            </w:r>
          </w:p>
          <w:p>
            <w:pPr>
              <w:spacing w:after="0"/>
            </w:pP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ascii="宋体" w:hAnsiTheme="minorHAnsi"/>
                <w:spacing w:val="53"/>
                <w:sz w:val="21"/>
                <w:lang w:eastAsia="en-US"/>
              </w:rPr>
              <w:t>1</w:t>
            </w:r>
            <w:r>
              <w:rPr>
                <w:rFonts w:ascii="宋体" w:hAnsi="宋体"/>
                <w:sz w:val="21"/>
                <w:lang w:eastAsia="en-US"/>
              </w:rPr>
              <w:t>块</w:t>
            </w:r>
          </w:p>
        </w:tc>
        <w:tc>
          <w:tcPr>
            <w:tcW w:w="3260" w:type="dxa"/>
          </w:tcPr>
          <w:p>
            <w:pPr>
              <w:spacing w:after="0"/>
              <w:rPr>
                <w:rFonts w:hAnsiTheme="minorHAnsi"/>
                <w:sz w:val="21"/>
              </w:rPr>
            </w:pPr>
            <w:r>
              <w:rPr>
                <w:rFonts w:hint="eastAsia" w:ascii="宋体" w:hAnsi="宋体"/>
                <w:sz w:val="21"/>
              </w:rPr>
              <w:t>电</w:t>
            </w:r>
            <w:r>
              <w:rPr>
                <w:rFonts w:ascii="宋体" w:hAnsi="宋体"/>
                <w:sz w:val="21"/>
              </w:rPr>
              <w:t>路控制器、保险、电气线束及开关等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</w:pPr>
          </w:p>
        </w:tc>
        <w:tc>
          <w:tcPr>
            <w:tcW w:w="1418" w:type="dxa"/>
            <w:vMerge w:val="continue"/>
            <w:tcBorders>
              <w:left w:val="single" w:color="auto" w:sz="4" w:space="0"/>
              <w:right w:val="single" w:color="auto" w:sz="4" w:space="0"/>
            </w:tcBorders>
          </w:tcPr>
          <w:p>
            <w:pPr>
              <w:spacing w:after="0"/>
            </w:pPr>
          </w:p>
        </w:tc>
        <w:tc>
          <w:tcPr>
            <w:tcW w:w="2835" w:type="dxa"/>
            <w:tcBorders>
              <w:left w:val="single" w:color="auto" w:sz="4" w:space="0"/>
            </w:tcBorders>
          </w:tcPr>
          <w:p>
            <w:pPr>
              <w:spacing w:after="0"/>
              <w:rPr>
                <w:rFonts w:ascii="宋体"/>
              </w:rPr>
            </w:pPr>
            <w:r>
              <w:rPr>
                <w:rFonts w:ascii="宋体" w:hAnsi="宋体"/>
                <w:sz w:val="21"/>
              </w:rPr>
              <w:t>装配辅助材料，</w:t>
            </w:r>
            <w:r>
              <w:rPr>
                <w:rFonts w:ascii="宋体" w:hAnsiTheme="minorHAnsi"/>
                <w:spacing w:val="1"/>
                <w:sz w:val="21"/>
              </w:rPr>
              <w:t>JSV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ascii="宋体" w:hAnsiTheme="minorHAnsi"/>
                <w:spacing w:val="53"/>
                <w:sz w:val="21"/>
                <w:lang w:eastAsia="en-US"/>
              </w:rPr>
              <w:t>1</w:t>
            </w:r>
            <w:r>
              <w:rPr>
                <w:rFonts w:ascii="宋体" w:hAnsi="宋体"/>
                <w:sz w:val="21"/>
                <w:lang w:eastAsia="en-US"/>
              </w:rPr>
              <w:t>套</w:t>
            </w:r>
          </w:p>
        </w:tc>
        <w:tc>
          <w:tcPr>
            <w:tcW w:w="3260" w:type="dxa"/>
          </w:tcPr>
          <w:p>
            <w:pPr>
              <w:spacing w:after="0"/>
            </w:pPr>
            <w:r>
              <w:rPr>
                <w:rFonts w:ascii="宋体" w:hAnsi="宋体"/>
                <w:sz w:val="21"/>
              </w:rPr>
              <w:t>易损件、小五金、板材、胶等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</w:pPr>
          </w:p>
        </w:tc>
        <w:tc>
          <w:tcPr>
            <w:tcW w:w="141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after="0"/>
            </w:pPr>
          </w:p>
        </w:tc>
        <w:tc>
          <w:tcPr>
            <w:tcW w:w="2835" w:type="dxa"/>
            <w:tcBorders>
              <w:left w:val="single" w:color="auto" w:sz="4" w:space="0"/>
            </w:tcBorders>
          </w:tcPr>
          <w:p>
            <w:pPr>
              <w:spacing w:after="0"/>
              <w:rPr>
                <w:rFonts w:ascii="宋体"/>
              </w:rPr>
            </w:pPr>
            <w:r>
              <w:rPr>
                <w:rFonts w:ascii="宋体" w:hAnsi="宋体"/>
                <w:sz w:val="21"/>
              </w:rPr>
              <w:t>涂装辅助材料，</w:t>
            </w:r>
            <w:r>
              <w:rPr>
                <w:rFonts w:ascii="宋体" w:hAnsiTheme="minorHAnsi"/>
                <w:spacing w:val="1"/>
                <w:sz w:val="21"/>
              </w:rPr>
              <w:t>JSV</w:t>
            </w:r>
          </w:p>
        </w:tc>
        <w:tc>
          <w:tcPr>
            <w:tcW w:w="850" w:type="dxa"/>
          </w:tcPr>
          <w:p>
            <w:pPr>
              <w:spacing w:after="0"/>
            </w:pPr>
            <w:r>
              <w:rPr>
                <w:rFonts w:ascii="宋体" w:hAnsiTheme="minorHAnsi"/>
                <w:spacing w:val="53"/>
                <w:sz w:val="21"/>
                <w:lang w:eastAsia="en-US"/>
              </w:rPr>
              <w:t>1</w:t>
            </w:r>
            <w:r>
              <w:rPr>
                <w:rFonts w:ascii="宋体" w:hAnsi="宋体"/>
                <w:sz w:val="21"/>
                <w:lang w:eastAsia="en-US"/>
              </w:rPr>
              <w:t>套</w:t>
            </w:r>
          </w:p>
        </w:tc>
        <w:tc>
          <w:tcPr>
            <w:tcW w:w="3260" w:type="dxa"/>
          </w:tcPr>
          <w:p>
            <w:pPr>
              <w:spacing w:after="0"/>
            </w:pPr>
            <w:r>
              <w:rPr>
                <w:rFonts w:ascii="宋体" w:hAnsi="宋体"/>
                <w:sz w:val="21"/>
              </w:rPr>
              <w:t>钣金件电泳、还氧、喷漆等</w:t>
            </w:r>
          </w:p>
        </w:tc>
      </w:tr>
    </w:tbl>
    <w:p>
      <w:pPr>
        <w:rPr>
          <w:b/>
        </w:rPr>
      </w:pPr>
      <w:r>
        <w:rPr>
          <w:rFonts w:hint="eastAsia"/>
          <w:b/>
        </w:rPr>
        <w:t>四、参考图片</w:t>
      </w:r>
    </w:p>
    <w:p>
      <w:pPr>
        <w:rPr>
          <w:rFonts w:eastAsiaTheme="minorEastAsia"/>
        </w:rPr>
      </w:pPr>
      <w:r>
        <w:rPr>
          <w:rFonts w:eastAsiaTheme="minorEastAsia"/>
        </w:rPr>
        <w:drawing>
          <wp:inline distT="0" distB="0" distL="0" distR="0">
            <wp:extent cx="5274310" cy="3249930"/>
            <wp:effectExtent l="0" t="0" r="2540" b="7620"/>
            <wp:docPr id="4" name="图片 4" descr="C:\Users\Administrator\Desktop\QQ截图20200525161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Desktop\QQ截图2020052516120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  <w:r>
        <w:rPr>
          <w:rFonts w:hint="eastAsia" w:eastAsiaTheme="minorEastAsia"/>
        </w:rPr>
        <w:drawing>
          <wp:inline distT="0" distB="0" distL="0" distR="0">
            <wp:extent cx="5274310" cy="481965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  <w:r>
        <w:rPr>
          <w:rFonts w:hint="eastAsia" w:eastAsiaTheme="minorEastAsia"/>
        </w:rPr>
        <w:drawing>
          <wp:inline distT="0" distB="0" distL="0" distR="0">
            <wp:extent cx="5274310" cy="3593465"/>
            <wp:effectExtent l="0" t="0" r="254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</w:p>
    <w:p>
      <w:pPr>
        <w:rPr>
          <w:rFonts w:eastAsiaTheme="minorEastAsia"/>
        </w:rPr>
      </w:pPr>
      <w:r>
        <w:rPr>
          <w:rFonts w:hint="eastAsia" w:eastAsiaTheme="minorEastAsia"/>
        </w:rPr>
        <w:drawing>
          <wp:inline distT="0" distB="0" distL="0" distR="0">
            <wp:extent cx="5343525" cy="3448050"/>
            <wp:effectExtent l="0" t="0" r="952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3986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spacing w:val="1"/>
        </w:rPr>
      </w:pPr>
    </w:p>
    <w:p>
      <w:pPr>
        <w:pStyle w:val="2"/>
        <w:rPr>
          <w:rFonts w:hint="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pacing w:beforeLines="50" w:line="360" w:lineRule="auto"/>
        <w:rPr>
          <w:rFonts w:ascii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79" w:lineRule="exact"/>
        <w:textAlignment w:val="auto"/>
        <w:rPr>
          <w:rFonts w:hint="default" w:hAnsi="Calibri"/>
          <w:b/>
          <w:color w:val="000000"/>
          <w:lang w:val="en-US" w:eastAsia="zh-CN"/>
        </w:rPr>
      </w:pPr>
    </w:p>
    <w:p>
      <w:pPr>
        <w:jc w:val="left"/>
        <w:rPr>
          <w:rFonts w:ascii="宋体" w:hAnsi="宋体" w:eastAsia="宋体" w:cs="宋体"/>
          <w:b/>
          <w:bCs/>
          <w:color w:val="000000"/>
          <w:sz w:val="30"/>
          <w:szCs w:val="30"/>
        </w:rPr>
      </w:pPr>
      <w:r>
        <w:rPr>
          <w:rFonts w:hint="eastAsia" w:ascii="宋体" w:hAnsi="宋体" w:eastAsia="宋体" w:cs="宋体"/>
          <w:b/>
          <w:bCs/>
          <w:color w:val="000000"/>
          <w:sz w:val="30"/>
          <w:szCs w:val="30"/>
        </w:rPr>
        <w:t>附表3：</w:t>
      </w:r>
    </w:p>
    <w:p>
      <w:pPr>
        <w:rPr>
          <w:rFonts w:ascii="宋体" w:hAnsi="宋体" w:eastAsia="宋体" w:cs="宋体"/>
          <w:b/>
          <w:bCs/>
          <w:color w:val="00000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color w:val="000000"/>
          <w:sz w:val="32"/>
          <w:szCs w:val="32"/>
        </w:rPr>
        <w:t>1.1车辆选型改装</w:t>
      </w:r>
    </w:p>
    <w:p>
      <w:pPr>
        <w:rPr>
          <w:rFonts w:ascii="宋体" w:hAnsi="宋体" w:cs="宋体"/>
          <w:sz w:val="28"/>
          <w:szCs w:val="28"/>
        </w:rPr>
      </w:pPr>
      <w:r>
        <w:rPr>
          <w:rFonts w:hint="eastAsia"/>
          <w:sz w:val="28"/>
          <w:szCs w:val="28"/>
        </w:rPr>
        <w:t xml:space="preserve">    根据要求及综合考评车辆对承载空间、性能参数和技术条件的实际需求，</w:t>
      </w:r>
      <w:r>
        <w:rPr>
          <w:rFonts w:hint="eastAsia" w:ascii="宋体" w:hAnsi="宋体" w:cs="宋体"/>
          <w:sz w:val="28"/>
          <w:szCs w:val="28"/>
        </w:rPr>
        <w:t>基础车型车技术参数详见下表。</w:t>
      </w:r>
    </w:p>
    <w:tbl>
      <w:tblPr>
        <w:tblStyle w:val="11"/>
        <w:tblW w:w="8333" w:type="dxa"/>
        <w:jc w:val="center"/>
        <w:tblCellSpacing w:w="7" w:type="dxa"/>
        <w:tblInd w:w="0" w:type="dxa"/>
        <w:shd w:val="clear" w:color="auto" w:fill="DDE3E6"/>
        <w:tblLayout w:type="fixed"/>
        <w:tblCellMar>
          <w:top w:w="45" w:type="dxa"/>
          <w:left w:w="0" w:type="dxa"/>
          <w:bottom w:w="0" w:type="dxa"/>
          <w:right w:w="0" w:type="dxa"/>
        </w:tblCellMar>
      </w:tblPr>
      <w:tblGrid>
        <w:gridCol w:w="1646"/>
        <w:gridCol w:w="2314"/>
        <w:gridCol w:w="1401"/>
        <w:gridCol w:w="2972"/>
      </w:tblGrid>
      <w:tr>
        <w:tblPrEx>
          <w:shd w:val="clear" w:color="auto" w:fill="DDE3E6"/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8305" w:type="dxa"/>
            <w:gridSpan w:val="4"/>
            <w:shd w:val="clear" w:color="auto" w:fill="FDECE8"/>
            <w:vAlign w:val="center"/>
          </w:tcPr>
          <w:p>
            <w:pPr>
              <w:widowControl/>
              <w:shd w:val="clear" w:color="auto" w:fill="FDECE8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333333"/>
                <w:kern w:val="0"/>
                <w:sz w:val="18"/>
                <w:szCs w:val="18"/>
              </w:rPr>
              <w:t>主要技术参数</w:t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外形尺寸：</w:t>
            </w:r>
          </w:p>
        </w:tc>
        <w:tc>
          <w:tcPr>
            <w:tcW w:w="2300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5780×2000×2590(mm)</w:t>
            </w:r>
            <w:r>
              <w:fldChar w:fldCharType="begin"/>
            </w:r>
            <w:r>
              <w:instrText xml:space="preserve"> HYPERLINK "http://www.chinacar.com.cn/newsview88290.html" \l "sm2" \t "http://www.chinacar.com.cn/ggcx_new/_blank" </w:instrText>
            </w:r>
            <w:r>
              <w:fldChar w:fldCharType="separate"/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t> </w:t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货厢尺寸：</w:t>
            </w:r>
          </w:p>
        </w:tc>
        <w:tc>
          <w:tcPr>
            <w:tcW w:w="2951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××(mm)</w:t>
            </w:r>
            <w:r>
              <w:fldChar w:fldCharType="begin"/>
            </w:r>
            <w:r>
              <w:instrText xml:space="preserve"> HYPERLINK "http://www.chinacar.com.cn/newsview88290.html" \l "sm2" \t "http://www.chinacar.com.cn/ggcx_new/_blank" </w:instrText>
            </w:r>
            <w:r>
              <w:fldChar w:fldCharType="separate"/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t> </w:t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fldChar w:fldCharType="end"/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总质量：</w:t>
            </w:r>
          </w:p>
        </w:tc>
        <w:tc>
          <w:tcPr>
            <w:tcW w:w="2300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3700(Kg)</w:t>
            </w:r>
            <w:r>
              <w:fldChar w:fldCharType="begin"/>
            </w:r>
            <w:r>
              <w:instrText xml:space="preserve"> HYPERLINK "http://www.chinacar.com.cn/newsview88290.html" \l "sm3" \t "http://www.chinacar.com.cn/ggcx_new/_blank" </w:instrText>
            </w:r>
            <w:r>
              <w:fldChar w:fldCharType="separate"/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t> </w:t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87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载质量利用系数：</w:t>
            </w:r>
          </w:p>
        </w:tc>
        <w:tc>
          <w:tcPr>
            <w:tcW w:w="2951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0</w:t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整备质量：</w:t>
            </w:r>
          </w:p>
        </w:tc>
        <w:tc>
          <w:tcPr>
            <w:tcW w:w="2300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2445(Kg)</w:t>
            </w:r>
            <w:r>
              <w:fldChar w:fldCharType="begin"/>
            </w:r>
            <w:r>
              <w:instrText xml:space="preserve"> HYPERLINK "http://www.chinacar.com.cn/newsview88290.html" \l "sm3" \t "http://www.chinacar.com.cn/ggcx_new/_blank" </w:instrText>
            </w:r>
            <w:r>
              <w:fldChar w:fldCharType="separate"/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t> </w:t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额定载质量：</w:t>
            </w:r>
          </w:p>
        </w:tc>
        <w:tc>
          <w:tcPr>
            <w:tcW w:w="2951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(Kg)</w:t>
            </w:r>
            <w:r>
              <w:fldChar w:fldCharType="begin"/>
            </w:r>
            <w:r>
              <w:instrText xml:space="preserve"> HYPERLINK "http://www.chinacar.com.cn/newsview88290.html" \l "sm3" \t "http://www.chinacar.com.cn/ggcx_new/_blank" </w:instrText>
            </w:r>
            <w:r>
              <w:fldChar w:fldCharType="separate"/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t> </w:t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fldChar w:fldCharType="end"/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驾驶室：</w:t>
            </w:r>
          </w:p>
        </w:tc>
        <w:tc>
          <w:tcPr>
            <w:tcW w:w="2300" w:type="dxa"/>
            <w:shd w:val="clear" w:color="auto" w:fill="FFFFFF"/>
            <w:vAlign w:val="center"/>
          </w:tcPr>
          <w:p>
            <w:pPr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前排乘客：</w:t>
            </w:r>
          </w:p>
        </w:tc>
        <w:tc>
          <w:tcPr>
            <w:tcW w:w="2951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(人)</w:t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额定载客：</w:t>
            </w:r>
          </w:p>
        </w:tc>
        <w:tc>
          <w:tcPr>
            <w:tcW w:w="2300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10-15(人)</w:t>
            </w:r>
          </w:p>
        </w:tc>
        <w:tc>
          <w:tcPr>
            <w:tcW w:w="1387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防抱死系统：</w:t>
            </w:r>
          </w:p>
        </w:tc>
        <w:tc>
          <w:tcPr>
            <w:tcW w:w="2951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有</w:t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接近角/离去角：</w:t>
            </w:r>
          </w:p>
        </w:tc>
        <w:tc>
          <w:tcPr>
            <w:tcW w:w="2300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22/24(°)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前悬/后悬：</w:t>
            </w:r>
          </w:p>
        </w:tc>
        <w:tc>
          <w:tcPr>
            <w:tcW w:w="2951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933/1097(mm)</w:t>
            </w:r>
            <w:r>
              <w:fldChar w:fldCharType="begin"/>
            </w:r>
            <w:r>
              <w:instrText xml:space="preserve"> HYPERLINK "http://www.chinacar.com.cn/newsview88290.html" \l "sm2" \t "http://www.chinacar.com.cn/ggcx_new/_blank" </w:instrText>
            </w:r>
            <w:r>
              <w:fldChar w:fldCharType="separate"/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t> </w:t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fldChar w:fldCharType="end"/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轴荷：</w:t>
            </w:r>
          </w:p>
        </w:tc>
        <w:tc>
          <w:tcPr>
            <w:tcW w:w="2300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1700/2000</w:t>
            </w:r>
          </w:p>
        </w:tc>
        <w:tc>
          <w:tcPr>
            <w:tcW w:w="1387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轴距：</w:t>
            </w:r>
          </w:p>
        </w:tc>
        <w:tc>
          <w:tcPr>
            <w:tcW w:w="2951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3750(mm)</w:t>
            </w:r>
            <w:r>
              <w:fldChar w:fldCharType="begin"/>
            </w:r>
            <w:r>
              <w:instrText xml:space="preserve"> HYPERLINK "http://www.chinacar.com.cn/newsview88290.html" \l "sm2" \t "http://www.chinacar.com.cn/ggcx_new/_blank" </w:instrText>
            </w:r>
            <w:r>
              <w:fldChar w:fldCharType="separate"/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t> </w:t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fldChar w:fldCharType="end"/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轴数：</w:t>
            </w:r>
          </w:p>
        </w:tc>
        <w:tc>
          <w:tcPr>
            <w:tcW w:w="2300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2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最高车速：</w:t>
            </w:r>
          </w:p>
        </w:tc>
        <w:tc>
          <w:tcPr>
            <w:tcW w:w="2951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145(km/h)</w:t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油耗：</w:t>
            </w:r>
          </w:p>
        </w:tc>
        <w:tc>
          <w:tcPr>
            <w:tcW w:w="2300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12.0</w:t>
            </w:r>
          </w:p>
        </w:tc>
        <w:tc>
          <w:tcPr>
            <w:tcW w:w="1387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弹簧片数：</w:t>
            </w:r>
          </w:p>
        </w:tc>
        <w:tc>
          <w:tcPr>
            <w:tcW w:w="2951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-/2</w:t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轮胎数：</w:t>
            </w:r>
          </w:p>
        </w:tc>
        <w:tc>
          <w:tcPr>
            <w:tcW w:w="2300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4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轮胎规格：</w:t>
            </w:r>
          </w:p>
        </w:tc>
        <w:tc>
          <w:tcPr>
            <w:tcW w:w="2951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215/75R16LT</w:t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前轮距：</w:t>
            </w:r>
          </w:p>
        </w:tc>
        <w:tc>
          <w:tcPr>
            <w:tcW w:w="2300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1740</w:t>
            </w:r>
            <w:r>
              <w:fldChar w:fldCharType="begin"/>
            </w:r>
            <w:r>
              <w:instrText xml:space="preserve"> HYPERLINK "http://www.chinacar.com.cn/newsview88290.html" \l "sm2" \t "http://www.chinacar.com.cn/ggcx_new/_blank" </w:instrText>
            </w:r>
            <w:r>
              <w:fldChar w:fldCharType="separate"/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t> </w:t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fldChar w:fldCharType="end"/>
            </w:r>
          </w:p>
        </w:tc>
        <w:tc>
          <w:tcPr>
            <w:tcW w:w="1387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后轮距：</w:t>
            </w:r>
          </w:p>
        </w:tc>
        <w:tc>
          <w:tcPr>
            <w:tcW w:w="2951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1704</w:t>
            </w:r>
            <w:r>
              <w:fldChar w:fldCharType="begin"/>
            </w:r>
            <w:r>
              <w:instrText xml:space="preserve"> HYPERLINK "http://www.chinacar.com.cn/newsview88290.html" \l "sm2" \t "http://www.chinacar.com.cn/ggcx_new/_blank" </w:instrText>
            </w:r>
            <w:r>
              <w:fldChar w:fldCharType="separate"/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t> </w:t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fldChar w:fldCharType="end"/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制动前：</w:t>
            </w:r>
          </w:p>
        </w:tc>
        <w:tc>
          <w:tcPr>
            <w:tcW w:w="2300" w:type="dxa"/>
            <w:shd w:val="clear" w:color="auto" w:fill="FFFFFF"/>
            <w:vAlign w:val="center"/>
          </w:tcPr>
          <w:p>
            <w:pPr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制动后：</w:t>
            </w:r>
          </w:p>
        </w:tc>
        <w:tc>
          <w:tcPr>
            <w:tcW w:w="2951" w:type="dxa"/>
            <w:shd w:val="clear" w:color="auto" w:fill="FFFFFF"/>
            <w:vAlign w:val="center"/>
          </w:tcPr>
          <w:p>
            <w:pPr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制操前：</w:t>
            </w:r>
          </w:p>
        </w:tc>
        <w:tc>
          <w:tcPr>
            <w:tcW w:w="2300" w:type="dxa"/>
            <w:shd w:val="clear" w:color="auto" w:fill="F7F7F7"/>
            <w:vAlign w:val="center"/>
          </w:tcPr>
          <w:p>
            <w:pPr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制操后：</w:t>
            </w:r>
          </w:p>
        </w:tc>
        <w:tc>
          <w:tcPr>
            <w:tcW w:w="2951" w:type="dxa"/>
            <w:shd w:val="clear" w:color="auto" w:fill="F7F7F7"/>
            <w:vAlign w:val="center"/>
          </w:tcPr>
          <w:p>
            <w:pPr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转向形式：</w:t>
            </w:r>
          </w:p>
        </w:tc>
        <w:tc>
          <w:tcPr>
            <w:tcW w:w="2300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方向盘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起动方式：</w:t>
            </w:r>
          </w:p>
        </w:tc>
        <w:tc>
          <w:tcPr>
            <w:tcW w:w="2951" w:type="dxa"/>
            <w:shd w:val="clear" w:color="auto" w:fill="FFFFFF"/>
            <w:vAlign w:val="center"/>
          </w:tcPr>
          <w:p>
            <w:pPr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传动型式：</w:t>
            </w:r>
          </w:p>
        </w:tc>
        <w:tc>
          <w:tcPr>
            <w:tcW w:w="2300" w:type="dxa"/>
            <w:shd w:val="clear" w:color="auto" w:fill="F7F7F7"/>
            <w:vAlign w:val="center"/>
          </w:tcPr>
          <w:p>
            <w:pPr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</w:p>
        </w:tc>
        <w:tc>
          <w:tcPr>
            <w:tcW w:w="1387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油耗(L/100Km)：</w:t>
            </w:r>
          </w:p>
        </w:tc>
        <w:tc>
          <w:tcPr>
            <w:tcW w:w="2951" w:type="dxa"/>
            <w:shd w:val="clear" w:color="auto" w:fill="F7F7F7"/>
            <w:vAlign w:val="center"/>
          </w:tcPr>
          <w:p>
            <w:pPr>
              <w:widowControl/>
              <w:shd w:val="clear" w:color="auto" w:fill="F7F7F7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12.0</w:t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1" w:hRule="atLeast"/>
          <w:tblCellSpacing w:w="7" w:type="dxa"/>
          <w:jc w:val="center"/>
        </w:trPr>
        <w:tc>
          <w:tcPr>
            <w:tcW w:w="1625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fldChar w:fldCharType="begin"/>
            </w:r>
            <w:r>
              <w:instrText xml:space="preserve"> HYPERLINK "http://www.chinacar.com.cn/vin_index.html" \t "http://www.chinacar.com.cn/ggcx_new/_blank" \o "Vin识别代号查询" </w:instrText>
            </w:r>
            <w:r>
              <w:fldChar w:fldCharType="separate"/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t>Vin车辆识别代码</w:t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fldChar w:fldCharType="end"/>
            </w: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：</w:t>
            </w:r>
          </w:p>
        </w:tc>
        <w:tc>
          <w:tcPr>
            <w:tcW w:w="6666" w:type="dxa"/>
            <w:gridSpan w:val="3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LJXBMDJD×××××××××</w:t>
            </w: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br w:type="textWrapping"/>
            </w: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LJXBHDJD×××××××××</w:t>
            </w:r>
            <w:r>
              <w:fldChar w:fldCharType="begin"/>
            </w:r>
            <w:r>
              <w:instrText xml:space="preserve"> HYPERLINK "http://www.chinacar.com.cn/newsview88218.html" \t "http://www.chinacar.com.cn/ggcx_new/_blank" </w:instrText>
            </w:r>
            <w:r>
              <w:fldChar w:fldCharType="separate"/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t>法律法规</w:t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fldChar w:fldCharType="end"/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8305" w:type="dxa"/>
            <w:gridSpan w:val="4"/>
            <w:shd w:val="clear" w:color="auto" w:fill="FDECE8"/>
            <w:vAlign w:val="center"/>
          </w:tcPr>
          <w:p>
            <w:pPr>
              <w:widowControl/>
              <w:shd w:val="clear" w:color="auto" w:fill="FDECE8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333333"/>
                <w:kern w:val="0"/>
                <w:sz w:val="18"/>
                <w:szCs w:val="18"/>
              </w:rPr>
              <w:t>发动机参数</w:t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3939" w:type="dxa"/>
            <w:gridSpan w:val="2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发动机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排量(ml)</w:t>
            </w:r>
          </w:p>
        </w:tc>
        <w:tc>
          <w:tcPr>
            <w:tcW w:w="2951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功率(kw)</w:t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3939" w:type="dxa"/>
            <w:gridSpan w:val="2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DURATORQ4D225H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2198</w:t>
            </w:r>
          </w:p>
        </w:tc>
        <w:tc>
          <w:tcPr>
            <w:tcW w:w="2951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100</w:t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8305" w:type="dxa"/>
            <w:gridSpan w:val="4"/>
            <w:shd w:val="clear" w:color="auto" w:fill="FDECE8"/>
            <w:vAlign w:val="center"/>
          </w:tcPr>
          <w:p>
            <w:pPr>
              <w:widowControl/>
              <w:shd w:val="clear" w:color="auto" w:fill="FDECE8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b/>
                <w:color w:val="333333"/>
                <w:kern w:val="0"/>
                <w:sz w:val="18"/>
                <w:szCs w:val="18"/>
              </w:rPr>
              <w:t>车辆燃料参数</w:t>
            </w:r>
          </w:p>
        </w:tc>
      </w:tr>
      <w:tr>
        <w:tblPrEx>
          <w:tblLayout w:type="fixed"/>
          <w:tblCellMar>
            <w:top w:w="45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tblCellSpacing w:w="7" w:type="dxa"/>
          <w:jc w:val="center"/>
        </w:trPr>
        <w:tc>
          <w:tcPr>
            <w:tcW w:w="1625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燃料种类：</w:t>
            </w:r>
          </w:p>
        </w:tc>
        <w:tc>
          <w:tcPr>
            <w:tcW w:w="2300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柴油</w:t>
            </w:r>
          </w:p>
        </w:tc>
        <w:tc>
          <w:tcPr>
            <w:tcW w:w="1387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依据标准：</w:t>
            </w:r>
          </w:p>
        </w:tc>
        <w:tc>
          <w:tcPr>
            <w:tcW w:w="2951" w:type="dxa"/>
            <w:shd w:val="clear" w:color="auto" w:fill="FFFFFF"/>
            <w:vAlign w:val="center"/>
          </w:tcPr>
          <w:p>
            <w:pPr>
              <w:widowControl/>
              <w:shd w:val="clear" w:color="auto" w:fill="FFFFFF"/>
              <w:wordWrap w:val="0"/>
              <w:spacing w:line="300" w:lineRule="atLeast"/>
              <w:jc w:val="left"/>
              <w:rPr>
                <w:rFonts w:ascii="Arial" w:hAnsi="Arial" w:cs="Arial"/>
                <w:color w:val="333333"/>
                <w:sz w:val="18"/>
                <w:szCs w:val="18"/>
              </w:rPr>
            </w:pPr>
            <w:r>
              <w:rPr>
                <w:rFonts w:ascii="Arial" w:hAnsi="Arial" w:eastAsia="宋体" w:cs="Arial"/>
                <w:color w:val="333333"/>
                <w:kern w:val="0"/>
                <w:sz w:val="18"/>
                <w:szCs w:val="18"/>
              </w:rPr>
              <w:t>GB17691-2005(国V),GB3847-2005</w:t>
            </w:r>
            <w:r>
              <w:fldChar w:fldCharType="begin"/>
            </w:r>
            <w:r>
              <w:instrText xml:space="preserve"> HYPERLINK "http://www.chinacar.com.cn/newsview88290.html" \l "sm4" \t "http://www.chinacar.com.cn/ggcx_new/_blank" </w:instrText>
            </w:r>
            <w:r>
              <w:fldChar w:fldCharType="separate"/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t> </w:t>
            </w:r>
            <w:r>
              <w:rPr>
                <w:rStyle w:val="16"/>
                <w:rFonts w:ascii="Arial" w:hAnsi="Arial" w:eastAsia="宋体" w:cs="Arial"/>
                <w:color w:val="333333"/>
                <w:sz w:val="18"/>
                <w:szCs w:val="18"/>
              </w:rPr>
              <w:fldChar w:fldCharType="end"/>
            </w:r>
          </w:p>
        </w:tc>
      </w:tr>
    </w:tbl>
    <w:p>
      <w:pPr>
        <w:jc w:val="left"/>
        <w:rPr>
          <w:rFonts w:ascii="宋体" w:hAnsi="宋体" w:eastAsia="宋体" w:cs="宋体"/>
          <w:b/>
          <w:sz w:val="32"/>
          <w:szCs w:val="32"/>
        </w:rPr>
      </w:pPr>
    </w:p>
    <w:p>
      <w:pPr>
        <w:jc w:val="left"/>
        <w:rPr>
          <w:rFonts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1.2车辆概述</w:t>
      </w:r>
    </w:p>
    <w:p>
      <w:pPr>
        <w:spacing w:line="360" w:lineRule="auto"/>
        <w:ind w:firstLine="560" w:firstLineChars="200"/>
        <w:rPr>
          <w:rFonts w:ascii="宋体" w:hAnsi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EastAsia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该型</w:t>
      </w:r>
      <w:r>
        <w:rPr>
          <w:rFonts w:hint="eastAsia" w:ascii="宋体" w:hAnsi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交通执法站</w:t>
      </w:r>
      <w:r>
        <w:rPr>
          <w:rFonts w:hint="eastAsia" w:ascii="宋体" w:hAnsi="宋体" w:cstheme="minorEastAsia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用于现场</w:t>
      </w:r>
      <w:r>
        <w:rPr>
          <w:rFonts w:hint="eastAsia" w:ascii="宋体" w:hAnsi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办公</w:t>
      </w:r>
      <w:r>
        <w:rPr>
          <w:rFonts w:hint="eastAsia" w:ascii="宋体" w:hAnsi="宋体" w:cstheme="minorEastAsia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、图像釆集、处理和传输，为指挥人员提供直观的现场图像和相关信息。</w:t>
      </w:r>
    </w:p>
    <w:p>
      <w:pPr>
        <w:spacing w:line="360" w:lineRule="auto"/>
        <w:ind w:firstLine="560" w:firstLineChars="200"/>
        <w:rPr>
          <w:rFonts w:ascii="宋体" w:hAnsi="宋体" w:cstheme="minorEastAsia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该型交通执法站</w:t>
      </w:r>
      <w:r>
        <w:rPr>
          <w:rFonts w:hint="eastAsia" w:ascii="宋体" w:hAnsi="宋体" w:cstheme="minorEastAsia"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可搭载装备：图像釆集传输系统、实时监控及摄像设备、广播系统、警示警报设备、照明设备、供电系统、现场办公设备等。</w:t>
      </w:r>
    </w:p>
    <w:p>
      <w:pPr>
        <w:pStyle w:val="29"/>
        <w:spacing w:line="360" w:lineRule="auto"/>
        <w:ind w:firstLine="560" w:firstLineChars="200"/>
        <w:rPr>
          <w:rFonts w:ascii="宋体" w:hAnsi="宋体" w:eastAsia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另还创新性的搭载了电器集中控制系统、生活辅助设施（沙发、饮水机）、装备存放设施（装备柜）、车身防护功能（装甲杠、防掀翻锯齿）、冷暖空调系统、逆变电源、外接电源双电源系统、LED宣传功能等。</w:t>
      </w:r>
    </w:p>
    <w:p>
      <w:pPr>
        <w:spacing w:line="360" w:lineRule="auto"/>
        <w:ind w:firstLine="562" w:firstLineChars="200"/>
        <w:rPr>
          <w:rFonts w:ascii="宋体" w:hAnsi="宋体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（2）</w:t>
      </w:r>
      <w:r>
        <w:rPr>
          <w:rFonts w:hint="eastAsia" w:ascii="宋体" w:hAnsi="宋体" w:cstheme="minorEastAsia"/>
          <w:b/>
          <w:bCs/>
          <w:color w:val="000000" w:themeColor="text1"/>
          <w:sz w:val="28"/>
          <w:szCs w:val="28"/>
          <w:lang w:val="zh-CN"/>
          <w14:textFill>
            <w14:solidFill>
              <w14:schemeClr w14:val="tx1"/>
            </w14:solidFill>
          </w14:textFill>
        </w:rPr>
        <w:t>功能用途</w:t>
      </w:r>
      <w:r>
        <w:rPr>
          <w:rFonts w:hint="eastAsia" w:ascii="宋体" w:hAnsi="宋体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spacing w:line="360" w:lineRule="auto"/>
        <w:ind w:firstLine="560" w:firstLineChars="200"/>
        <w:rPr>
          <w:rFonts w:ascii="宋体" w:hAnsi="宋体"/>
          <w:color w:val="000000"/>
          <w:sz w:val="28"/>
          <w:szCs w:val="28"/>
          <w:lang w:val="zh-CN"/>
        </w:rPr>
      </w:pPr>
      <w:r>
        <w:rPr>
          <w:rFonts w:ascii="宋体" w:hAnsi="宋体"/>
          <w:color w:val="000000"/>
          <w:sz w:val="28"/>
          <w:szCs w:val="28"/>
          <w:lang w:val="zh-CN"/>
        </w:rPr>
        <w:t>1</w:t>
      </w:r>
      <w:r>
        <w:rPr>
          <w:rFonts w:hint="eastAsia" w:ascii="宋体" w:hAnsi="宋体" w:cs="宋体"/>
          <w:color w:val="000000"/>
          <w:sz w:val="28"/>
          <w:szCs w:val="28"/>
          <w:lang w:val="zh-CN"/>
        </w:rPr>
        <w:t>、主要功能：通过专网快速建立与指挥中心现场的视频、音频、数据通道，实现可视化指挥，用于现场指挥</w:t>
      </w:r>
      <w:r>
        <w:rPr>
          <w:rFonts w:hint="eastAsia" w:ascii="宋体" w:hAnsi="宋体" w:cs="宋体"/>
          <w:color w:val="000000"/>
          <w:sz w:val="28"/>
          <w:szCs w:val="28"/>
        </w:rPr>
        <w:t>办公</w:t>
      </w:r>
      <w:r>
        <w:rPr>
          <w:rFonts w:hint="eastAsia" w:ascii="宋体" w:hAnsi="宋体" w:cs="宋体"/>
          <w:color w:val="000000"/>
          <w:sz w:val="28"/>
          <w:szCs w:val="28"/>
          <w:lang w:val="zh-CN"/>
        </w:rPr>
        <w:t>、图像釆集、处理和传输，为指挥人员提供直观的现场图像和相关信息，实现各类案事件现场指挥。</w:t>
      </w:r>
    </w:p>
    <w:p>
      <w:pPr>
        <w:spacing w:line="360" w:lineRule="auto"/>
        <w:ind w:firstLine="562" w:firstLineChars="200"/>
        <w:rPr>
          <w:rFonts w:ascii="宋体" w:hAnsi="宋体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（3）创新功能：</w:t>
      </w:r>
    </w:p>
    <w:p>
      <w:pPr>
        <w:pStyle w:val="29"/>
        <w:spacing w:line="360" w:lineRule="auto"/>
        <w:ind w:firstLine="560" w:firstLineChars="200"/>
        <w:rPr>
          <w:rFonts w:ascii="宋体" w:hAnsi="宋体" w:eastAsia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1.电器集中控制系统；</w:t>
      </w:r>
    </w:p>
    <w:p>
      <w:pPr>
        <w:pStyle w:val="29"/>
        <w:spacing w:line="360" w:lineRule="auto"/>
        <w:ind w:firstLine="560" w:firstLineChars="200"/>
        <w:rPr>
          <w:rFonts w:ascii="宋体" w:hAnsi="宋体" w:eastAsia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2.生活辅助设施（沙发、饮水机）；</w:t>
      </w:r>
    </w:p>
    <w:p>
      <w:pPr>
        <w:pStyle w:val="29"/>
        <w:spacing w:line="360" w:lineRule="auto"/>
        <w:ind w:firstLine="560" w:firstLineChars="200"/>
        <w:rPr>
          <w:rFonts w:ascii="宋体" w:hAnsi="宋体" w:eastAsia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3.车身防护功能（装甲杠、防掀翻锯齿）；</w:t>
      </w:r>
    </w:p>
    <w:p>
      <w:pPr>
        <w:pStyle w:val="29"/>
        <w:spacing w:line="360" w:lineRule="auto"/>
        <w:ind w:firstLine="560" w:firstLineChars="200"/>
        <w:rPr>
          <w:rFonts w:ascii="宋体" w:hAnsi="宋体" w:eastAsia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4.冷暖空调系统；</w:t>
      </w:r>
    </w:p>
    <w:p>
      <w:pPr>
        <w:pStyle w:val="29"/>
        <w:spacing w:line="360" w:lineRule="auto"/>
        <w:ind w:firstLine="560" w:firstLineChars="200"/>
        <w:rPr>
          <w:rFonts w:ascii="宋体" w:hAnsi="宋体" w:eastAsia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5.逆变电源、外接电源双电源系统；</w:t>
      </w:r>
    </w:p>
    <w:p>
      <w:pPr>
        <w:spacing w:line="360" w:lineRule="auto"/>
        <w:ind w:firstLine="560" w:firstLineChars="200"/>
        <w:rPr>
          <w:rFonts w:asciiTheme="minorEastAsia" w:hAnsiTheme="minorEastAsia" w:cstheme="minorEastAsia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theme="minor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6.LED宣传功能</w:t>
      </w:r>
      <w:r>
        <w:rPr>
          <w:rFonts w:hint="eastAsia" w:ascii="宋体" w:hAnsi="宋体" w:cstheme="minorEastAsia"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jc w:val="left"/>
        <w:rPr>
          <w:rFonts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1.3外观效果</w:t>
      </w:r>
    </w:p>
    <w:p>
      <w:pPr>
        <w:jc w:val="center"/>
        <w:rPr>
          <w:rFonts w:ascii="宋体" w:hAnsi="宋体" w:eastAsia="宋体" w:cs="宋体"/>
          <w:b/>
          <w:sz w:val="32"/>
          <w:szCs w:val="32"/>
        </w:rPr>
      </w:pPr>
      <w:r>
        <w:rPr>
          <w:rFonts w:ascii="宋体" w:hAnsi="宋体" w:eastAsia="宋体" w:cs="宋体"/>
          <w:b/>
          <w:sz w:val="32"/>
          <w:szCs w:val="32"/>
        </w:rPr>
        <w:drawing>
          <wp:inline distT="0" distB="0" distL="0" distR="0">
            <wp:extent cx="5051425" cy="3280410"/>
            <wp:effectExtent l="0" t="0" r="15875" b="15240"/>
            <wp:docPr id="2" name="图片 2" descr="C:\Users\Administrator\Desktop\QQ截图202005251615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QQ截图20200525161538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649" cy="328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szCs w:val="21"/>
        </w:rPr>
        <w:t>前45度</w:t>
      </w:r>
    </w:p>
    <w:p>
      <w:pPr>
        <w:jc w:val="center"/>
        <w:rPr>
          <w:rFonts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drawing>
          <wp:inline distT="0" distB="0" distL="114300" distR="114300">
            <wp:extent cx="4937760" cy="3680460"/>
            <wp:effectExtent l="0" t="0" r="15240" b="15240"/>
            <wp:docPr id="14" name="图片 14" descr="交通执法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交通执法后"/>
                    <pic:cNvPicPr>
                      <a:picLocks noChangeAspect="1"/>
                    </pic:cNvPicPr>
                  </pic:nvPicPr>
                  <pic:blipFill>
                    <a:blip r:embed="rId12"/>
                    <a:srcRect l="15650" t="15533" r="18447" b="10796"/>
                    <a:stretch>
                      <a:fillRect/>
                    </a:stretch>
                  </pic:blipFill>
                  <pic:spPr>
                    <a:xfrm>
                      <a:off x="0" y="0"/>
                      <a:ext cx="4942343" cy="368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b/>
          <w:szCs w:val="21"/>
          <w:vertAlign w:val="subscript"/>
        </w:rPr>
      </w:pPr>
      <w:r>
        <w:rPr>
          <w:rFonts w:hint="eastAsia" w:ascii="微软雅黑" w:hAnsi="微软雅黑" w:eastAsia="微软雅黑" w:cs="微软雅黑"/>
          <w:b/>
          <w:szCs w:val="21"/>
        </w:rPr>
        <w:t>后45度</w:t>
      </w:r>
    </w:p>
    <w:p>
      <w:pPr>
        <w:jc w:val="left"/>
        <w:rPr>
          <w:rFonts w:ascii="宋体" w:hAnsi="宋体" w:eastAsia="宋体" w:cs="宋体"/>
          <w:b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1.4内饰效果</w:t>
      </w:r>
    </w:p>
    <w:p>
      <w:pPr>
        <w:jc w:val="left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sz w:val="32"/>
          <w:szCs w:val="32"/>
        </w:rPr>
        <w:drawing>
          <wp:inline distT="0" distB="0" distL="114300" distR="114300">
            <wp:extent cx="5408295" cy="2921635"/>
            <wp:effectExtent l="0" t="0" r="1905" b="12065"/>
            <wp:docPr id="7" name="图片 7" descr="平面俯视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平面俯视图"/>
                    <pic:cNvPicPr>
                      <a:picLocks noChangeAspect="1"/>
                    </pic:cNvPicPr>
                  </pic:nvPicPr>
                  <pic:blipFill>
                    <a:blip r:embed="rId13"/>
                    <a:srcRect l="5426"/>
                    <a:stretch>
                      <a:fillRect/>
                    </a:stretch>
                  </pic:blipFill>
                  <pic:spPr>
                    <a:xfrm>
                      <a:off x="0" y="0"/>
                      <a:ext cx="5408295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内饰平面俯视效果图</w:t>
      </w:r>
    </w:p>
    <w:p>
      <w:pPr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宋体" w:hAnsi="宋体"/>
          <w:b/>
          <w:bCs/>
          <w:sz w:val="28"/>
          <w:szCs w:val="28"/>
        </w:rPr>
        <w:drawing>
          <wp:inline distT="0" distB="0" distL="114300" distR="114300">
            <wp:extent cx="5269230" cy="3177540"/>
            <wp:effectExtent l="0" t="0" r="7620" b="3810"/>
            <wp:docPr id="8" name="图片 8" descr="整体效果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整体效果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内饰整体效果1</w:t>
      </w:r>
    </w:p>
    <w:p>
      <w:pPr>
        <w:pStyle w:val="30"/>
        <w:shd w:val="clear" w:color="auto" w:fill="auto"/>
        <w:spacing w:after="0" w:line="360" w:lineRule="auto"/>
        <w:ind w:left="760" w:right="420" w:rightChars="200"/>
        <w:jc w:val="both"/>
        <w:rPr>
          <w:rFonts w:ascii="宋体" w:hAnsi="宋体" w:eastAsia="宋体" w:cs="宋体"/>
          <w:sz w:val="28"/>
          <w:szCs w:val="28"/>
        </w:rPr>
      </w:pPr>
    </w:p>
    <w:p>
      <w:pPr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Style w:val="31"/>
          <w:rFonts w:hint="eastAsia" w:ascii="宋体" w:hAnsi="宋体" w:eastAsia="宋体" w:cs="宋体"/>
          <w:sz w:val="32"/>
          <w:szCs w:val="32"/>
          <w:lang w:eastAsia="zh-CN" w:bidi="ar-SA"/>
        </w:rPr>
        <w:drawing>
          <wp:inline distT="0" distB="0" distL="114300" distR="114300">
            <wp:extent cx="5269230" cy="3177540"/>
            <wp:effectExtent l="0" t="0" r="7620" b="3810"/>
            <wp:docPr id="9" name="图片 9" descr="整体效果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整体效果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 w:eastAsia="微软雅黑" w:cs="微软雅黑"/>
          <w:b/>
          <w:bCs/>
          <w:szCs w:val="21"/>
        </w:rPr>
      </w:pPr>
      <w:r>
        <w:rPr>
          <w:rFonts w:hint="eastAsia" w:ascii="微软雅黑" w:hAnsi="微软雅黑" w:eastAsia="微软雅黑" w:cs="微软雅黑"/>
          <w:b/>
          <w:bCs/>
          <w:szCs w:val="21"/>
        </w:rPr>
        <w:t>内饰整体效果图2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说明：车内驾驶区设正副司机座椅，司机座椅后为鸿马自制集中控制台，上部为显示屏，下部为设备机柜，安装各种电器设备；集中控制台后部为长排办公桌，办公桌安装一台19寸显示器用于办公；办公桌对侧为长排休息座椅，长排座椅下部为装备仓，可打开放置装备，后部为饮水机，满足休息饮水需求。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    车顶前部安装长排警灯，警灯后部安装车顶平台，车顶平台安装前部高清摄像头，后部卡口摄像头，中部安装顶置空调和车顶音柱，车身两侧安装遮阳蓬，遮阳蓬下部安装LED照明灯，满足夜晚执勤需求。</w:t>
      </w:r>
    </w:p>
    <w:p>
      <w:pPr>
        <w:jc w:val="center"/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rPr>
          <w:rFonts w:ascii="宋体" w:hAnsi="宋体" w:cs="宋体"/>
          <w:b/>
          <w:bCs/>
          <w:color w:val="000000"/>
          <w:sz w:val="32"/>
          <w:szCs w:val="32"/>
        </w:rPr>
      </w:pPr>
      <w:r>
        <w:rPr>
          <w:rFonts w:hint="eastAsia" w:ascii="宋体" w:hAnsi="宋体" w:cs="宋体"/>
          <w:b/>
          <w:bCs/>
          <w:color w:val="000000"/>
          <w:sz w:val="32"/>
          <w:szCs w:val="32"/>
        </w:rPr>
        <w:t>2.1车载卡口系统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2.1.1系统概述</w:t>
      </w:r>
    </w:p>
    <w:p>
      <w:pPr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车载卡口系统采用了多项具有自主知识产权的核心技术，系统主要由主机、手控器、高清触摸显示屏组成，可实现本地高清录像存储、</w:t>
      </w:r>
      <w:r>
        <w:rPr>
          <w:rFonts w:ascii="宋体" w:hAnsi="宋体" w:eastAsia="宋体"/>
          <w:sz w:val="28"/>
          <w:szCs w:val="28"/>
        </w:rPr>
        <w:t>3G /4G&amp;WIFI无线网络传输、网络模块可方便插拔、可定制双卡传输、卫星定位、远程指挥操控、车牌稽查、移动布控、标记取证、集群对讲、夜间补光拍摄等功能，完全满足各种行车状况下全天候执法取证工作的需求，功能全面、操作简单,可应用于警用执法、安全保卫、应急指挥等多个车载移动视频监控领域,是打造"平安社会"、建设"平安城市"强有力的工具。</w:t>
      </w:r>
    </w:p>
    <w:p>
      <w:pPr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2.1.2系统组成设备简介及安装位置要求</w:t>
      </w: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1）系统功能特性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支持GA-T832《道路交通安全违法行为图像取证技术规范》，系统可对关键信息进行抓取并标记保存，标记时可选择不同违章类型对其进行保存，方便后期取证及搜索查看；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1路高清1080P网络云台摄像机接入，4路IPC相机接入，主码流标准H.265码流，支持双码流；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支持子码流H.265编码传输，提升无线网络传输效率；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具备1路VGA和1路</w:t>
      </w:r>
      <w:r>
        <w:rPr>
          <w:rFonts w:hint="eastAsia" w:ascii="宋体" w:hAnsi="宋体" w:eastAsia="宋体"/>
          <w:sz w:val="28"/>
          <w:szCs w:val="28"/>
        </w:rPr>
        <w:t>高清</w:t>
      </w:r>
      <w:r>
        <w:rPr>
          <w:rFonts w:ascii="宋体" w:hAnsi="宋体" w:eastAsia="宋体"/>
          <w:sz w:val="28"/>
          <w:szCs w:val="28"/>
        </w:rPr>
        <w:t>视频输出接口，最高分辨率可达1920*1080；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能够同时接入2块2.5英寸HDD/SSD硬盘，接入方式为可插拔式；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支持红外或白光补光模式，可满足全天候执法取证工作需求；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路名叠加，有效记录取证录像地理信息；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智能稳像、3D降噪、透雾，使画面更稳定、更清晰。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智能车牌识别及黑名单比对。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单点和多点触控，可实现触控菜单、触摸控球，并支持触控配置；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无线集群对讲功能，实现点对点、群组间的短信和语音通信功能，实现点对点视频推送、视频对讲功能；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硬件设计上具备断电保护功能，在突然断电情况下可以启用超级电容，实现正常关机，有效避免数据丢失；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内置3G或4G无线模块，预留WIFI模块，提供灵活的无线传输方案；通讯模块可插拔，方便网络模块升级；可定制双卡传输；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硬盘盒自带智能温控模块，并具备USB数据导出接口；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内置高灵敏度卫星模块，标配北斗定位，同时支持全球24时区卫星同步校时，定位信息同步封装入录像码流中；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主要接口均采用车载专用的航空插头，确保信号连接稳定；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宽幅电源输入（DC +8 ~ +36V），满足汽车电气特性要求；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铝拉伸机箱，具备良好的车载工作环境适应性；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支持Ehome推模式协议对接平台，实现远程预览、回放、配置等功能；</w:t>
      </w:r>
    </w:p>
    <w:p>
      <w:pPr>
        <w:pStyle w:val="28"/>
        <w:numPr>
          <w:ilvl w:val="2"/>
          <w:numId w:val="1"/>
        </w:numPr>
        <w:spacing w:line="360" w:lineRule="auto"/>
        <w:ind w:firstLineChars="0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支持GB28181协议对接平台, 实现远程预览、回放等功能；</w:t>
      </w: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2）卡口主机</w:t>
      </w: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设备图片</w: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3267075" cy="2226310"/>
            <wp:effectExtent l="0" t="0" r="9525" b="2540"/>
            <wp:docPr id="10" name="图片 10" descr="C:\Users\ADMINI~1.PCO\AppData\Local\Temp\154995123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.PCO\AppData\Local\Temp\1549951230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70414" cy="222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设备参数</w:t>
      </w:r>
    </w:p>
    <w:tbl>
      <w:tblPr>
        <w:tblStyle w:val="12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4"/>
        <w:gridCol w:w="1615"/>
        <w:gridCol w:w="560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restart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0"/>
                <w:szCs w:val="21"/>
              </w:rPr>
              <w:t>视音频输入</w:t>
            </w:r>
          </w:p>
        </w:tc>
        <w:tc>
          <w:tcPr>
            <w:tcW w:w="161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接入方式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目标通道 1路：航空插头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其他通道 4路：航空插头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输入带宽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80Mbps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接入协议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HIKVISION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restart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0"/>
                <w:szCs w:val="21"/>
              </w:rPr>
              <w:t>视音频输出</w:t>
            </w:r>
          </w:p>
        </w:tc>
        <w:tc>
          <w:tcPr>
            <w:tcW w:w="161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CVBS输出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1路，航空插头（电平：1.0Vp-p，阻抗：75Ω）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分辨率：PAL制式720×576；NTSC制式704×576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VGA输出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1路航空插头，分辨率：1920×1080\1280×800\1024×768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HDMI输出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1路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音频输出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2路，航空插头（线性电平，阻抗：600Ω）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restart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0"/>
                <w:szCs w:val="21"/>
              </w:rPr>
              <w:t>视音频编解码参数</w:t>
            </w: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录像分辨率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1080P/720P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码流类型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复合流/视频流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双码流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restart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0"/>
                <w:szCs w:val="21"/>
              </w:rPr>
              <w:t>硬盘驱动器</w:t>
            </w: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类型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可插拔式硬盘盒，支持2块2.5英寸SATA接口的HDD/SSD硬盘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硬盘保护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第三代硬盘盒，具有减振专利技术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最大容量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每个接口支持容量最大4TB的硬盘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数据备份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插拔硬盘盒备份、USB备份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restart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0"/>
                <w:szCs w:val="21"/>
              </w:rPr>
              <w:t>外部接口</w:t>
            </w: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天线接口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3G/4G天线1个（可扩展双卡）、WIFI天线1个（预留）、定位天线1个（北斗&amp;GPS双模定位），全部为罗森博格汽车电子专业接口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网络接口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前置1个RJ45千兆接口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Merge w:val="continue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后置4个4芯航空头百兆接口，2芯12V供电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USB接口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前置2个A型USB 3.0，后置1个5芯航空头USB 2.0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eSATA接口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1个，预留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串行数据接口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RS232接口1个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对讲接口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1个，（电平:2.0Vp-p，阻抗：1KΩ）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报警输入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3路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报警输出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2路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restart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 w:val="20"/>
                <w:szCs w:val="21"/>
              </w:rPr>
              <w:t>其他</w:t>
            </w: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电源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DC 8~36V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功耗（不含硬盘）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待机功耗：≤0.4W；满负荷功耗：≤100W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工作温度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-25℃--＋70℃（不含硬盘）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工作湿度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10％--95％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机箱尺寸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205mm（宽）×256mm（深）×102.3mm（高）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074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宋体"/>
                <w:bCs/>
                <w:kern w:val="0"/>
                <w:sz w:val="20"/>
                <w:szCs w:val="21"/>
              </w:rPr>
            </w:pPr>
          </w:p>
        </w:tc>
        <w:tc>
          <w:tcPr>
            <w:tcW w:w="1615" w:type="dxa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重量（不含硬盘）</w:t>
            </w:r>
          </w:p>
        </w:tc>
        <w:tc>
          <w:tcPr>
            <w:tcW w:w="5607" w:type="dxa"/>
          </w:tcPr>
          <w:p>
            <w:pPr>
              <w:spacing w:line="360" w:lineRule="auto"/>
              <w:rPr>
                <w:rFonts w:ascii="宋体" w:hAnsi="宋体" w:eastAsia="宋体" w:cs="宋体"/>
                <w:kern w:val="0"/>
                <w:sz w:val="2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 w:val="20"/>
                <w:szCs w:val="21"/>
              </w:rPr>
              <w:t>≤4.5Kg</w:t>
            </w:r>
          </w:p>
        </w:tc>
      </w:tr>
    </w:tbl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3）测速卡口摄像机</w:t>
      </w:r>
    </w:p>
    <w:p>
      <w:pPr>
        <w:spacing w:line="360" w:lineRule="auto"/>
        <w:ind w:firstLine="560" w:firstLineChars="200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测速卡口摄像机，支持移动测试窄波雷达及超速抓拍、低速抓拍功能。</w:t>
      </w: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测速卡口云台摄像机图片</w: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2047875" cy="1642745"/>
            <wp:effectExtent l="0" t="0" r="9525" b="14605"/>
            <wp:docPr id="11" name="图片 11" descr="C:\Users\ADMINI~1.PCO\AppData\Local\Temp\15499537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~1.PCO\AppData\Local\Temp\1549953793(1)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7682" cy="1650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设备参数</w:t>
      </w:r>
    </w:p>
    <w:tbl>
      <w:tblPr>
        <w:tblStyle w:val="12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1"/>
        <w:gridCol w:w="1899"/>
        <w:gridCol w:w="54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restart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 w:val="24"/>
              </w:rPr>
              <w:t>摄像机</w:t>
            </w: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产品型号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iDS-TCC225-WGB/30/T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传感器类型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1/2.8" Progressive Scan CMOS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  <w:vMerge w:val="restart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分辨率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50HZ:25fps(1920x1080) 60HZ:30fps(1920x1080)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  <w:vMerge w:val="continue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50HZ:25fps(1280x720) 60HZ:30fps(1280x720)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  <w:vMerge w:val="restart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最低照度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彩色：0.02Lux @ (F1.6，AGC ON)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  <w:vMerge w:val="continue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黑白：0.002Lux @ (F1.6，AGC ON)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信噪比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＞52dB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焦距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4.3-129mm，30倍光学变倍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光圈值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F1.6-F5.0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水平视场角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65.5-2.11度(广角-望远)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近摄距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10mm-1500mm(广角-望远)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变倍速度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大约3秒(光学，广角-望远)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日夜转换模式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自动/彩色/黑白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曝光模式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自动曝光/光圈优先/快门优先/手动曝光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聚焦模式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自动/手动/半自动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日夜模式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自动/彩色/黑白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电子快门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1/1s ~ 1/30,000s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白平衡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自动1/自动2/室内/室外/手动/钠灯/日光灯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数字降噪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3D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宽动态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图像画质调整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亮度、对比度、锐度、饱和度可调节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背光补偿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电子防抖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数字变倍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16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透雾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镜像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视频压缩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H.264/H.265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压缩输出码率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32kbps-12Mbps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  <w:vMerge w:val="restart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支持协议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TCP/IP、HTTP、DHCP、DNS、DDNS、RTP、RTSP、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  <w:vMerge w:val="continue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SMTP、NTP、UPnP、SNMP、FTP、802.1x、QoS、HTTPS、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接口协议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ONVIF、PSIA、CGI、ISAPI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双码流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支持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音频编码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G.722.1、G.711-a law、G.711-u law、MP2L2、G.726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安全机制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密码保护、多用户访问控制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restart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 w:val="24"/>
              </w:rPr>
              <w:t>云台</w:t>
            </w: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水平预置位速度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100°/s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垂直预置位速度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80°/s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水平手动控制速度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0°~60°/s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垂直手动控制速度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0°~40°/s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水平角度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360°无限位旋转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垂直角度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-90°~90°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预置点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256个预置位，8条巡视轨迹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RS485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支持RS485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901" w:type="dxa"/>
            <w:vMerge w:val="restart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Cs/>
                <w:kern w:val="0"/>
                <w:sz w:val="24"/>
              </w:rPr>
              <w:t>一般规范</w:t>
            </w: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通讯接口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1内置RJ45网口，支持10M/100M网络数据，支持远程升级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电源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DC12V（DC8~36V宽幅供电）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无线模块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WIFI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定位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GPS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相对湿度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小于90%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防护等级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IP66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工作温度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-35℃ - 55℃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功耗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&lt;60W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抗冲击要求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≥4G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01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Cs/>
                <w:kern w:val="0"/>
                <w:sz w:val="24"/>
              </w:rPr>
            </w:pPr>
          </w:p>
        </w:tc>
        <w:tc>
          <w:tcPr>
            <w:tcW w:w="1899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重量</w:t>
            </w:r>
          </w:p>
        </w:tc>
        <w:tc>
          <w:tcPr>
            <w:tcW w:w="5496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7Kg</w:t>
            </w:r>
          </w:p>
        </w:tc>
      </w:tr>
    </w:tbl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4）车载手控器</w:t>
      </w: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设备图片</w: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2200275" cy="2086610"/>
            <wp:effectExtent l="0" t="0" r="9525" b="8890"/>
            <wp:docPr id="28" name="图片 28" descr="C:\Users\ADMINI~1.PCO\AppData\Local\Temp\15499520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ADMINI~1.PCO\AppData\Local\Temp\1549952042(1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694" cy="2096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设备参数</w:t>
      </w:r>
    </w:p>
    <w:tbl>
      <w:tblPr>
        <w:tblStyle w:val="12"/>
        <w:tblW w:w="5807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1325"/>
        <w:gridCol w:w="340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restart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手控器</w:t>
            </w:r>
          </w:p>
        </w:tc>
        <w:tc>
          <w:tcPr>
            <w:tcW w:w="1325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开关</w:t>
            </w:r>
          </w:p>
        </w:tc>
        <w:tc>
          <w:tcPr>
            <w:tcW w:w="3402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1个金属电源锁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325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按键</w:t>
            </w:r>
          </w:p>
        </w:tc>
        <w:tc>
          <w:tcPr>
            <w:tcW w:w="3402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20个物理按键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325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接口</w:t>
            </w:r>
          </w:p>
        </w:tc>
        <w:tc>
          <w:tcPr>
            <w:tcW w:w="3402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1路RS485接口（航空插头）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325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尺寸</w:t>
            </w:r>
          </w:p>
        </w:tc>
        <w:tc>
          <w:tcPr>
            <w:tcW w:w="3402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143.1mm*135mm*40.4mm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325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重量</w:t>
            </w:r>
          </w:p>
        </w:tc>
        <w:tc>
          <w:tcPr>
            <w:tcW w:w="3402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≤0.5Kg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325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功耗</w:t>
            </w:r>
          </w:p>
        </w:tc>
        <w:tc>
          <w:tcPr>
            <w:tcW w:w="3402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≤2W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325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工作电压</w:t>
            </w:r>
          </w:p>
        </w:tc>
        <w:tc>
          <w:tcPr>
            <w:tcW w:w="3402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325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工作温度</w:t>
            </w:r>
          </w:p>
        </w:tc>
        <w:tc>
          <w:tcPr>
            <w:tcW w:w="3402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-20℃~+60℃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1325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工作湿度</w:t>
            </w:r>
          </w:p>
        </w:tc>
        <w:tc>
          <w:tcPr>
            <w:tcW w:w="3402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10%~95%</w:t>
            </w:r>
          </w:p>
        </w:tc>
      </w:tr>
    </w:tbl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5）显示屏</w:t>
      </w: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设备图片</w: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  <w:r>
        <w:rPr>
          <w:rFonts w:ascii="宋体" w:hAnsi="宋体" w:eastAsia="宋体"/>
          <w:sz w:val="24"/>
        </w:rPr>
        <w:drawing>
          <wp:inline distT="0" distB="0" distL="0" distR="0">
            <wp:extent cx="1800225" cy="1473200"/>
            <wp:effectExtent l="0" t="0" r="9525" b="12700"/>
            <wp:docPr id="29" name="图片 29" descr="C:\Users\ADMINI~1.PCO\AppData\Local\Temp\154995279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:\Users\ADMINI~1.PCO\AppData\Local\Temp\1549952799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8457" cy="148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设备参数</w:t>
      </w:r>
    </w:p>
    <w:tbl>
      <w:tblPr>
        <w:tblStyle w:val="12"/>
        <w:tblW w:w="665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0"/>
        <w:gridCol w:w="2034"/>
        <w:gridCol w:w="35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b/>
                <w:bCs/>
                <w:kern w:val="0"/>
                <w:sz w:val="24"/>
              </w:rPr>
              <w:t>车载显示器</w:t>
            </w:r>
          </w:p>
        </w:tc>
        <w:tc>
          <w:tcPr>
            <w:tcW w:w="203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材质</w:t>
            </w:r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TFT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03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是否可触摸操作</w:t>
            </w:r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支持触摸屏操作，支持多点触控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03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屏幕尺寸</w:t>
            </w:r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7寸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03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背光模式</w:t>
            </w:r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LED背光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03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分辨率</w:t>
            </w:r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1024*600 RGB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03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功耗</w:t>
            </w:r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≤5W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03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重量</w:t>
            </w:r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≤0.6Kg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03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工作电压</w:t>
            </w:r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03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工作温度</w:t>
            </w:r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-20℃~+60℃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080" w:type="dxa"/>
            <w:vMerge w:val="continue"/>
            <w:vAlign w:val="center"/>
          </w:tcPr>
          <w:p>
            <w:pPr>
              <w:spacing w:line="360" w:lineRule="auto"/>
              <w:rPr>
                <w:rFonts w:ascii="宋体" w:hAnsi="宋体" w:eastAsia="宋体" w:cs="Times New Roman"/>
                <w:b/>
                <w:bCs/>
                <w:kern w:val="0"/>
                <w:sz w:val="24"/>
              </w:rPr>
            </w:pPr>
          </w:p>
        </w:tc>
        <w:tc>
          <w:tcPr>
            <w:tcW w:w="203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工作湿度</w:t>
            </w:r>
          </w:p>
        </w:tc>
        <w:tc>
          <w:tcPr>
            <w:tcW w:w="3544" w:type="dxa"/>
          </w:tcPr>
          <w:p>
            <w:pPr>
              <w:spacing w:line="360" w:lineRule="auto"/>
              <w:rPr>
                <w:rFonts w:ascii="宋体" w:hAnsi="宋体" w:eastAsia="宋体" w:cs="Times New Roman"/>
                <w:kern w:val="0"/>
                <w:sz w:val="24"/>
              </w:rPr>
            </w:pPr>
            <w:r>
              <w:rPr>
                <w:rFonts w:hint="eastAsia" w:ascii="宋体" w:hAnsi="宋体" w:eastAsia="宋体" w:cs="Times New Roman"/>
                <w:kern w:val="0"/>
                <w:sz w:val="24"/>
              </w:rPr>
              <w:t>10%~95%</w:t>
            </w:r>
          </w:p>
        </w:tc>
      </w:tr>
    </w:tbl>
    <w:p>
      <w:pPr>
        <w:spacing w:line="360" w:lineRule="auto"/>
        <w:rPr>
          <w:rFonts w:ascii="宋体" w:hAnsi="宋体" w:eastAsia="宋体"/>
          <w:b/>
          <w:bCs/>
          <w:sz w:val="28"/>
          <w:szCs w:val="28"/>
        </w:rPr>
      </w:pPr>
      <w:r>
        <w:rPr>
          <w:rFonts w:hint="eastAsia" w:ascii="宋体" w:hAnsi="宋体" w:eastAsia="宋体"/>
          <w:b/>
          <w:bCs/>
          <w:sz w:val="28"/>
          <w:szCs w:val="28"/>
        </w:rPr>
        <w:t>7）设备安装位置要求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云台摄像机：安装在车辆尾部，便于执法车辆停放后调整卡口摄像机角度进行抓拍；</w:t>
      </w:r>
    </w:p>
    <w:p>
      <w:pPr>
        <w:spacing w:line="360" w:lineRule="auto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卡口主机：安装在机柜内；</w:t>
      </w:r>
    </w:p>
    <w:p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手控器和显示屏：根据不同车型进行固定安装。</w:t>
      </w:r>
    </w:p>
    <w:p>
      <w:pPr>
        <w:jc w:val="left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2.2缉查布控系统</w:t>
      </w:r>
    </w:p>
    <w:p>
      <w:pPr>
        <w:snapToGrid w:val="0"/>
        <w:spacing w:before="60" w:after="60"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根据公安部“金盾工程”总体建设以及公安机关图像信息联网应用要求，以公安交通管理综合应用平台为依托，以各地卡口系统为基础，建设全国机动车缉查布控系统，实现全国联网，满足各级公安交通管理部门大范围车辆缉查布控和预警拦截、车辆轨迹和交通流量分析研判、交通违法行为甄别查处等业务应用，为预防和减少道路交通事故、打击违法犯罪工作提供技术支撑。</w:t>
      </w:r>
    </w:p>
    <w:p>
      <w:pPr>
        <w:snapToGrid w:val="0"/>
        <w:spacing w:before="60" w:after="60"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机动车缉查布控系统是交通指挥平台的一个子系统，应用相对比较成熟，率先组织在全国推广。下步将逐步增加视频、流量、态势研判等功能，最终建成部、省、地市三级的公安交通指挥平台。</w:t>
      </w:r>
    </w:p>
    <w:p>
      <w:pPr>
        <w:snapToGrid w:val="0"/>
        <w:spacing w:before="60" w:after="60"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机动车缉查布控系统核心软件全国统一，分部局、总队、支队三个版本。核心软件包括以下功能：</w:t>
      </w:r>
    </w:p>
    <w:p>
      <w:pPr>
        <w:snapToGrid w:val="0"/>
        <w:spacing w:before="60" w:after="60"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1、缉查布控和预警处置管理           2、机动车通行信息管理</w:t>
      </w:r>
    </w:p>
    <w:p>
      <w:pPr>
        <w:snapToGrid w:val="0"/>
        <w:spacing w:before="60" w:after="60"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3、查询统计                         4、应用考核管理</w:t>
      </w:r>
    </w:p>
    <w:p>
      <w:pPr>
        <w:snapToGrid w:val="0"/>
        <w:spacing w:before="60" w:after="60"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5、系统管理                          6、信息接口管理</w:t>
      </w:r>
    </w:p>
    <w:p>
      <w:pPr>
        <w:snapToGrid w:val="0"/>
        <w:spacing w:before="60" w:after="60"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无线内网缉查布控终端介绍：</w:t>
      </w:r>
    </w:p>
    <w:p>
      <w:pPr>
        <w:snapToGrid w:val="0"/>
        <w:spacing w:before="60" w:after="60"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原理：系统由车载电脑、内网无线上网卡、公安内网安全接入盘、网络端口支撑等组成，车载电脑拨通内网卡，由公安内网安全盘(公安部第一研究所设备)接入内网，通过网栅进入缉查布控平台，平台开放部分相应端口，把缉查布控车辆图片声音等报警信息推送到终端笔记本电脑上。</w:t>
      </w:r>
    </w:p>
    <w:p>
      <w:pPr>
        <w:snapToGrid w:val="0"/>
        <w:spacing w:before="60" w:after="60" w:line="360" w:lineRule="auto"/>
        <w:jc w:val="left"/>
        <w:rPr>
          <w:rFonts w:ascii="宋体" w:hAnsi="宋体" w:cs="宋体"/>
          <w:b/>
          <w:bCs/>
          <w:color w:val="000000"/>
          <w:sz w:val="32"/>
          <w:szCs w:val="32"/>
        </w:rPr>
      </w:pPr>
      <w:r>
        <w:rPr>
          <w:rFonts w:hint="eastAsia"/>
          <w:sz w:val="28"/>
          <w:szCs w:val="28"/>
        </w:rPr>
        <w:t>主要功能：本系统应用缉查布控时，可以让一线民警时刻进行现场查处，减少以往从指挥中心到一线民警的信息传递时间，从而避免预警信息到查处的时间过长车辆驶出卡口。</w:t>
      </w:r>
    </w:p>
    <w:p>
      <w:pPr>
        <w:rPr>
          <w:rFonts w:ascii="宋体" w:hAnsi="宋体" w:eastAsia="宋体" w:cs="宋体"/>
          <w:b/>
          <w:bCs/>
          <w:sz w:val="44"/>
          <w:szCs w:val="44"/>
        </w:rPr>
      </w:pPr>
    </w:p>
    <w:p>
      <w:pPr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3.1参数配置</w:t>
      </w:r>
    </w:p>
    <w:tbl>
      <w:tblPr>
        <w:tblStyle w:val="11"/>
        <w:tblW w:w="821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6"/>
        <w:gridCol w:w="733"/>
        <w:gridCol w:w="1807"/>
        <w:gridCol w:w="709"/>
        <w:gridCol w:w="43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656" w:type="dxa"/>
            <w:vMerge w:val="restart"/>
            <w:vAlign w:val="center"/>
          </w:tcPr>
          <w:p>
            <w:pPr>
              <w:widowControl/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733" w:type="dxa"/>
            <w:vMerge w:val="restart"/>
            <w:vAlign w:val="center"/>
          </w:tcPr>
          <w:p>
            <w:pPr>
              <w:widowControl/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功能分类</w:t>
            </w:r>
          </w:p>
        </w:tc>
        <w:tc>
          <w:tcPr>
            <w:tcW w:w="1807" w:type="dxa"/>
            <w:vMerge w:val="restart"/>
            <w:vAlign w:val="center"/>
          </w:tcPr>
          <w:p>
            <w:pPr>
              <w:widowControl/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设备名称/型号</w:t>
            </w:r>
          </w:p>
        </w:tc>
        <w:tc>
          <w:tcPr>
            <w:tcW w:w="709" w:type="dxa"/>
            <w:vMerge w:val="restart"/>
            <w:vAlign w:val="center"/>
          </w:tcPr>
          <w:p>
            <w:pPr>
              <w:widowControl/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数量</w:t>
            </w:r>
          </w:p>
        </w:tc>
        <w:tc>
          <w:tcPr>
            <w:tcW w:w="4305" w:type="dxa"/>
            <w:vMerge w:val="restart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widowControl/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widowControl/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Merge w:val="continue"/>
            <w:vAlign w:val="center"/>
          </w:tcPr>
          <w:p>
            <w:pPr>
              <w:widowControl/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9" w:type="dxa"/>
            <w:vMerge w:val="continue"/>
            <w:vAlign w:val="center"/>
          </w:tcPr>
          <w:p>
            <w:pPr>
              <w:widowControl/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05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tcBorders>
              <w:bottom w:val="single" w:color="000000" w:themeColor="text1" w:sz="4" w:space="0"/>
            </w:tcBorders>
            <w:vAlign w:val="center"/>
          </w:tcPr>
          <w:p>
            <w:pPr>
              <w:widowControl/>
              <w:numPr>
                <w:ilvl w:val="0"/>
                <w:numId w:val="2"/>
              </w:num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tcBorders>
              <w:bottom w:val="single" w:color="000000" w:themeColor="text1" w:sz="4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车型</w:t>
            </w: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JX6581TA-M5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1台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JX6581TA-M5柴油国V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restart"/>
            <w:tcBorders>
              <w:top w:val="single" w:color="000000" w:themeColor="text1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restart"/>
            <w:tcBorders>
              <w:top w:val="single" w:color="000000" w:themeColor="text1" w:sz="4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警示系统</w:t>
            </w: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车顶蜗牛爆警灯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4只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奥乐 TBD-51W（红、蓝各2只），DC12V，P≤16W，LED小型警灯，二级发光强度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3"/>
              </w:num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两侧爆闪方灯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4只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奥乐TBD-30-A（红、蓝各2只），DC12V，P≤30W，LED小型警灯，二级发光强度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3"/>
              </w:num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车顶“工”字型长排警灯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1只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奥乐TBD-G1L12A-48，DC12V，P≤80W，LED脉冲长排警灯，二级发光强度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tcBorders>
              <w:bottom w:val="single" w:color="000000" w:themeColor="text1" w:sz="4" w:space="0"/>
            </w:tcBorders>
            <w:vAlign w:val="center"/>
          </w:tcPr>
          <w:p>
            <w:pPr>
              <w:numPr>
                <w:ilvl w:val="0"/>
                <w:numId w:val="3"/>
              </w:num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tcBorders>
              <w:bottom w:val="single" w:color="000000" w:themeColor="text1" w:sz="4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警报器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100W，与“工”字警灯集成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restart"/>
            <w:tcBorders>
              <w:top w:val="single" w:color="000000" w:themeColor="text1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restart"/>
            <w:tcBorders>
              <w:top w:val="single" w:color="000000" w:themeColor="text1" w:sz="4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广播信息宣传系统</w:t>
            </w: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后高亮度LED防水屏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台湾光磊P10  6X1  1010×210  10000点/米²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3"/>
              </w:num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组合音响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TB-320，含USB接口，2路话筒输入，3路线路输入，内置MP3播放器和FM调谐器,含喊话器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3"/>
              </w:num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车顶音柱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工作电压70/100V，功率180-360W，适应不同场合；最大声压级达110dB±3dB（水平360°），有效频率范围宽达100Hz ~ 16k Hz(-10dB）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2" w:hRule="atLeast"/>
          <w:jc w:val="center"/>
        </w:trPr>
        <w:tc>
          <w:tcPr>
            <w:tcW w:w="656" w:type="dxa"/>
            <w:vMerge w:val="restart"/>
            <w:vAlign w:val="center"/>
          </w:tcPr>
          <w:p>
            <w:pPr>
              <w:numPr>
                <w:ilvl w:val="0"/>
                <w:numId w:val="2"/>
              </w:num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restart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szCs w:val="21"/>
                <w:lang w:val="zh-CN"/>
                <w14:textFill>
                  <w14:solidFill>
                    <w14:schemeClr w14:val="tx1"/>
                  </w14:solidFill>
                </w14:textFill>
              </w:rPr>
              <w:t>图像采集取证与传输处理系统</w:t>
            </w: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前摄像头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SYH-YZYT-100自锁带线材，数字高清200万，20倍变焦0.01Lux信噪比大于48dBDC12V/PoE，(12V——≤20W)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3"/>
              </w:num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车内摄像头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1只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SYH-BQ-100，机芯1/3" CMOS200万定焦半球式，镜头4mm日夜型(ICR)红外10-30米， DC12V/PoE，(12V——≤7W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3"/>
              </w:num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车载测速卡口系统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海康DS-MI9605-KK-LD/GLE；包含车载卡口主机（配4TB硬盘）、卡口云台摄像机、手控器和显示屏，包含测速雷达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restart"/>
            <w:vAlign w:val="center"/>
          </w:tcPr>
          <w:p>
            <w:pPr>
              <w:numPr>
                <w:ilvl w:val="0"/>
                <w:numId w:val="2"/>
              </w:num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restart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移动办公系统</w:t>
            </w: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车载显示器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2台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凯乐，型号：KL-1900ER，标准颜色：16.7M，尺寸：22”(16:9)类型：TFT-LCD，分辨率：1980×1080，亮度：250cd/㎡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2"/>
              </w:num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工控机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拓普龙TPL-I500，8G内存，2G独立显卡，512GB固态硬盘，英特尔酷睿I5七代处理器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2"/>
              </w:num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视频切换器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监控和视频画面切换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2"/>
              </w:num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网络交换机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SYH-JHJ-8/100, 100Mbps，</w:t>
            </w:r>
          </w:p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8个10/100/1000Base-T 8口千兆交换机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2"/>
              </w:num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手机信号放大器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HM-XHFDQ-100, TDD-LTE-G/D型=4G微功率直放站，具有无线转发，双向放大GSM900和TDD-LTE频段上、下行链路信号；主要应用于室内GSM900和TDD-LTE频段信号盲区及弱区的覆盖增大手机信号，工作带宽可覆盖GSM 25MHz/19 MHz/ 6MHz、CDMA10MHz/DCS75MHz，增益上行Gp≥65，增益下行Gp≥70；输出功率(dBm)≥20，传输时延≤0.5μs，可靠性符合GB6993-86标准。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2"/>
              </w:num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手机信号屏蔽器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HM-XHPBQ-100,屏蔽范围：10米-50米,发射功率：整机最大20W,屏蔽信号种类2G+3G+4G+wifi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缉查布控系统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内网无线上网卡（带卡托）；公安部一所公安内网安全接入盘；缉查布控软件电脑客户端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restart"/>
            <w:vAlign w:val="center"/>
          </w:tcPr>
          <w:p>
            <w:pPr>
              <w:numPr>
                <w:ilvl w:val="0"/>
                <w:numId w:val="2"/>
              </w:num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restart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桌柜控制及机柜</w:t>
            </w:r>
          </w:p>
        </w:tc>
        <w:tc>
          <w:tcPr>
            <w:tcW w:w="1807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19寸标准机柜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SYH-10KZ型，喷塑制作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集中操控台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SYH-10CK型，喷塑制作，红色吸膜桌面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长排办公桌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多层实木灰拉丝柜体版，抽屉，红色吸膜桌面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restart"/>
            <w:vAlign w:val="center"/>
          </w:tcPr>
          <w:p>
            <w:pPr>
              <w:numPr>
                <w:ilvl w:val="0"/>
                <w:numId w:val="2"/>
              </w:num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restart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供配电系统</w:t>
            </w: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整车线束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="宋体" w:hAnsi="宋体" w:cs="宋体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浩宏线束；高低压及信号线分离</w:t>
            </w:r>
          </w:p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国标：JB/T8139QVR；线径：1.5mm</w:t>
            </w: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/2.5mm</w:t>
            </w: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/4mm</w:t>
            </w: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Cs w:val="21"/>
                <w:vertAlign w:val="superscript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集中控制系统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SYH-100型集中控制系统，DC12V低压控制，有电池电压低电压保护功能，各路电器保护功能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逆变器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双新 DC12V转AC220V，型号：SN-1500C输入电压范围：DC11V-DC15V，最大输出功率：2000W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12V电源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乐清市金红门 S-500-13.6 输入电压AC220V，输出电压13.6V（可调），最大电流36.7A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外接电源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外接电源航空接口、30米线盘 2*6mm2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tcBorders>
              <w:bottom w:val="single" w:color="000000" w:themeColor="text1" w:sz="4" w:space="0"/>
            </w:tcBorders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tcBorders>
              <w:bottom w:val="single" w:color="000000" w:themeColor="text1" w:sz="4" w:space="0"/>
            </w:tcBorders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插座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4个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定制电源插座，控制台处2个，每个办公位下部1个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numPr>
                <w:ilvl w:val="0"/>
                <w:numId w:val="2"/>
              </w:num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restart"/>
            <w:tcBorders>
              <w:top w:val="single" w:color="auto" w:sz="4" w:space="0"/>
            </w:tcBorders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勤务保障系统</w:t>
            </w: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车内顶灯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2只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奥乐TBD-42 LED灯工作电压：DC9-DC36V宽电压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7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顶置空调</w:t>
            </w:r>
          </w:p>
        </w:tc>
        <w:tc>
          <w:tcPr>
            <w:tcW w:w="709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276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szCs w:val="21"/>
              </w:rPr>
              <w:t>天鹅</w:t>
            </w:r>
            <w:r>
              <w:rPr>
                <w:rFonts w:hint="eastAsia" w:ascii="宋体" w:hAnsi="宋体" w:eastAsia="宋体" w:cs="宋体"/>
                <w:bCs/>
                <w:szCs w:val="21"/>
                <w:lang w:val="zh-CN"/>
              </w:rPr>
              <w:t>ZWD-30V</w:t>
            </w:r>
            <w:r>
              <w:rPr>
                <w:rFonts w:hint="eastAsia" w:ascii="宋体" w:hAnsi="宋体" w:eastAsia="宋体" w:cs="宋体"/>
                <w:bCs/>
                <w:szCs w:val="21"/>
              </w:rPr>
              <w:t>型顶置冷暖空调，制冷量3000W，制热量2000W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3"/>
              </w:num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饮水机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车载12V饮水机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3"/>
              </w:num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遮阳蓬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车身两侧遮阳棚，可收缩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3"/>
              </w:num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窗口照明灯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4只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长条形LED照明灯，左右遮阳蓬下面各两只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3"/>
              </w:num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倒车后视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夜视摄像头，7寸液晶显示屏，GPS等辅助倒车系统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numPr>
                <w:ilvl w:val="0"/>
                <w:numId w:val="3"/>
              </w:num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防雷接地系统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接地钳、静电链系统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restart"/>
            <w:vAlign w:val="center"/>
          </w:tcPr>
          <w:p>
            <w:pPr>
              <w:numPr>
                <w:ilvl w:val="0"/>
                <w:numId w:val="2"/>
              </w:num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restart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内饰涂装车体外部定制</w:t>
            </w: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车内座椅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2个360度旋转办公椅，正副司机座椅，1个翻转座椅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长排休息座椅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定制喷塑座椅，下部为装备仓，带气支撑，可放置装备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坐垫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定制成型面，高铁专用布艺面料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车内装饰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软包工艺，附皮革，环保材质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tabs>
                <w:tab w:val="left" w:pos="425"/>
              </w:tabs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车身隔热发泡填充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车内表面40mm聚氨酯发泡隔热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外观喷涂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定制交通制式喷涂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车顶部侧围涂装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腻子，打磨，大河面漆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辅助材料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低值易耗品、非标件及辅材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restart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10.</w:t>
            </w:r>
          </w:p>
        </w:tc>
        <w:tc>
          <w:tcPr>
            <w:tcW w:w="733" w:type="dxa"/>
            <w:vMerge w:val="restart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改制部分</w:t>
            </w: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车身改制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整车车身改制、加固，加强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车顶平台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SYH-201PT型，铺设防滑铝板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后爬梯</w:t>
            </w:r>
          </w:p>
        </w:tc>
        <w:tc>
          <w:tcPr>
            <w:tcW w:w="709" w:type="dxa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spacing w:line="312" w:lineRule="auto"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SYH-10HPT型，3米铝合金梯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  <w:jc w:val="center"/>
        </w:trPr>
        <w:tc>
          <w:tcPr>
            <w:tcW w:w="656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3" w:type="dxa"/>
            <w:vMerge w:val="continue"/>
            <w:vAlign w:val="center"/>
          </w:tcPr>
          <w:p>
            <w:pPr>
              <w:spacing w:line="312" w:lineRule="auto"/>
              <w:jc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07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szCs w:val="21"/>
              </w:rPr>
              <w:t>网口</w:t>
            </w:r>
          </w:p>
        </w:tc>
        <w:tc>
          <w:tcPr>
            <w:tcW w:w="709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1套</w:t>
            </w:r>
          </w:p>
        </w:tc>
        <w:tc>
          <w:tcPr>
            <w:tcW w:w="4305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Theme="minorEastAsia" w:hAnsiTheme="minorEastAsia" w:cstheme="minorEastAsia"/>
                <w:bCs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Cs/>
                <w:kern w:val="0"/>
                <w:szCs w:val="21"/>
              </w:rPr>
              <w:t>车内外预留网口</w:t>
            </w:r>
          </w:p>
        </w:tc>
      </w:tr>
    </w:tbl>
    <w:p/>
    <w:p>
      <w:pPr>
        <w:rPr>
          <w:b/>
        </w:rPr>
      </w:pPr>
    </w:p>
    <w:p>
      <w:pPr>
        <w:rPr>
          <w:b/>
        </w:rPr>
      </w:pPr>
      <w:r>
        <w:rPr>
          <w:b/>
        </w:rPr>
        <w:t>备注</w:t>
      </w:r>
      <w:r>
        <w:rPr>
          <w:rFonts w:hint="eastAsia"/>
          <w:b/>
        </w:rPr>
        <w:t>：车价款和设备款单列，车价款预算不得高于22万元，设备款预算不得高于18万元。</w:t>
      </w:r>
    </w:p>
    <w:p>
      <w:pPr>
        <w:pStyle w:val="2"/>
        <w:rPr>
          <w:lang w:val="en-US" w:eastAsia="zh-CN"/>
        </w:rPr>
      </w:pPr>
    </w:p>
    <w:p>
      <w:pPr>
        <w:pStyle w:val="2"/>
        <w:rPr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等线 Light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altName w:val="黑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AUVIE+TimesNewRomanPSMT">
    <w:altName w:val="Microsoft Sans Serif"/>
    <w:panose1 w:val="00000000000000000000"/>
    <w:charset w:val="01"/>
    <w:family w:val="roman"/>
    <w:pitch w:val="default"/>
    <w:sig w:usb0="00000000" w:usb1="00000000" w:usb2="01010101" w:usb3="01010101" w:csb0="01010101" w:csb1="01010101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Microsoft Sans Serif">
    <w:panose1 w:val="020B0604020202020204"/>
    <w:charset w:val="01"/>
    <w:family w:val="roman"/>
    <w:pitch w:val="default"/>
    <w:sig w:usb0="E1002AFF" w:usb1="C0000002" w:usb2="00000008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bidi w:val="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</a:ln>
                    </wps:spPr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szCs w:val="21"/>
        <w:highlight w:val="white"/>
      </w:rPr>
      <w:t xml:space="preserve"> </w:t>
    </w:r>
  </w:p>
  <w:p>
    <w:pPr>
      <w:pStyle w:val="9"/>
      <w:tabs>
        <w:tab w:val="clear" w:pos="4153"/>
      </w:tabs>
      <w:jc w:val="right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  <w:bidi w:val="0"/>
      <w:jc w:val="left"/>
    </w:pPr>
    <w:r>
      <w:rPr>
        <w:rFonts w:hint="eastAsia"/>
        <w:highlight w:val="white"/>
      </w:rPr>
      <w:t xml:space="preserve">                    </w:t>
    </w:r>
    <w:r>
      <w:rPr>
        <w:rFonts w:hint="eastAsia"/>
        <w:highlight w:val="white"/>
        <w:lang w:val="en-US" w:eastAsia="zh-CN"/>
      </w:rPr>
      <w:t xml:space="preserve">          </w:t>
    </w:r>
    <w:r>
      <w:rPr>
        <w:rFonts w:hint="eastAsia"/>
        <w:highlight w:val="white"/>
      </w:rPr>
      <w:t xml:space="preserve">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6361003"/>
    <w:multiLevelType w:val="singleLevel"/>
    <w:tmpl w:val="86361003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54B26674"/>
    <w:multiLevelType w:val="multilevel"/>
    <w:tmpl w:val="54B2667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56FD11B3"/>
    <w:multiLevelType w:val="singleLevel"/>
    <w:tmpl w:val="56FD11B3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B10761"/>
    <w:rsid w:val="046A467A"/>
    <w:rsid w:val="04B51B98"/>
    <w:rsid w:val="05A95C29"/>
    <w:rsid w:val="09A06D66"/>
    <w:rsid w:val="0DA673F9"/>
    <w:rsid w:val="11B10761"/>
    <w:rsid w:val="12DF0FBC"/>
    <w:rsid w:val="168B0824"/>
    <w:rsid w:val="1CEA6521"/>
    <w:rsid w:val="1DAE0C3C"/>
    <w:rsid w:val="217967B9"/>
    <w:rsid w:val="238064C5"/>
    <w:rsid w:val="24C037FE"/>
    <w:rsid w:val="29B62682"/>
    <w:rsid w:val="2AC537FD"/>
    <w:rsid w:val="2B9A4C6D"/>
    <w:rsid w:val="2DB96A5D"/>
    <w:rsid w:val="2DD004BD"/>
    <w:rsid w:val="31810437"/>
    <w:rsid w:val="33AF0FB7"/>
    <w:rsid w:val="35FF3D56"/>
    <w:rsid w:val="395815AD"/>
    <w:rsid w:val="459025CC"/>
    <w:rsid w:val="54242CA2"/>
    <w:rsid w:val="569D1713"/>
    <w:rsid w:val="5984519D"/>
    <w:rsid w:val="66D21DBC"/>
    <w:rsid w:val="679E412F"/>
    <w:rsid w:val="67F76007"/>
    <w:rsid w:val="686C271A"/>
    <w:rsid w:val="68846A22"/>
    <w:rsid w:val="6A42304D"/>
    <w:rsid w:val="6BB90FCA"/>
    <w:rsid w:val="6D535020"/>
    <w:rsid w:val="6FEF4DEE"/>
    <w:rsid w:val="75EF1E7C"/>
    <w:rsid w:val="78BD2928"/>
    <w:rsid w:val="78BF4B19"/>
    <w:rsid w:val="791C0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99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beforeLines="0" w:after="330" w:afterLines="0" w:line="576" w:lineRule="auto"/>
      <w:outlineLvl w:val="0"/>
    </w:pPr>
    <w:rPr>
      <w:rFonts w:ascii="Times New Roman" w:hAnsi="Times New Roman"/>
      <w:b/>
      <w:kern w:val="44"/>
      <w:sz w:val="28"/>
      <w:szCs w:val="20"/>
    </w:rPr>
  </w:style>
  <w:style w:type="paragraph" w:styleId="4">
    <w:name w:val="heading 2"/>
    <w:basedOn w:val="1"/>
    <w:next w:val="1"/>
    <w:qFormat/>
    <w:uiPriority w:val="0"/>
    <w:pPr>
      <w:keepNext/>
      <w:keepLines/>
      <w:adjustRightInd w:val="0"/>
      <w:snapToGrid w:val="0"/>
      <w:spacing w:line="360" w:lineRule="auto"/>
      <w:jc w:val="center"/>
      <w:outlineLvl w:val="1"/>
    </w:pPr>
    <w:rPr>
      <w:rFonts w:ascii="宋体" w:hAnsi="Arial" w:cs="宋体"/>
      <w:sz w:val="32"/>
    </w:rPr>
  </w:style>
  <w:style w:type="paragraph" w:styleId="5">
    <w:name w:val="heading 3"/>
    <w:basedOn w:val="1"/>
    <w:next w:val="1"/>
    <w:qFormat/>
    <w:uiPriority w:val="0"/>
    <w:pPr>
      <w:widowControl w:val="0"/>
      <w:tabs>
        <w:tab w:val="left" w:pos="851"/>
      </w:tabs>
      <w:autoSpaceDE w:val="0"/>
      <w:autoSpaceDN w:val="0"/>
      <w:adjustRightInd w:val="0"/>
      <w:snapToGrid w:val="0"/>
      <w:spacing w:line="360" w:lineRule="auto"/>
      <w:jc w:val="both"/>
      <w:outlineLvl w:val="2"/>
    </w:pPr>
    <w:rPr>
      <w:rFonts w:ascii="宋体" w:cs="宋体"/>
    </w:rPr>
  </w:style>
  <w:style w:type="character" w:default="1" w:styleId="13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 w:afterLines="0"/>
    </w:pPr>
    <w:rPr>
      <w:rFonts w:ascii="Tahoma" w:hAnsi="Tahoma"/>
      <w:kern w:val="2"/>
    </w:rPr>
  </w:style>
  <w:style w:type="paragraph" w:styleId="6">
    <w:name w:val="Normal Indent"/>
    <w:basedOn w:val="1"/>
    <w:qFormat/>
    <w:uiPriority w:val="0"/>
    <w:pPr>
      <w:ind w:firstLine="420"/>
    </w:pPr>
  </w:style>
  <w:style w:type="paragraph" w:styleId="7">
    <w:name w:val="caption"/>
    <w:basedOn w:val="1"/>
    <w:next w:val="1"/>
    <w:qFormat/>
    <w:uiPriority w:val="99"/>
    <w:rPr>
      <w:rFonts w:ascii="等线 Light" w:hAnsi="等线 Light" w:eastAsia="黑体"/>
      <w:sz w:val="20"/>
      <w:szCs w:val="20"/>
    </w:rPr>
  </w:style>
  <w:style w:type="paragraph" w:styleId="8">
    <w:name w:val="Plain Text"/>
    <w:basedOn w:val="1"/>
    <w:qFormat/>
    <w:uiPriority w:val="0"/>
    <w:rPr>
      <w:rFonts w:ascii="宋体" w:hAnsi="Courier New"/>
      <w:szCs w:val="20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table" w:styleId="12">
    <w:name w:val="Table Grid"/>
    <w:basedOn w:val="11"/>
    <w:unhideWhenUsed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4">
    <w:name w:val="Strong"/>
    <w:basedOn w:val="13"/>
    <w:qFormat/>
    <w:uiPriority w:val="0"/>
    <w:rPr>
      <w:b/>
    </w:rPr>
  </w:style>
  <w:style w:type="character" w:styleId="15">
    <w:name w:val="page number"/>
    <w:basedOn w:val="13"/>
    <w:qFormat/>
    <w:uiPriority w:val="0"/>
  </w:style>
  <w:style w:type="character" w:styleId="16">
    <w:name w:val="Hyperlink"/>
    <w:basedOn w:val="13"/>
    <w:qFormat/>
    <w:uiPriority w:val="0"/>
    <w:rPr>
      <w:color w:val="0000FF"/>
      <w:u w:val="single"/>
    </w:rPr>
  </w:style>
  <w:style w:type="character" w:customStyle="1" w:styleId="17">
    <w:name w:val="font01"/>
    <w:basedOn w:val="13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18">
    <w:name w:val="font1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9">
    <w:name w:val="font81"/>
    <w:basedOn w:val="13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20">
    <w:name w:val="font112"/>
    <w:basedOn w:val="13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21">
    <w:name w:val="font101"/>
    <w:basedOn w:val="13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  <w:vertAlign w:val="superscript"/>
    </w:rPr>
  </w:style>
  <w:style w:type="character" w:customStyle="1" w:styleId="22">
    <w:name w:val="font21"/>
    <w:basedOn w:val="13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paragraph" w:customStyle="1" w:styleId="23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Theme="minorEastAsia" w:cstheme="minorBidi"/>
      <w:color w:val="000000"/>
      <w:kern w:val="0"/>
      <w:sz w:val="24"/>
      <w:szCs w:val="24"/>
      <w:lang w:val="en-US" w:eastAsia="zh-CN" w:bidi="ar-SA"/>
    </w:rPr>
  </w:style>
  <w:style w:type="paragraph" w:customStyle="1" w:styleId="24">
    <w:name w:val="无间隔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25">
    <w:name w:val="彩色列表 - 强调文字颜色 11"/>
    <w:basedOn w:val="1"/>
    <w:qFormat/>
    <w:uiPriority w:val="99"/>
    <w:pPr>
      <w:ind w:firstLine="420" w:firstLineChars="200"/>
    </w:pPr>
    <w:rPr>
      <w:rFonts w:ascii="Calibri" w:hAnsi="Calibri"/>
      <w:szCs w:val="22"/>
    </w:rPr>
  </w:style>
  <w:style w:type="paragraph" w:customStyle="1" w:styleId="26">
    <w:name w:val="正文_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7">
    <w:name w:val="List Paragraph1"/>
    <w:basedOn w:val="1"/>
    <w:qFormat/>
    <w:uiPriority w:val="0"/>
    <w:pPr>
      <w:ind w:firstLine="420" w:firstLineChars="200"/>
    </w:pPr>
  </w:style>
  <w:style w:type="paragraph" w:styleId="28">
    <w:name w:val="List Paragraph"/>
    <w:basedOn w:val="1"/>
    <w:qFormat/>
    <w:uiPriority w:val="34"/>
    <w:pPr>
      <w:ind w:firstLine="420" w:firstLineChars="200"/>
    </w:pPr>
    <w:rPr>
      <w:rFonts w:ascii="Calibri" w:hAnsi="Calibri" w:eastAsia="宋体"/>
    </w:rPr>
  </w:style>
  <w:style w:type="paragraph" w:customStyle="1" w:styleId="29">
    <w:name w:val="_Style 2"/>
    <w:qFormat/>
    <w:uiPriority w:val="1"/>
    <w:pPr>
      <w:widowControl w:val="0"/>
      <w:jc w:val="both"/>
    </w:pPr>
    <w:rPr>
      <w:rFonts w:ascii="Calibri" w:hAnsi="Calibr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30">
    <w:name w:val="正文文本 (2)1"/>
    <w:basedOn w:val="1"/>
    <w:link w:val="32"/>
    <w:qFormat/>
    <w:uiPriority w:val="0"/>
    <w:pPr>
      <w:shd w:val="clear" w:color="auto" w:fill="FFFFFF"/>
      <w:spacing w:after="420" w:line="466" w:lineRule="exact"/>
      <w:ind w:hanging="760"/>
      <w:jc w:val="distribute"/>
    </w:pPr>
    <w:rPr>
      <w:rFonts w:ascii="黑体" w:hAnsi="黑体" w:eastAsia="黑体" w:cs="黑体"/>
      <w:sz w:val="22"/>
      <w:szCs w:val="22"/>
    </w:rPr>
  </w:style>
  <w:style w:type="character" w:customStyle="1" w:styleId="31">
    <w:name w:val="正文文本 (2) + 粗体"/>
    <w:basedOn w:val="32"/>
    <w:qFormat/>
    <w:uiPriority w:val="0"/>
    <w:rPr>
      <w:b/>
      <w:bCs/>
      <w:color w:val="000000"/>
      <w:spacing w:val="0"/>
      <w:w w:val="100"/>
      <w:position w:val="0"/>
      <w:u w:val="none"/>
      <w:lang w:val="en-US" w:eastAsia="en-US" w:bidi="en-US"/>
    </w:rPr>
  </w:style>
  <w:style w:type="character" w:customStyle="1" w:styleId="32">
    <w:name w:val="正文文本 (2)_"/>
    <w:basedOn w:val="13"/>
    <w:link w:val="30"/>
    <w:qFormat/>
    <w:uiPriority w:val="0"/>
    <w:rPr>
      <w:rFonts w:ascii="黑体" w:hAnsi="黑体" w:eastAsia="黑体" w:cs="黑体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2018-04-24T06:39:00Z</dcterms:created>
  <dc:creator>丁丁猫</dc:creator>
  <cp:lastModifiedBy>丁丁猫</cp:lastModifiedBy>
  <dcterms:modified xsi:type="dcterms:W3CDTF">2020-05-27T02:43:43Z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