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一、项目名称：沿河土家族自治县2019年农村人居环境综合整治工程水泥</w:t>
      </w:r>
      <w:bookmarkStart w:id="0" w:name="_GoBack"/>
      <w:bookmarkEnd w:id="0"/>
      <w:r>
        <w:rPr>
          <w:rFonts w:hint="eastAsia" w:ascii="仿宋_GB2312" w:hAnsi="仿宋_GB2312" w:eastAsia="仿宋_GB2312" w:cs="仿宋_GB2312"/>
          <w:sz w:val="28"/>
          <w:szCs w:val="28"/>
          <w:lang w:eastAsia="zh-CN"/>
        </w:rPr>
        <w:t>采购项目</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二、项目编号：YHCGGK-20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-0</w:t>
      </w:r>
      <w:r>
        <w:rPr>
          <w:rFonts w:hint="eastAsia" w:ascii="仿宋_GB2312" w:hAnsi="仿宋_GB2312" w:eastAsia="仿宋_GB2312" w:cs="仿宋_GB2312"/>
          <w:sz w:val="28"/>
          <w:szCs w:val="28"/>
          <w:lang w:val="en-US" w:eastAsia="zh-CN"/>
        </w:rPr>
        <w:t>2</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三、项目预算：</w:t>
      </w:r>
      <w:r>
        <w:rPr>
          <w:rFonts w:hint="eastAsia" w:ascii="仿宋_GB2312" w:hAnsi="仿宋_GB2312" w:eastAsia="仿宋_GB2312" w:cs="仿宋_GB2312"/>
          <w:sz w:val="28"/>
          <w:szCs w:val="28"/>
          <w:lang w:val="en-US" w:eastAsia="zh-CN"/>
        </w:rPr>
        <w:t>43000000元</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四、交货期限：合同签订后至项目实施结束</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五、质量标准：按国家标准GB175—2007（水泥标准）执行（若国标有修订，按国家新颁布的标准执行）</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六、采购方式：公开招标</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评审办法：综合评分法</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七、资格要求：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（1）一般资格要求：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参加政府采购活动的供应商应当具备政府采购法第二十二条规定的条件，并提供下列材料：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③2018年度的财务状况报告材料。企业新成立的，提供银行出具的资信证明；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④2019年7月至今任意一个月依法缴纳税收相关材料和社会保障资金的相关材料；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⑤参加政府采购活动前3年内在经营活动中没有重大违法记录的书面声明；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（2）未被“信用中国”网站（www.creditchina.gov.cn）、中国政府采购网（http://www.ccgp.gov.cn/cr/list）列入失信被执行人、重大税收违法案件当事人名单、政府采购严重失信行为记录名单;</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（3）单位负责人为同一人或者存在直接控股、管理关系的不同供应商，不得同时参加本项目的政府采购活动；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（4）为采购项目提供整体设计、规范编制或者项目管理、监理、检测等服务的供应商不得参加该采购项目的采购活动；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（5）符合法律法规规定的其他条件；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（6）本次招标接受联合体投标，中标后不得分包转让。</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（7）特殊资格要求：无</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八、技术参数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90"/>
        <w:gridCol w:w="2640"/>
        <w:gridCol w:w="1485"/>
        <w:gridCol w:w="150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货物名称</w:t>
            </w:r>
          </w:p>
        </w:tc>
        <w:tc>
          <w:tcPr>
            <w:tcW w:w="2190"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型号及包装规格</w:t>
            </w:r>
          </w:p>
        </w:tc>
        <w:tc>
          <w:tcPr>
            <w:tcW w:w="2640"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质量要求、技术标准</w:t>
            </w:r>
          </w:p>
        </w:tc>
        <w:tc>
          <w:tcPr>
            <w:tcW w:w="1485"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数量</w:t>
            </w:r>
          </w:p>
        </w:tc>
        <w:tc>
          <w:tcPr>
            <w:tcW w:w="1500"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预算单价</w:t>
            </w:r>
          </w:p>
        </w:tc>
        <w:tc>
          <w:tcPr>
            <w:tcW w:w="959" w:type="dxa"/>
            <w:vAlign w:val="center"/>
          </w:tcPr>
          <w:p>
            <w:pPr>
              <w:spacing w:line="360" w:lineRule="auto"/>
              <w:jc w:val="cente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pPr>
              <w:spacing w:line="360" w:lineRule="auto"/>
              <w:jc w:val="both"/>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水泥</w:t>
            </w:r>
          </w:p>
        </w:tc>
        <w:tc>
          <w:tcPr>
            <w:tcW w:w="2190" w:type="dxa"/>
            <w:vAlign w:val="center"/>
          </w:tcPr>
          <w:p>
            <w:pPr>
              <w:spacing w:line="360" w:lineRule="auto"/>
              <w:jc w:val="both"/>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P.C42.5；</w:t>
            </w:r>
          </w:p>
          <w:p>
            <w:pPr>
              <w:spacing w:line="360" w:lineRule="auto"/>
              <w:jc w:val="both"/>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规格：塑料编织袋50kg/袋</w:t>
            </w:r>
          </w:p>
        </w:tc>
        <w:tc>
          <w:tcPr>
            <w:tcW w:w="2640" w:type="dxa"/>
            <w:vAlign w:val="center"/>
          </w:tcPr>
          <w:p>
            <w:pPr>
              <w:spacing w:line="360" w:lineRule="auto"/>
              <w:jc w:val="both"/>
              <w:rPr>
                <w:rFonts w:hint="eastAsia" w:ascii="宋体" w:hAnsi="宋体"/>
                <w:sz w:val="28"/>
                <w:szCs w:val="28"/>
                <w:vertAlign w:val="baseline"/>
                <w:lang w:val="en-US" w:eastAsia="zh-CN"/>
              </w:rPr>
            </w:pPr>
            <w:r>
              <w:rPr>
                <w:rFonts w:hint="eastAsia" w:ascii="宋体" w:hAnsi="宋体"/>
                <w:sz w:val="28"/>
                <w:szCs w:val="28"/>
                <w:vertAlign w:val="baseline"/>
                <w:lang w:val="en-US" w:eastAsia="zh-CN"/>
              </w:rPr>
              <w:t>按国家标准GB175—2007（水泥标准）执行（若国标有修订，按国家新颁布的标准执行）</w:t>
            </w:r>
          </w:p>
        </w:tc>
        <w:tc>
          <w:tcPr>
            <w:tcW w:w="1485" w:type="dxa"/>
            <w:vAlign w:val="center"/>
          </w:tcPr>
          <w:p>
            <w:pPr>
              <w:spacing w:line="360" w:lineRule="auto"/>
              <w:jc w:val="both"/>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100000吨</w:t>
            </w:r>
          </w:p>
        </w:tc>
        <w:tc>
          <w:tcPr>
            <w:tcW w:w="1500" w:type="dxa"/>
            <w:vAlign w:val="center"/>
          </w:tcPr>
          <w:p>
            <w:pPr>
              <w:spacing w:line="360" w:lineRule="auto"/>
              <w:jc w:val="both"/>
              <w:rPr>
                <w:rFonts w:hint="eastAsia" w:ascii="宋体" w:hAnsi="宋体"/>
                <w:sz w:val="28"/>
                <w:szCs w:val="28"/>
                <w:vertAlign w:val="baseline"/>
                <w:lang w:val="en-US" w:eastAsia="zh-CN"/>
              </w:rPr>
            </w:pPr>
            <w:r>
              <w:rPr>
                <w:rFonts w:hint="eastAsia" w:ascii="宋体" w:hAnsi="宋体"/>
                <w:sz w:val="28"/>
                <w:szCs w:val="28"/>
                <w:lang w:val="en-US" w:eastAsia="zh-CN"/>
              </w:rPr>
              <w:t>430元/吨</w:t>
            </w:r>
          </w:p>
        </w:tc>
        <w:tc>
          <w:tcPr>
            <w:tcW w:w="959" w:type="dxa"/>
            <w:vAlign w:val="center"/>
          </w:tcPr>
          <w:p>
            <w:pPr>
              <w:spacing w:line="360" w:lineRule="auto"/>
              <w:jc w:val="both"/>
              <w:rPr>
                <w:rFonts w:hint="eastAsia" w:ascii="宋体" w:hAnsi="宋体"/>
                <w:sz w:val="28"/>
                <w:szCs w:val="28"/>
                <w:lang w:val="en-US" w:eastAsia="zh-CN"/>
              </w:rPr>
            </w:pPr>
          </w:p>
        </w:tc>
      </w:tr>
    </w:tbl>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43660"/>
    <w:rsid w:val="348118A8"/>
    <w:rsid w:val="70F57D29"/>
    <w:rsid w:val="7B5B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2020-04-13T10:26:07Z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