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before="100" w:beforeAutospacing="1" w:after="175" w:line="401" w:lineRule="atLeast"/>
        <w:jc w:val="left"/>
        <w:rPr>
          <w:rFonts w:hint="eastAsia" w:ascii="宋体" w:hAnsi="宋体" w:cs="宋体"/>
          <w:b/>
          <w:bCs/>
          <w:color w:val="000000"/>
          <w:sz w:val="28"/>
          <w:szCs w:val="28"/>
        </w:rPr>
      </w:pPr>
      <w:bookmarkStart w:id="0" w:name="OLE_LINK1"/>
      <w:bookmarkStart w:id="1" w:name="OLE_LINK3"/>
      <w:bookmarkStart w:id="2" w:name="OLE_LINK2"/>
      <w:r>
        <w:rPr>
          <w:rFonts w:hint="eastAsia" w:ascii="宋体" w:hAnsi="宋体" w:cs="宋体"/>
          <w:b/>
          <w:bCs/>
          <w:color w:val="000000"/>
          <w:sz w:val="28"/>
          <w:szCs w:val="28"/>
          <w:lang w:val="en-US" w:eastAsia="zh-CN"/>
        </w:rPr>
        <w:t>1.</w:t>
      </w:r>
      <w:bookmarkStart w:id="3" w:name="_GoBack"/>
      <w:bookmarkEnd w:id="3"/>
      <w:r>
        <w:rPr>
          <w:rFonts w:hint="eastAsia" w:ascii="宋体" w:hAnsi="宋体" w:cs="宋体"/>
          <w:b/>
          <w:bCs/>
          <w:color w:val="000000"/>
          <w:sz w:val="28"/>
          <w:szCs w:val="28"/>
        </w:rPr>
        <w:t>项目名称：铜仁市妇幼保健计划生育服务中心网络安全等级保护项目采购及安装</w:t>
      </w:r>
    </w:p>
    <w:p>
      <w:pPr>
        <w:widowControl/>
        <w:numPr>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20-018</w:t>
      </w:r>
    </w:p>
    <w:p>
      <w:pPr>
        <w:widowControl/>
        <w:numPr>
          <w:ilvl w:val="0"/>
          <w:numId w:val="0"/>
        </w:numPr>
        <w:spacing w:before="100" w:beforeAutospacing="1" w:after="175" w:line="401" w:lineRule="atLeast"/>
        <w:ind w:leftChars="0"/>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24</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26</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w:t>
      </w:r>
      <w:r>
        <w:rPr>
          <w:rFonts w:hint="eastAsia" w:ascii="宋体" w:hAnsi="宋体" w:cs="宋体"/>
          <w:b/>
          <w:bCs/>
          <w:color w:val="000000"/>
          <w:sz w:val="28"/>
          <w:szCs w:val="28"/>
          <w:lang w:val="en-US" w:eastAsia="zh-CN"/>
        </w:rPr>
        <w:t>1420000.00</w:t>
      </w:r>
      <w:r>
        <w:rPr>
          <w:rFonts w:hint="eastAsia" w:ascii="宋体" w:hAnsi="宋体" w:cs="宋体"/>
          <w:b/>
          <w:bCs/>
          <w:color w:val="000000"/>
          <w:sz w:val="28"/>
          <w:szCs w:val="28"/>
        </w:rPr>
        <w:t>元（最</w:t>
      </w:r>
      <w:r>
        <w:rPr>
          <w:rFonts w:hint="eastAsia" w:ascii="宋体" w:hAnsi="宋体" w:cs="宋体"/>
          <w:b/>
          <w:bCs/>
          <w:color w:val="000000"/>
          <w:sz w:val="28"/>
          <w:szCs w:val="28"/>
          <w:lang w:eastAsia="zh-CN"/>
        </w:rPr>
        <w:t>低</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1420000.00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p>
    <w:p>
      <w:pPr>
        <w:widowControl/>
        <w:spacing w:before="100" w:beforeAutospacing="1" w:after="175" w:line="401" w:lineRule="atLeast"/>
        <w:jc w:val="left"/>
        <w:rPr>
          <w:rFonts w:hint="eastAsia" w:ascii="宋体" w:hAnsi="宋体" w:cs="宋体"/>
          <w:b/>
          <w:bCs/>
          <w:color w:val="000000"/>
          <w:sz w:val="28"/>
          <w:szCs w:val="28"/>
        </w:rPr>
      </w:pPr>
      <w:r>
        <w:rPr>
          <w:rFonts w:hint="eastAsia" w:ascii="宋体" w:hAnsi="宋体" w:cs="宋体"/>
          <w:b/>
          <w:bCs/>
          <w:color w:val="000000"/>
          <w:sz w:val="28"/>
          <w:szCs w:val="28"/>
        </w:rPr>
        <w:t>铜仁市</w:t>
      </w:r>
      <w:r>
        <w:rPr>
          <w:rFonts w:hint="eastAsia" w:ascii="宋体" w:hAnsi="宋体" w:cs="宋体"/>
          <w:b/>
          <w:bCs/>
          <w:color w:val="000000"/>
          <w:sz w:val="28"/>
          <w:szCs w:val="28"/>
          <w:lang w:eastAsia="zh-CN"/>
        </w:rPr>
        <w:t>直</w:t>
      </w:r>
      <w:r>
        <w:rPr>
          <w:rFonts w:hint="eastAsia" w:ascii="宋体" w:hAnsi="宋体" w:cs="宋体"/>
          <w:b/>
          <w:bCs/>
          <w:color w:val="000000"/>
          <w:sz w:val="28"/>
          <w:szCs w:val="28"/>
        </w:rPr>
        <w:t>政府采购</w:t>
      </w:r>
      <w:r>
        <w:rPr>
          <w:rFonts w:hint="eastAsia" w:ascii="宋体" w:hAnsi="宋体" w:cs="宋体"/>
          <w:b/>
          <w:bCs/>
          <w:color w:val="000000"/>
          <w:sz w:val="28"/>
          <w:szCs w:val="28"/>
          <w:lang w:eastAsia="zh-CN"/>
        </w:rPr>
        <w:t>（集中采购）</w:t>
      </w:r>
      <w:r>
        <w:rPr>
          <w:rFonts w:hint="eastAsia" w:ascii="宋体" w:hAnsi="宋体" w:cs="宋体"/>
          <w:b/>
          <w:bCs/>
          <w:color w:val="000000"/>
          <w:sz w:val="28"/>
          <w:szCs w:val="28"/>
        </w:rPr>
        <w:t>申请表</w:t>
      </w:r>
    </w:p>
    <w:p>
      <w:pPr>
        <w:widowControl/>
        <w:numPr>
          <w:ilvl w:val="0"/>
          <w:numId w:val="1"/>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采购人名称: 铜仁市妇幼保健计划生育服务中心</w:t>
      </w:r>
    </w:p>
    <w:p>
      <w:pPr>
        <w:widowControl/>
        <w:numPr>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 铜仁市妇幼保健计划生育服务中心</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项目联系人:王科长</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联系电话:18608568973</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4"/>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4"/>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pStyle w:val="2"/>
        <w:jc w:val="center"/>
        <w:rPr>
          <w:rFonts w:hint="eastAsia" w:ascii="宋体" w:hAnsi="宋体"/>
          <w:sz w:val="44"/>
          <w:szCs w:val="44"/>
          <w:highlight w:val="whit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ascii="宋体" w:hAnsi="宋体"/>
          <w:sz w:val="44"/>
          <w:szCs w:val="44"/>
          <w:highlight w:val="white"/>
        </w:rPr>
      </w:pPr>
      <w:r>
        <w:rPr>
          <w:rFonts w:hint="eastAsia" w:ascii="宋体" w:hAnsi="宋体"/>
          <w:sz w:val="44"/>
          <w:szCs w:val="44"/>
          <w:highlight w:val="white"/>
        </w:rPr>
        <w:t>采购需求</w:t>
      </w:r>
    </w:p>
    <w:p>
      <w:pPr>
        <w:spacing w:before="120" w:after="120"/>
        <w:ind w:firstLine="420" w:firstLineChars="200"/>
        <w:rPr>
          <w:rFonts w:hint="eastAsia"/>
        </w:rPr>
      </w:pPr>
      <w:r>
        <w:rPr>
          <w:rFonts w:hint="eastAsia"/>
        </w:rPr>
        <w:t>采购人保留测试权限，如采购人对中标人所投产品功能存在疑惑，中标方需在公布中标结果后</w:t>
      </w:r>
      <w:r>
        <w:t>3个工作日内到采购方进行参数测试，测试通过后由采购方出具测试通过函,再给予发放中标通知书。如果测试发现中标人有虚假应答情况则取消其中标人资格，并由第二中标人候选人继续测试，测试通过后由最终用户出具测试通过函,再给予发放中标通知书。以此类推。</w:t>
      </w: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765"/>
        <w:gridCol w:w="1014"/>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 w:type="dxa"/>
            <w:noWrap w:val="0"/>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765" w:type="dxa"/>
            <w:noWrap w:val="0"/>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名称</w:t>
            </w:r>
          </w:p>
        </w:tc>
        <w:tc>
          <w:tcPr>
            <w:tcW w:w="1014" w:type="dxa"/>
            <w:noWrap w:val="0"/>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数量</w:t>
            </w:r>
          </w:p>
        </w:tc>
        <w:tc>
          <w:tcPr>
            <w:tcW w:w="6522" w:type="dxa"/>
            <w:noWrap w:val="0"/>
            <w:vAlign w:val="center"/>
          </w:tcPr>
          <w:p>
            <w:pPr>
              <w:rPr>
                <w:rFonts w:ascii="宋体" w:hAnsi="宋体" w:cs="宋体"/>
                <w:b/>
                <w:bCs/>
                <w:color w:val="000000"/>
                <w:sz w:val="18"/>
                <w:szCs w:val="18"/>
              </w:rPr>
            </w:pPr>
            <w:r>
              <w:rPr>
                <w:rFonts w:hint="eastAsia" w:ascii="宋体" w:hAnsi="宋体" w:cs="宋体"/>
                <w:b/>
                <w:bCs/>
                <w:color w:val="000000"/>
                <w:sz w:val="18"/>
                <w:szCs w:val="18"/>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7" w:hRule="atLeast"/>
        </w:trPr>
        <w:tc>
          <w:tcPr>
            <w:tcW w:w="41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65"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下一代防火墙</w:t>
            </w:r>
          </w:p>
        </w:tc>
        <w:tc>
          <w:tcPr>
            <w:tcW w:w="1014" w:type="dxa"/>
            <w:noWrap w:val="0"/>
            <w:vAlign w:val="center"/>
          </w:tcPr>
          <w:p>
            <w:pPr>
              <w:rPr>
                <w:rFonts w:ascii="宋体" w:hAnsi="宋体" w:cs="宋体"/>
                <w:color w:val="000000"/>
                <w:sz w:val="18"/>
                <w:szCs w:val="18"/>
              </w:rPr>
            </w:pPr>
            <w:r>
              <w:rPr>
                <w:rFonts w:hint="eastAsia" w:ascii="宋体" w:hAnsi="宋体" w:cs="宋体"/>
                <w:color w:val="000000"/>
                <w:sz w:val="18"/>
                <w:szCs w:val="18"/>
              </w:rPr>
              <w:t>3台</w:t>
            </w:r>
          </w:p>
        </w:tc>
        <w:tc>
          <w:tcPr>
            <w:tcW w:w="6522" w:type="dxa"/>
            <w:noWrap w:val="0"/>
            <w:vAlign w:val="center"/>
          </w:tcPr>
          <w:p>
            <w:pPr>
              <w:rPr>
                <w:rFonts w:ascii="宋体" w:hAnsi="宋体" w:cs="宋体"/>
                <w:color w:val="000000"/>
                <w:sz w:val="18"/>
                <w:szCs w:val="18"/>
              </w:rPr>
            </w:pPr>
            <w:r>
              <w:rPr>
                <w:rFonts w:hint="eastAsia" w:ascii="宋体" w:hAnsi="宋体" w:cs="宋体"/>
                <w:color w:val="000000"/>
                <w:sz w:val="18"/>
                <w:szCs w:val="18"/>
              </w:rPr>
              <w:t>1、主机配置≥6个10/100/1000M Base-TX；≥2个SFP光口插槽；吞吐量≥2.2Gbps，系统具备防火墙访问控制、流量控制、病毒防护、入侵防护、web防护、应用识别功能；</w:t>
            </w:r>
            <w:r>
              <w:rPr>
                <w:rFonts w:hint="eastAsia" w:ascii="宋体" w:hAnsi="宋体" w:cs="宋体"/>
                <w:color w:val="000000"/>
                <w:sz w:val="18"/>
                <w:szCs w:val="18"/>
              </w:rPr>
              <w:br w:type="textWrapping"/>
            </w:r>
            <w:r>
              <w:rPr>
                <w:rFonts w:hint="eastAsia" w:ascii="宋体" w:hAnsi="宋体" w:cs="宋体"/>
                <w:color w:val="000000"/>
                <w:sz w:val="18"/>
                <w:szCs w:val="18"/>
              </w:rPr>
              <w:t>★2、具备系统主要防护功能的统一化模版设置，模版分为高、中、低三个级别，分别对应不同防护强度，可通过Web界面单击选择切换；按功能模块的配置导入导出功能</w:t>
            </w:r>
            <w:r>
              <w:rPr>
                <w:rFonts w:ascii="Calibri" w:hAnsi="Calibri" w:cs="Calibri"/>
                <w:color w:val="000000"/>
                <w:sz w:val="18"/>
                <w:szCs w:val="18"/>
              </w:rPr>
              <w:t>（提供截图证明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r>
              <w:rPr>
                <w:rFonts w:hint="eastAsia" w:ascii="宋体" w:hAnsi="宋体" w:cs="宋体"/>
                <w:color w:val="000000"/>
                <w:sz w:val="18"/>
                <w:szCs w:val="18"/>
              </w:rPr>
              <w:br w:type="textWrapping"/>
            </w:r>
            <w:r>
              <w:rPr>
                <w:rFonts w:hint="eastAsia" w:ascii="宋体" w:hAnsi="宋体" w:cs="宋体"/>
                <w:color w:val="000000"/>
                <w:sz w:val="18"/>
                <w:szCs w:val="18"/>
              </w:rPr>
              <w:t>3、具备基于应用的策略路由，可实现为不同的应用类型智能选择相应的链路）、必须具备基于 WEB地址URL的策略路由，可实现将不同类型的网站流量智能分配到不同的链路）、必须具备基于文件类型的策略路由，可实现将预定义或者自定义的文件按照不同的分类进行智能选路。</w:t>
            </w:r>
            <w:r>
              <w:rPr>
                <w:rFonts w:hint="eastAsia" w:ascii="宋体" w:hAnsi="宋体" w:cs="宋体"/>
                <w:color w:val="000000"/>
                <w:sz w:val="18"/>
                <w:szCs w:val="18"/>
              </w:rPr>
              <w:br w:type="textWrapping"/>
            </w:r>
            <w:r>
              <w:rPr>
                <w:rFonts w:hint="eastAsia" w:ascii="宋体" w:hAnsi="宋体" w:cs="宋体"/>
                <w:color w:val="000000"/>
                <w:sz w:val="18"/>
                <w:szCs w:val="18"/>
              </w:rPr>
              <w:t>4、具备ISP路由，具备联通、电信、教育网、移动等ISP服务商地址列表，列表可导出及导入，可通过Web界面选择不同的ISP服务商实现快速切换。</w:t>
            </w:r>
            <w:r>
              <w:rPr>
                <w:rFonts w:hint="eastAsia" w:ascii="宋体" w:hAnsi="宋体" w:cs="宋体"/>
                <w:color w:val="000000"/>
                <w:sz w:val="18"/>
                <w:szCs w:val="18"/>
              </w:rPr>
              <w:br w:type="textWrapping"/>
            </w:r>
            <w:r>
              <w:rPr>
                <w:rFonts w:hint="eastAsia" w:ascii="宋体" w:hAnsi="宋体" w:cs="宋体"/>
                <w:color w:val="000000"/>
                <w:sz w:val="18"/>
                <w:szCs w:val="18"/>
              </w:rPr>
              <w:t>★5、具备一体化安全策略配置，可以通过一条策略实现用户认证、IPS、防病毒、URL过滤、协议控制、流量控制、并发、新建限制、垃圾邮件过滤、审计等功能,简化用户管理。</w:t>
            </w:r>
            <w:r>
              <w:rPr>
                <w:rFonts w:hint="eastAsia" w:ascii="宋体" w:hAnsi="宋体" w:cs="宋体"/>
                <w:color w:val="000000"/>
                <w:sz w:val="18"/>
                <w:szCs w:val="18"/>
              </w:rPr>
              <w:br w:type="textWrapping"/>
            </w:r>
            <w:r>
              <w:rPr>
                <w:rFonts w:hint="eastAsia" w:ascii="宋体" w:hAnsi="宋体" w:cs="宋体"/>
                <w:color w:val="000000"/>
                <w:sz w:val="18"/>
                <w:szCs w:val="18"/>
              </w:rPr>
              <w:t>★6、具备将源MAC作为独立的访问控制条件，防止非法设备接入、具备同一个地址对象中可以包含IP、IP段、IP range、排除地址等多种类型。</w:t>
            </w:r>
            <w:r>
              <w:rPr>
                <w:rFonts w:hint="eastAsia" w:ascii="宋体" w:hAnsi="宋体" w:cs="宋体"/>
                <w:color w:val="000000"/>
                <w:sz w:val="18"/>
                <w:szCs w:val="18"/>
              </w:rPr>
              <w:br w:type="textWrapping"/>
            </w:r>
            <w:r>
              <w:rPr>
                <w:rFonts w:hint="eastAsia" w:ascii="宋体" w:hAnsi="宋体" w:cs="宋体"/>
                <w:color w:val="000000"/>
                <w:sz w:val="18"/>
                <w:szCs w:val="18"/>
              </w:rPr>
              <w:t>7、具备针对策略中的源、目的地址进行并发限制，可以针对单IP(或地址范围)进行并发控制、具备针对策略中的源、目的地址进行新建限制，可以针对单IP(或地址范围)进行新建控制。 具备基于策略的入侵检测与防护，可针对不同的源目IP地址、源MAC地址、服务、时间、安全域、用户等，采用不同的入侵防护策略。</w:t>
            </w:r>
            <w:r>
              <w:rPr>
                <w:rFonts w:hint="eastAsia" w:ascii="宋体" w:hAnsi="宋体" w:cs="宋体"/>
                <w:color w:val="000000"/>
                <w:sz w:val="18"/>
                <w:szCs w:val="18"/>
              </w:rPr>
              <w:br w:type="textWrapping"/>
            </w:r>
            <w:r>
              <w:rPr>
                <w:rFonts w:hint="eastAsia" w:ascii="宋体" w:hAnsi="宋体" w:cs="宋体"/>
                <w:color w:val="000000"/>
                <w:sz w:val="18"/>
                <w:szCs w:val="18"/>
              </w:rPr>
              <w:t>★8、SSL  VPN具备≥20个并发用户授权，不需要单独付费.</w:t>
            </w:r>
            <w:r>
              <w:rPr>
                <w:rFonts w:hint="eastAsia" w:ascii="宋体" w:hAnsi="宋体" w:cs="宋体"/>
                <w:color w:val="000000"/>
                <w:sz w:val="18"/>
                <w:szCs w:val="18"/>
              </w:rPr>
              <w:br w:type="textWrapping"/>
            </w:r>
            <w:r>
              <w:rPr>
                <w:rFonts w:hint="eastAsia" w:ascii="宋体" w:hAnsi="宋体" w:cs="宋体"/>
                <w:color w:val="000000"/>
                <w:sz w:val="18"/>
                <w:szCs w:val="18"/>
              </w:rPr>
              <w:t>9、支持IPv6安全控制策略设置，能针对IPV6的目的/源地址、目的/源服务端口、服务、扩展头属性等条件进行安全访问规则的设置；</w:t>
            </w:r>
            <w:r>
              <w:rPr>
                <w:rFonts w:hint="eastAsia" w:ascii="宋体" w:hAnsi="宋体" w:cs="宋体"/>
                <w:color w:val="000000"/>
                <w:sz w:val="18"/>
                <w:szCs w:val="18"/>
              </w:rPr>
              <w:br w:type="textWrapping"/>
            </w:r>
            <w:r>
              <w:rPr>
                <w:rFonts w:hint="eastAsia" w:ascii="宋体" w:hAnsi="宋体" w:cs="宋体"/>
                <w:color w:val="000000"/>
                <w:sz w:val="18"/>
                <w:szCs w:val="18"/>
              </w:rPr>
              <w:t>10、支持基于IP、协议、连接数的方式统计会话，统计结果可导出，提供统计会话界面截图证明</w:t>
            </w:r>
            <w:r>
              <w:rPr>
                <w:rFonts w:ascii="Calibri" w:hAnsi="Calibri" w:cs="Calibri"/>
                <w:color w:val="000000"/>
                <w:sz w:val="18"/>
                <w:szCs w:val="18"/>
              </w:rPr>
              <w:t>（提供截图证明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r>
              <w:rPr>
                <w:rFonts w:hint="eastAsia" w:ascii="宋体" w:hAnsi="宋体" w:cs="宋体"/>
                <w:color w:val="000000"/>
                <w:sz w:val="18"/>
                <w:szCs w:val="18"/>
              </w:rPr>
              <w:t>；</w:t>
            </w:r>
            <w:r>
              <w:rPr>
                <w:rFonts w:hint="eastAsia" w:ascii="宋体" w:hAnsi="宋体" w:cs="宋体"/>
                <w:color w:val="000000"/>
                <w:sz w:val="18"/>
                <w:szCs w:val="18"/>
              </w:rPr>
              <w:br w:type="textWrapping"/>
            </w:r>
            <w:r>
              <w:rPr>
                <w:rFonts w:hint="eastAsia" w:ascii="宋体" w:hAnsi="宋体" w:cs="宋体"/>
                <w:color w:val="000000"/>
                <w:sz w:val="18"/>
                <w:szCs w:val="18"/>
              </w:rPr>
              <w:t>★11、支持基于IP层以上的各种TCP/IP协议的应用。包括：http，Email，Ftp，网上邻居，Notes，Outlook，Oracle, SQL等各种动态和静态的C/S应用；支持内网DNS、支持对应用的透明访问、自动定位URL、支持隐藏服务、应用的快捷方式、自动启动服务。</w:t>
            </w:r>
            <w:r>
              <w:rPr>
                <w:rFonts w:ascii="Calibri" w:hAnsi="Calibri" w:cs="Calibri"/>
                <w:color w:val="000000"/>
                <w:sz w:val="18"/>
                <w:szCs w:val="18"/>
              </w:rPr>
              <w:t>（提供截图证明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r>
              <w:rPr>
                <w:rFonts w:hint="eastAsia" w:ascii="宋体" w:hAnsi="宋体" w:cs="宋体"/>
                <w:color w:val="000000"/>
                <w:sz w:val="18"/>
                <w:szCs w:val="18"/>
              </w:rPr>
              <w:br w:type="textWrapping"/>
            </w:r>
            <w:r>
              <w:rPr>
                <w:rFonts w:hint="eastAsia" w:ascii="宋体" w:hAnsi="宋体" w:cs="宋体"/>
                <w:color w:val="000000"/>
                <w:sz w:val="18"/>
                <w:szCs w:val="18"/>
              </w:rPr>
              <w:t xml:space="preserve">12、提供三年硬件质保、三年病毒库升级、三年入侵防御特征库升级及三年质保； </w:t>
            </w:r>
            <w:r>
              <w:rPr>
                <w:rFonts w:hint="eastAsia" w:ascii="宋体" w:hAnsi="宋体" w:cs="宋体"/>
                <w:color w:val="000000"/>
                <w:sz w:val="18"/>
                <w:szCs w:val="18"/>
              </w:rPr>
              <w:br w:type="textWrapping"/>
            </w:r>
            <w:r>
              <w:rPr>
                <w:rFonts w:hint="eastAsia" w:ascii="宋体" w:hAnsi="宋体" w:cs="宋体"/>
                <w:color w:val="000000"/>
                <w:sz w:val="18"/>
                <w:szCs w:val="18"/>
              </w:rPr>
              <w:t>13、提供公安部销售许可证。</w:t>
            </w:r>
          </w:p>
          <w:p>
            <w:pPr>
              <w:pStyle w:val="29"/>
              <w:numPr>
                <w:ilvl w:val="0"/>
                <w:numId w:val="2"/>
              </w:numPr>
              <w:ind w:firstLineChars="0"/>
              <w:rPr>
                <w:rFonts w:ascii="宋体" w:hAnsi="宋体" w:cs="宋体"/>
                <w:color w:val="000000"/>
                <w:sz w:val="18"/>
                <w:szCs w:val="18"/>
              </w:rPr>
            </w:pPr>
            <w:r>
              <w:rPr>
                <w:rFonts w:hint="eastAsia" w:ascii="宋体" w:hAnsi="宋体" w:cs="宋体"/>
                <w:color w:val="000000"/>
                <w:sz w:val="18"/>
                <w:szCs w:val="18"/>
              </w:rPr>
              <w:t>计算机软件著作权登记证书；</w:t>
            </w:r>
          </w:p>
          <w:p>
            <w:pPr>
              <w:rPr>
                <w:rFonts w:ascii="宋体" w:hAnsi="宋体" w:cs="宋体"/>
                <w:color w:val="000000"/>
                <w:sz w:val="18"/>
                <w:szCs w:val="18"/>
              </w:rPr>
            </w:pPr>
            <w:r>
              <w:rPr>
                <w:rFonts w:hint="eastAsia" w:ascii="宋体" w:hAnsi="宋体" w:cs="宋体"/>
                <w:color w:val="000000"/>
                <w:sz w:val="18"/>
                <w:szCs w:val="18"/>
              </w:rPr>
              <w:t>★15、提供EAL3+测评证书；</w:t>
            </w:r>
          </w:p>
          <w:p>
            <w:pPr>
              <w:pStyle w:val="29"/>
              <w:numPr>
                <w:ilvl w:val="0"/>
                <w:numId w:val="3"/>
              </w:numPr>
              <w:ind w:firstLineChars="0"/>
              <w:rPr>
                <w:rFonts w:ascii="宋体" w:hAnsi="宋体" w:cs="宋体"/>
                <w:color w:val="000000"/>
                <w:sz w:val="18"/>
                <w:szCs w:val="18"/>
              </w:rPr>
            </w:pPr>
            <w:r>
              <w:rPr>
                <w:rFonts w:hint="eastAsia" w:ascii="宋体" w:hAnsi="宋体" w:cs="宋体"/>
                <w:color w:val="000000"/>
                <w:sz w:val="18"/>
                <w:szCs w:val="18"/>
              </w:rPr>
              <w:t>提供中国国家信息安全产品认证证书；</w:t>
            </w:r>
          </w:p>
          <w:p>
            <w:pPr>
              <w:rPr>
                <w:rFonts w:ascii="宋体" w:hAnsi="宋体" w:cs="宋体"/>
                <w:color w:val="000000"/>
                <w:sz w:val="18"/>
                <w:szCs w:val="18"/>
              </w:rPr>
            </w:pPr>
            <w:r>
              <w:rPr>
                <w:rFonts w:hint="eastAsia" w:ascii="宋体" w:hAnsi="宋体" w:cs="宋体"/>
                <w:color w:val="000000"/>
                <w:sz w:val="18"/>
                <w:szCs w:val="18"/>
              </w:rPr>
              <w:t>★17、提供原厂商针对本项目授权书与售后服务承诺函；</w:t>
            </w:r>
          </w:p>
          <w:p>
            <w:pPr>
              <w:rPr>
                <w:rFonts w:ascii="宋体" w:hAnsi="宋体" w:cs="宋体"/>
                <w:color w:val="000000"/>
                <w:sz w:val="18"/>
                <w:szCs w:val="18"/>
              </w:rPr>
            </w:pPr>
            <w:r>
              <w:rPr>
                <w:rFonts w:hint="eastAsia" w:ascii="宋体" w:hAnsi="宋体" w:cs="宋体"/>
                <w:color w:val="000000"/>
                <w:sz w:val="18"/>
                <w:szCs w:val="18"/>
              </w:rPr>
              <w:t>★18、为证明厂商的安全服务能力，需要提供如下资质：中国信息安全认证中心信息安全应急处理服务资质（一级）、中国信息安全认证中心信息安全风险评估服务资质（一级）、中国信息安全认证中心信息系统安全集成服务资质（一级）、国家信息安全测评信息安全服务资质(安全工程类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41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765" w:type="dxa"/>
            <w:noWrap w:val="0"/>
            <w:vAlign w:val="center"/>
          </w:tcPr>
          <w:p>
            <w:pPr>
              <w:widowControl/>
              <w:jc w:val="center"/>
              <w:rPr>
                <w:rFonts w:ascii="宋体" w:hAnsi="宋体" w:eastAsia="宋体" w:cs="宋体"/>
                <w:color w:val="000000"/>
                <w:kern w:val="0"/>
                <w:sz w:val="18"/>
                <w:szCs w:val="24"/>
              </w:rPr>
            </w:pPr>
            <w:r>
              <w:rPr>
                <w:rFonts w:hint="eastAsia" w:ascii="宋体" w:hAnsi="宋体" w:eastAsia="宋体" w:cs="宋体"/>
                <w:color w:val="000000"/>
                <w:kern w:val="0"/>
                <w:sz w:val="18"/>
                <w:szCs w:val="24"/>
              </w:rPr>
              <w:t>日志审计系统</w:t>
            </w:r>
          </w:p>
        </w:tc>
        <w:tc>
          <w:tcPr>
            <w:tcW w:w="1014" w:type="dxa"/>
            <w:noWrap w:val="0"/>
            <w:vAlign w:val="center"/>
          </w:tcPr>
          <w:p>
            <w:pPr>
              <w:rPr>
                <w:rFonts w:ascii="宋体" w:hAnsi="宋体" w:cs="宋体"/>
                <w:color w:val="000000"/>
                <w:sz w:val="18"/>
                <w:szCs w:val="18"/>
              </w:rPr>
            </w:pPr>
            <w:r>
              <w:rPr>
                <w:rFonts w:hint="eastAsia" w:ascii="宋体" w:hAnsi="宋体" w:cs="宋体"/>
                <w:color w:val="000000"/>
                <w:sz w:val="18"/>
                <w:szCs w:val="18"/>
              </w:rPr>
              <w:t>1台</w:t>
            </w:r>
          </w:p>
        </w:tc>
        <w:tc>
          <w:tcPr>
            <w:tcW w:w="6522" w:type="dxa"/>
            <w:noWrap w:val="0"/>
            <w:vAlign w:val="center"/>
          </w:tcPr>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1、</w:t>
            </w:r>
            <w:r>
              <w:rPr>
                <w:rFonts w:ascii="宋体" w:hAnsi="宋体" w:eastAsia="宋体" w:cs="宋体"/>
                <w:color w:val="000000"/>
                <w:kern w:val="0"/>
                <w:sz w:val="18"/>
                <w:szCs w:val="24"/>
              </w:rPr>
              <w:tab/>
            </w:r>
            <w:r>
              <w:rPr>
                <w:rFonts w:ascii="宋体" w:hAnsi="宋体" w:eastAsia="宋体" w:cs="宋体"/>
                <w:color w:val="000000"/>
                <w:kern w:val="0"/>
                <w:sz w:val="18"/>
                <w:szCs w:val="24"/>
              </w:rPr>
              <w:t>日志分析具有日志收集、存储、查询、关联分析、统计分析、上下级管理、自定义告警等功能。 日志处理均值20000EPS，峰值可以达到35000EPS。</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2、</w:t>
            </w:r>
            <w:r>
              <w:rPr>
                <w:rFonts w:ascii="宋体" w:hAnsi="宋体" w:eastAsia="宋体" w:cs="宋体"/>
                <w:color w:val="000000"/>
                <w:kern w:val="0"/>
                <w:sz w:val="18"/>
                <w:szCs w:val="24"/>
              </w:rPr>
              <w:tab/>
            </w:r>
            <w:r>
              <w:rPr>
                <w:rFonts w:ascii="宋体" w:hAnsi="宋体" w:eastAsia="宋体" w:cs="宋体"/>
                <w:color w:val="000000"/>
                <w:kern w:val="0"/>
                <w:sz w:val="18"/>
                <w:szCs w:val="24"/>
              </w:rPr>
              <w:t>支持代理分布式部署采集日志。</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3、</w:t>
            </w:r>
            <w:r>
              <w:rPr>
                <w:rFonts w:ascii="宋体" w:hAnsi="宋体" w:eastAsia="宋体" w:cs="宋体"/>
                <w:color w:val="000000"/>
                <w:kern w:val="0"/>
                <w:sz w:val="18"/>
                <w:szCs w:val="24"/>
              </w:rPr>
              <w:tab/>
            </w:r>
            <w:r>
              <w:rPr>
                <w:rFonts w:ascii="宋体" w:hAnsi="宋体" w:eastAsia="宋体" w:cs="宋体"/>
                <w:color w:val="000000"/>
                <w:kern w:val="0"/>
                <w:sz w:val="18"/>
                <w:szCs w:val="24"/>
              </w:rPr>
              <w:t>日志存储不低于10000条/M，具有数据压缩加密存储能力，压缩比不低于10:1； 支持百亿级数据交互式多条件查询，百亿级数据查询响应时间小于10s</w:t>
            </w:r>
            <w:r>
              <w:rPr>
                <w:rFonts w:hint="eastAsia" w:ascii="宋体" w:hAnsi="宋体" w:eastAsia="宋体" w:cs="宋体"/>
                <w:color w:val="000000"/>
                <w:kern w:val="0"/>
                <w:sz w:val="18"/>
                <w:szCs w:val="24"/>
              </w:rPr>
              <w:t>。</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4、</w:t>
            </w:r>
            <w:r>
              <w:rPr>
                <w:rFonts w:ascii="宋体" w:hAnsi="宋体" w:eastAsia="宋体" w:cs="宋体"/>
                <w:color w:val="000000"/>
                <w:kern w:val="0"/>
                <w:sz w:val="18"/>
                <w:szCs w:val="24"/>
              </w:rPr>
              <w:tab/>
            </w:r>
            <w:r>
              <w:rPr>
                <w:rFonts w:ascii="宋体" w:hAnsi="宋体" w:eastAsia="宋体" w:cs="宋体"/>
                <w:color w:val="000000"/>
                <w:kern w:val="0"/>
                <w:sz w:val="18"/>
                <w:szCs w:val="24"/>
              </w:rPr>
              <w:t>支持安全设备、网络设备、中间件、服务器、数据库、操作系统、业务系统等不少于20类300种日志对象的日志数据采集。</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5、</w:t>
            </w:r>
            <w:r>
              <w:rPr>
                <w:rFonts w:ascii="宋体" w:hAnsi="宋体" w:eastAsia="宋体" w:cs="宋体"/>
                <w:color w:val="000000"/>
                <w:kern w:val="0"/>
                <w:sz w:val="18"/>
                <w:szCs w:val="24"/>
              </w:rPr>
              <w:tab/>
            </w:r>
            <w:r>
              <w:rPr>
                <w:rFonts w:ascii="宋体" w:hAnsi="宋体" w:eastAsia="宋体" w:cs="宋体"/>
                <w:color w:val="000000"/>
                <w:kern w:val="0"/>
                <w:sz w:val="18"/>
                <w:szCs w:val="24"/>
              </w:rPr>
              <w:t>支持对每个日志源设置过滤条件规则，自动过滤无用日志。</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6、</w:t>
            </w:r>
            <w:r>
              <w:rPr>
                <w:rFonts w:ascii="宋体" w:hAnsi="宋体" w:eastAsia="宋体" w:cs="宋体"/>
                <w:color w:val="000000"/>
                <w:kern w:val="0"/>
                <w:sz w:val="18"/>
                <w:szCs w:val="24"/>
              </w:rPr>
              <w:tab/>
            </w:r>
            <w:r>
              <w:rPr>
                <w:rFonts w:ascii="宋体" w:hAnsi="宋体" w:eastAsia="宋体" w:cs="宋体"/>
                <w:color w:val="000000"/>
                <w:kern w:val="0"/>
                <w:sz w:val="18"/>
                <w:szCs w:val="24"/>
              </w:rPr>
              <w:t>支持根据设备重要程度设置独立设置每个被采集源的数据存储时间为1月、3月、6月和永久保存等参数</w:t>
            </w:r>
            <w:r>
              <w:rPr>
                <w:rFonts w:hint="eastAsia" w:ascii="宋体" w:hAnsi="宋体" w:eastAsia="宋体" w:cs="宋体"/>
                <w:color w:val="000000"/>
                <w:kern w:val="0"/>
                <w:sz w:val="18"/>
                <w:szCs w:val="24"/>
              </w:rPr>
              <w:t>。</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7、</w:t>
            </w:r>
            <w:r>
              <w:rPr>
                <w:rFonts w:ascii="宋体" w:hAnsi="宋体" w:eastAsia="宋体" w:cs="宋体"/>
                <w:color w:val="000000"/>
                <w:kern w:val="0"/>
                <w:sz w:val="18"/>
                <w:szCs w:val="24"/>
              </w:rPr>
              <w:tab/>
            </w:r>
            <w:r>
              <w:rPr>
                <w:rFonts w:ascii="宋体" w:hAnsi="宋体" w:eastAsia="宋体" w:cs="宋体"/>
                <w:color w:val="000000"/>
                <w:kern w:val="0"/>
                <w:sz w:val="18"/>
                <w:szCs w:val="24"/>
              </w:rPr>
              <w:t>支持日志备份功能，支持本地备份和FTP备份方式，支持自动备份和手动备份。</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8、</w:t>
            </w:r>
            <w:r>
              <w:rPr>
                <w:rFonts w:ascii="宋体" w:hAnsi="宋体" w:eastAsia="宋体" w:cs="宋体"/>
                <w:color w:val="000000"/>
                <w:kern w:val="0"/>
                <w:sz w:val="18"/>
                <w:szCs w:val="24"/>
              </w:rPr>
              <w:tab/>
            </w:r>
            <w:r>
              <w:rPr>
                <w:rFonts w:ascii="宋体" w:hAnsi="宋体" w:eastAsia="宋体" w:cs="宋体"/>
                <w:color w:val="000000"/>
                <w:kern w:val="0"/>
                <w:sz w:val="18"/>
                <w:szCs w:val="24"/>
              </w:rPr>
              <w:t>设备具有公安部颁发的销售许可证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8"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3</w:t>
            </w:r>
          </w:p>
        </w:tc>
        <w:tc>
          <w:tcPr>
            <w:tcW w:w="765" w:type="dxa"/>
            <w:noWrap w:val="0"/>
            <w:vAlign w:val="center"/>
          </w:tcPr>
          <w:p>
            <w:pPr>
              <w:rPr>
                <w:rFonts w:ascii="宋体" w:hAnsi="宋体" w:cs="宋体"/>
                <w:color w:val="000000"/>
                <w:sz w:val="18"/>
                <w:szCs w:val="18"/>
              </w:rPr>
            </w:pPr>
            <w:r>
              <w:rPr>
                <w:rFonts w:hint="eastAsia" w:ascii="宋体" w:hAnsi="宋体" w:eastAsia="宋体" w:cs="宋体"/>
                <w:color w:val="000000"/>
                <w:kern w:val="0"/>
                <w:sz w:val="18"/>
                <w:szCs w:val="24"/>
              </w:rPr>
              <w:t>运维审计系统</w:t>
            </w:r>
          </w:p>
        </w:tc>
        <w:tc>
          <w:tcPr>
            <w:tcW w:w="1014" w:type="dxa"/>
            <w:noWrap w:val="0"/>
            <w:vAlign w:val="center"/>
          </w:tcPr>
          <w:p>
            <w:pPr>
              <w:rPr>
                <w:rFonts w:ascii="宋体" w:hAnsi="宋体" w:cs="宋体"/>
                <w:color w:val="000000"/>
                <w:sz w:val="20"/>
                <w:szCs w:val="20"/>
              </w:rPr>
            </w:pPr>
            <w:r>
              <w:rPr>
                <w:rFonts w:hint="eastAsia" w:ascii="宋体" w:hAnsi="宋体" w:cs="宋体"/>
                <w:color w:val="000000"/>
                <w:sz w:val="20"/>
                <w:szCs w:val="20"/>
              </w:rPr>
              <w:t>1台</w:t>
            </w:r>
          </w:p>
        </w:tc>
        <w:tc>
          <w:tcPr>
            <w:tcW w:w="6522" w:type="dxa"/>
            <w:noWrap w:val="0"/>
            <w:vAlign w:val="center"/>
          </w:tcPr>
          <w:p>
            <w:pPr>
              <w:rPr>
                <w:rFonts w:ascii="宋体" w:hAnsi="宋体" w:eastAsia="宋体" w:cs="宋体"/>
                <w:color w:val="000000"/>
                <w:kern w:val="0"/>
                <w:sz w:val="18"/>
                <w:szCs w:val="24"/>
              </w:rPr>
            </w:pPr>
            <w:r>
              <w:rPr>
                <w:rFonts w:hint="eastAsia" w:ascii="宋体" w:hAnsi="宋体" w:eastAsia="宋体" w:cs="宋体"/>
                <w:color w:val="000000"/>
                <w:kern w:val="0"/>
                <w:sz w:val="18"/>
                <w:szCs w:val="24"/>
              </w:rPr>
              <w:t>1、标准1U硬件，电管理口≥2个，千兆电业务口≥4个,硬盘≥1T；1个RJ45串口，资产数授权≥100个，最大字符并发连接≥100个，最大图型并发连接≥20个。</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★2、 支持按部门组织架构（至少5个层级的部门）管理用户数据、资产数据、授权数据、审计数据。（需提供相关截图证明并加盖原厂公章）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3、身份认证：支持双因子认证模式，认证方式大于3种，支持基于不同的用户设置不同的双因子认证模式。</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★4、支持自动收集设备IP、运维协议、端口号、账号、密码、与用户的权限关系，甚至可自动完成授权 （需提供国家权威机构证明并加盖原厂公章）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5、设备信息安全：设备信息文件支持加密导出，导出的设备信息文件加密存储，解密时须由2个管理员同时解密才能查看到设备信息文件内容</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★6、支持DB2、oracle、mysql、sqlserver主流数据库协议代理运维，可直接调用本地windows系统的数据库客户端工具，支持自动登录、无需应用发布前置机（须提供相关截图证明并加盖原厂公章）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★7、支持使用本地的SecurCRT/Xshell/OpenSSH工具通过SSH网关代理方式直接登录字符设备；（须提供相关截图证明并加盖原厂公章）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★8、 支持在mac电脑里使用navicat工具通过堡垒机登录mysql、oracle等数据库服务器（须提供相关截图证明并加盖原厂公章）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9、安全联动：支持和同品牌数据库审计系统进行联动，将通过SSH/RDP等加密方式操作数据库的行为整合到数据库审计中，实现数据库行为的统一集中查询、展示、审计分析等；</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10、提供销售许可证、IPV6认证证书、CNNVD兼容性认证证书</w:t>
            </w:r>
          </w:p>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w:t>
            </w:r>
            <w:r>
              <w:rPr>
                <w:rFonts w:ascii="宋体" w:hAnsi="宋体" w:eastAsia="宋体" w:cs="宋体"/>
                <w:color w:val="000000"/>
                <w:kern w:val="0"/>
                <w:sz w:val="18"/>
                <w:szCs w:val="24"/>
              </w:rPr>
              <w:t>1</w:t>
            </w:r>
            <w:r>
              <w:rPr>
                <w:rFonts w:hint="eastAsia" w:ascii="宋体" w:hAnsi="宋体" w:eastAsia="宋体" w:cs="宋体"/>
                <w:color w:val="000000"/>
                <w:kern w:val="0"/>
                <w:sz w:val="18"/>
                <w:szCs w:val="24"/>
              </w:rPr>
              <w:t>1</w:t>
            </w:r>
            <w:r>
              <w:rPr>
                <w:rFonts w:ascii="宋体" w:hAnsi="宋体" w:eastAsia="宋体" w:cs="宋体"/>
                <w:color w:val="000000"/>
                <w:kern w:val="0"/>
                <w:sz w:val="18"/>
                <w:szCs w:val="24"/>
              </w:rPr>
              <w:t>、提供原厂商针对本项目授权书与售后服务承诺函；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0"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4</w:t>
            </w:r>
          </w:p>
        </w:tc>
        <w:tc>
          <w:tcPr>
            <w:tcW w:w="765" w:type="dxa"/>
            <w:noWrap w:val="0"/>
            <w:vAlign w:val="center"/>
          </w:tcPr>
          <w:p>
            <w:pPr>
              <w:rPr>
                <w:rFonts w:ascii="宋体" w:hAnsi="宋体" w:cs="宋体"/>
                <w:color w:val="000000"/>
                <w:sz w:val="18"/>
                <w:szCs w:val="18"/>
              </w:rPr>
            </w:pPr>
            <w:r>
              <w:rPr>
                <w:rFonts w:hint="eastAsia" w:ascii="宋体" w:hAnsi="宋体" w:eastAsia="宋体" w:cs="宋体"/>
                <w:color w:val="000000"/>
                <w:kern w:val="0"/>
                <w:sz w:val="18"/>
                <w:szCs w:val="24"/>
              </w:rPr>
              <w:t>数据库审计（含防统方模块）系统</w:t>
            </w:r>
          </w:p>
        </w:tc>
        <w:tc>
          <w:tcPr>
            <w:tcW w:w="1014" w:type="dxa"/>
            <w:noWrap w:val="0"/>
            <w:vAlign w:val="center"/>
          </w:tcPr>
          <w:p>
            <w:pPr>
              <w:rPr>
                <w:rFonts w:ascii="宋体" w:hAnsi="宋体" w:cs="宋体"/>
                <w:color w:val="000000"/>
                <w:sz w:val="18"/>
                <w:szCs w:val="18"/>
              </w:rPr>
            </w:pPr>
            <w:r>
              <w:rPr>
                <w:rFonts w:hint="eastAsia" w:ascii="宋体" w:hAnsi="宋体" w:cs="宋体"/>
                <w:color w:val="000000"/>
                <w:sz w:val="18"/>
                <w:szCs w:val="18"/>
              </w:rPr>
              <w:t>1台</w:t>
            </w:r>
          </w:p>
        </w:tc>
        <w:tc>
          <w:tcPr>
            <w:tcW w:w="6522" w:type="dxa"/>
            <w:noWrap w:val="0"/>
            <w:vAlign w:val="center"/>
          </w:tcPr>
          <w:p>
            <w:pPr>
              <w:rPr>
                <w:rFonts w:ascii="宋体" w:hAnsi="宋体" w:eastAsia="宋体" w:cs="宋体"/>
                <w:color w:val="000000"/>
                <w:kern w:val="0"/>
                <w:sz w:val="18"/>
                <w:szCs w:val="24"/>
              </w:rPr>
            </w:pPr>
            <w:r>
              <w:rPr>
                <w:rFonts w:hint="eastAsia" w:ascii="宋体" w:hAnsi="宋体" w:eastAsia="宋体" w:cs="宋体"/>
                <w:color w:val="000000"/>
                <w:kern w:val="0"/>
                <w:sz w:val="18"/>
                <w:szCs w:val="24"/>
              </w:rPr>
              <w:t>1.标准2U硬件，网口类别千兆电口≥6个；硬盘≥2T，内存≥16G，单电源，吞吐能力≥1000M，双向审计流量≥120mbps；峰值事务处理能能力：12000（条/秒），日志数量存储：10亿条，含软件基本模块；</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2.部署方式：支持传统流量镜像方式部署；支持级联分布式部署；支持虚拟化环境部署；</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3.协议支持：支持oracle、mysql、db2、sybase、infomix、mssqlserver、https、HTTP、TelnetFTP、SMTP、POP3、DCOM、SQLserverTDE。</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★4.支持自动式一键排错流程，无需管理员具备非常专业的技能即可非常方便的处理设备故障情况，提升故障处理能力（提供截图证明并加盖厂商公章）。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5.内置攻击特征库，特征库数量大于300条。</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6.支持数据库请求和返回的双向审计，特别是返回字段和结果集、执行状态、返回行数、执行时长等内容，支持通过返回行数和内容大小控制返回结果集大小。</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★7.支持对SQLserver（2005及以上版本）数据库采用加密协议通讯，可以通过导入证书的方式实现审计和防护；（需提供功能截图，并提供国家权威检测机构检测报告）。</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8.报表管理：内置不少于15种维度的报表，支持自定义报表。</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9.支持扫描数据库漏洞和不安全配置。</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★10.支持对数据库自动建模及智能对异常行为告警功能；（提供产品功能截图，并提供国家权威检测机构（公安部三所或国家保密科技测评中心）检测报告证明）。</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11.可基于账号、IP地址、访问权限、客户端工具等维度对行为模型做钻取分析、变更分析，对学习的安全基线以外的行为自动智能的进行告警。</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★12．可通过行为轨迹图方式展示数据库访问行为；（提供截图证明并加盖厂商公章）；</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★13. 支持B/S业务系统三层关联审计； （需提供功能截图，并提供国家权威检测机构（公安部三所或国家保密科技测评中心）检测报告）。</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14.产品具备国家信息安全测评中心颁发的《信息技术产品安全测评证书》，级别EAL3+，提供证书复印件。产品具备IPV6认证证书；</w:t>
            </w:r>
            <w:r>
              <w:rPr>
                <w:rFonts w:hint="eastAsia" w:ascii="宋体" w:hAnsi="宋体" w:eastAsia="宋体" w:cs="宋体"/>
                <w:color w:val="000000"/>
                <w:kern w:val="0"/>
                <w:sz w:val="18"/>
                <w:szCs w:val="24"/>
              </w:rPr>
              <w:br w:type="textWrapping"/>
            </w:r>
            <w:r>
              <w:rPr>
                <w:rFonts w:hint="eastAsia" w:ascii="宋体" w:hAnsi="宋体" w:eastAsia="宋体" w:cs="宋体"/>
                <w:color w:val="000000"/>
                <w:kern w:val="0"/>
                <w:sz w:val="18"/>
                <w:szCs w:val="24"/>
              </w:rPr>
              <w:t>15产品通过国家信息安全认证中心3C认证检测，级别增强级以上，提供证书复印件；</w:t>
            </w:r>
          </w:p>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w:t>
            </w:r>
            <w:r>
              <w:rPr>
                <w:rFonts w:ascii="宋体" w:hAnsi="宋体" w:eastAsia="宋体" w:cs="宋体"/>
                <w:color w:val="000000"/>
                <w:kern w:val="0"/>
                <w:sz w:val="18"/>
                <w:szCs w:val="24"/>
              </w:rPr>
              <w:t>1</w:t>
            </w:r>
            <w:r>
              <w:rPr>
                <w:rFonts w:hint="eastAsia" w:ascii="宋体" w:hAnsi="宋体" w:eastAsia="宋体" w:cs="宋体"/>
                <w:color w:val="000000"/>
                <w:kern w:val="0"/>
                <w:sz w:val="18"/>
                <w:szCs w:val="24"/>
              </w:rPr>
              <w:t>6</w:t>
            </w:r>
            <w:r>
              <w:rPr>
                <w:rFonts w:ascii="宋体" w:hAnsi="宋体" w:eastAsia="宋体" w:cs="宋体"/>
                <w:color w:val="000000"/>
                <w:kern w:val="0"/>
                <w:sz w:val="18"/>
                <w:szCs w:val="24"/>
              </w:rPr>
              <w:t>、提供原厂商针对本项目授权书与售后服务承诺函；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0"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5</w:t>
            </w:r>
          </w:p>
        </w:tc>
        <w:tc>
          <w:tcPr>
            <w:tcW w:w="765" w:type="dxa"/>
            <w:noWrap w:val="0"/>
            <w:vAlign w:val="center"/>
          </w:tcPr>
          <w:p>
            <w:pPr>
              <w:rPr>
                <w:rFonts w:ascii="宋体" w:hAnsi="宋体" w:cs="宋体"/>
                <w:color w:val="000000"/>
                <w:sz w:val="18"/>
                <w:szCs w:val="18"/>
              </w:rPr>
            </w:pPr>
            <w:r>
              <w:rPr>
                <w:rFonts w:hint="eastAsia" w:ascii="宋体" w:hAnsi="宋体" w:eastAsia="宋体" w:cs="宋体"/>
                <w:color w:val="000000"/>
                <w:kern w:val="0"/>
                <w:sz w:val="18"/>
                <w:szCs w:val="24"/>
              </w:rPr>
              <w:t>网闸</w:t>
            </w:r>
          </w:p>
        </w:tc>
        <w:tc>
          <w:tcPr>
            <w:tcW w:w="1014" w:type="dxa"/>
            <w:noWrap w:val="0"/>
            <w:vAlign w:val="center"/>
          </w:tcPr>
          <w:p>
            <w:pPr>
              <w:rPr>
                <w:rFonts w:ascii="宋体" w:hAnsi="宋体" w:cs="宋体"/>
                <w:color w:val="000000"/>
                <w:sz w:val="20"/>
                <w:szCs w:val="20"/>
              </w:rPr>
            </w:pPr>
            <w:r>
              <w:rPr>
                <w:rFonts w:hint="eastAsia" w:ascii="宋体" w:hAnsi="宋体" w:cs="宋体"/>
                <w:color w:val="000000"/>
                <w:sz w:val="20"/>
                <w:szCs w:val="20"/>
              </w:rPr>
              <w:t>1台</w:t>
            </w:r>
          </w:p>
        </w:tc>
        <w:tc>
          <w:tcPr>
            <w:tcW w:w="6522" w:type="dxa"/>
            <w:noWrap w:val="0"/>
            <w:vAlign w:val="center"/>
          </w:tcPr>
          <w:p>
            <w:pPr>
              <w:widowControl/>
              <w:rPr>
                <w:rFonts w:ascii="宋体" w:hAnsi="宋体" w:eastAsia="宋体" w:cs="宋体"/>
                <w:color w:val="000000"/>
                <w:kern w:val="0"/>
                <w:sz w:val="18"/>
                <w:szCs w:val="24"/>
              </w:rPr>
            </w:pPr>
            <w:r>
              <w:rPr>
                <w:rFonts w:hint="eastAsia" w:ascii="宋体" w:hAnsi="宋体" w:eastAsia="宋体" w:cs="宋体"/>
                <w:color w:val="000000"/>
                <w:kern w:val="0"/>
                <w:sz w:val="18"/>
                <w:szCs w:val="24"/>
              </w:rPr>
              <w:t>标准化机架设备，</w:t>
            </w:r>
            <w:r>
              <w:rPr>
                <w:rFonts w:ascii="宋体" w:hAnsi="宋体" w:eastAsia="宋体" w:cs="宋体"/>
                <w:color w:val="000000"/>
                <w:kern w:val="0"/>
                <w:sz w:val="18"/>
                <w:szCs w:val="24"/>
              </w:rPr>
              <w:t xml:space="preserve"> 内端机6个千兆接口，2个SFP插槽，1个扩展槽位； 外端机6个千兆接口，2个SFP插槽，1个扩展槽位； 配置应包含文件传输模块、邮件访问模块、VOIP访问模块、数据库访问模块、自定义访问模块、数据中心模块。内外端机双侧液晶屏；</w:t>
            </w:r>
          </w:p>
          <w:p>
            <w:pPr>
              <w:widowControl/>
              <w:rPr>
                <w:rFonts w:ascii="宋体" w:hAnsi="宋体" w:eastAsia="宋体" w:cs="宋体"/>
                <w:color w:val="000000"/>
                <w:kern w:val="0"/>
                <w:sz w:val="18"/>
                <w:szCs w:val="24"/>
              </w:rPr>
            </w:pPr>
            <w:r>
              <w:rPr>
                <w:rFonts w:hint="eastAsia" w:ascii="宋体" w:hAnsi="宋体" w:eastAsia="宋体" w:cs="宋体"/>
                <w:color w:val="000000"/>
                <w:kern w:val="0"/>
                <w:sz w:val="18"/>
                <w:szCs w:val="24"/>
              </w:rPr>
              <w:t>网络吞吐量≥</w:t>
            </w:r>
            <w:r>
              <w:rPr>
                <w:rFonts w:ascii="宋体" w:hAnsi="宋体" w:eastAsia="宋体" w:cs="宋体"/>
                <w:color w:val="000000"/>
                <w:kern w:val="0"/>
                <w:sz w:val="18"/>
                <w:szCs w:val="24"/>
              </w:rPr>
              <w:t>600Mbps；并发连接数≥12万；内外端机各1TB硬盘。</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2、系统架构“2+1”系统结构，内外端机为TCP/IP网络协议的终点，阻断TCP/IP协议的直接贯通。内外端机之间采用专用硬件和专用协议进行连接，不可编程。网闸以软硬件结合的方式，有效地隔断内外网络间直接的连接，防止信息无限制交换。</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3、采用自研安全操作系统、能够对两个主机系统提供多层次、高强度的安全防护，保护其重要进程、文件、数据不受黑客侵袭。</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 xml:space="preserve">4、设备支持有客户端和无客户端两种文件同步方式。无客户端方式无需在用户服务器上安装任何插件，网闸不开放任何服务端口； </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5、支持对多种主流数据库,如：MYSQL、SQLSERVER、ORACLE、DB2、SYBASE等系统的安全访问。支持多种主流数据库系统之间同步。</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6、支持达梦、人大金仓等国产数据同步。 支持客户端与网闸数据摆渡通道数据特征绑定，确保只有授权的合法数据表记录可以通过网闸。</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7、支持日志审计功能，包括系统日志、管理日志、访问日志、攻击防护日志、内容过滤日志。</w:t>
            </w:r>
          </w:p>
          <w:p>
            <w:pPr>
              <w:widowControl/>
              <w:rPr>
                <w:rFonts w:ascii="宋体" w:hAnsi="宋体" w:eastAsia="宋体" w:cs="宋体"/>
                <w:color w:val="000000"/>
                <w:kern w:val="0"/>
                <w:sz w:val="18"/>
                <w:szCs w:val="24"/>
              </w:rPr>
            </w:pPr>
            <w:r>
              <w:rPr>
                <w:rFonts w:ascii="宋体" w:hAnsi="宋体" w:eastAsia="宋体" w:cs="宋体"/>
                <w:color w:val="000000"/>
                <w:kern w:val="0"/>
                <w:sz w:val="18"/>
                <w:szCs w:val="24"/>
              </w:rPr>
              <w:t>8、设备具有公安部颁发的销售许可证</w:t>
            </w:r>
            <w:r>
              <w:rPr>
                <w:rFonts w:hint="eastAsia" w:ascii="宋体" w:hAnsi="宋体" w:eastAsia="宋体" w:cs="宋体"/>
                <w:color w:val="000000"/>
                <w:kern w:val="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6</w:t>
            </w:r>
          </w:p>
        </w:tc>
        <w:tc>
          <w:tcPr>
            <w:tcW w:w="765" w:type="dxa"/>
            <w:noWrap w:val="0"/>
            <w:vAlign w:val="center"/>
          </w:tcPr>
          <w:p>
            <w:pPr>
              <w:rPr>
                <w:rFonts w:ascii="宋体" w:hAnsi="宋体" w:cs="宋体"/>
                <w:color w:val="000000"/>
                <w:sz w:val="18"/>
                <w:szCs w:val="18"/>
              </w:rPr>
            </w:pPr>
            <w:r>
              <w:rPr>
                <w:rFonts w:hint="eastAsia" w:ascii="宋体" w:hAnsi="宋体" w:cs="宋体"/>
                <w:color w:val="000000"/>
                <w:sz w:val="18"/>
                <w:szCs w:val="18"/>
              </w:rPr>
              <w:t>综合漏 扫</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1套</w:t>
            </w:r>
          </w:p>
        </w:tc>
        <w:tc>
          <w:tcPr>
            <w:tcW w:w="6522" w:type="dxa"/>
            <w:noWrap w:val="0"/>
            <w:vAlign w:val="center"/>
          </w:tcPr>
          <w:p>
            <w:pPr>
              <w:rPr>
                <w:rFonts w:ascii="Calibri" w:hAnsi="Calibri" w:cs="Calibri"/>
                <w:color w:val="000000"/>
                <w:sz w:val="18"/>
                <w:szCs w:val="18"/>
              </w:rPr>
            </w:pPr>
            <w:r>
              <w:rPr>
                <w:rFonts w:hint="eastAsia" w:ascii="Calibri" w:hAnsi="Calibri" w:cs="Calibri"/>
                <w:color w:val="000000"/>
                <w:sz w:val="18"/>
                <w:szCs w:val="18"/>
              </w:rPr>
              <w:t>包含三年之内每年至少两次</w:t>
            </w:r>
            <w:r>
              <w:rPr>
                <w:rFonts w:hint="eastAsia" w:ascii="宋体" w:hAnsi="宋体" w:eastAsia="宋体" w:cs="宋体"/>
                <w:color w:val="000000"/>
                <w:kern w:val="0"/>
                <w:sz w:val="18"/>
                <w:szCs w:val="24"/>
              </w:rPr>
              <w:t>对主机机操作系统漏扫、应用漏扫、网络及安全设备安全配置检查等功能实现对网络资产的脆弱性评估。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3"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7</w:t>
            </w:r>
          </w:p>
        </w:tc>
        <w:tc>
          <w:tcPr>
            <w:tcW w:w="765" w:type="dxa"/>
            <w:noWrap w:val="0"/>
            <w:vAlign w:val="center"/>
          </w:tcPr>
          <w:p>
            <w:pPr>
              <w:rPr>
                <w:rFonts w:ascii="宋体" w:hAnsi="宋体" w:cs="宋体"/>
                <w:color w:val="000000"/>
                <w:sz w:val="18"/>
                <w:szCs w:val="18"/>
              </w:rPr>
            </w:pPr>
            <w:r>
              <w:rPr>
                <w:rFonts w:hint="eastAsia" w:ascii="宋体" w:hAnsi="宋体" w:eastAsia="宋体" w:cs="宋体"/>
                <w:color w:val="000000"/>
                <w:kern w:val="0"/>
                <w:sz w:val="18"/>
                <w:szCs w:val="24"/>
              </w:rPr>
              <w:t>数据库双活容灾系统</w:t>
            </w:r>
          </w:p>
        </w:tc>
        <w:tc>
          <w:tcPr>
            <w:tcW w:w="1014" w:type="dxa"/>
            <w:noWrap w:val="0"/>
            <w:vAlign w:val="center"/>
          </w:tcPr>
          <w:p>
            <w:pPr>
              <w:rPr>
                <w:rFonts w:ascii="宋体" w:hAnsi="宋体" w:cs="宋体"/>
                <w:color w:val="000000"/>
                <w:sz w:val="20"/>
                <w:szCs w:val="20"/>
              </w:rPr>
            </w:pPr>
            <w:r>
              <w:rPr>
                <w:rFonts w:hint="eastAsia" w:ascii="宋体" w:hAnsi="宋体" w:cs="宋体"/>
                <w:color w:val="000000"/>
                <w:sz w:val="20"/>
                <w:szCs w:val="20"/>
              </w:rPr>
              <w:t>1套</w:t>
            </w:r>
          </w:p>
        </w:tc>
        <w:tc>
          <w:tcPr>
            <w:tcW w:w="6522" w:type="dxa"/>
            <w:noWrap w:val="0"/>
            <w:vAlign w:val="center"/>
          </w:tcPr>
          <w:p>
            <w:pPr>
              <w:rPr>
                <w:rFonts w:ascii="Calibri" w:hAnsi="Calibri" w:cs="Calibri"/>
                <w:color w:val="000000"/>
                <w:sz w:val="18"/>
                <w:szCs w:val="18"/>
              </w:rPr>
            </w:pPr>
            <w:r>
              <w:rPr>
                <w:rFonts w:ascii="Calibri" w:hAnsi="Calibri" w:cs="Calibri"/>
                <w:color w:val="000000"/>
                <w:sz w:val="18"/>
                <w:szCs w:val="18"/>
              </w:rPr>
              <w:t>1、提供直观的简体中文图形化WEB操作控制台，可以在一个WEB图形界面里管理所有业务系统的容灾系统管理, 要求所有容灾功能统一在WEB界面上操作，应用于HIS系统1个容灾授权。</w:t>
            </w:r>
          </w:p>
          <w:p>
            <w:pPr>
              <w:rPr>
                <w:rFonts w:ascii="Calibri" w:hAnsi="Calibri" w:cs="Calibri"/>
                <w:color w:val="000000"/>
                <w:sz w:val="18"/>
                <w:szCs w:val="18"/>
              </w:rPr>
            </w:pPr>
            <w:r>
              <w:rPr>
                <w:rFonts w:ascii="Calibri" w:hAnsi="Calibri" w:cs="Calibri"/>
                <w:color w:val="000000"/>
                <w:sz w:val="18"/>
                <w:szCs w:val="18"/>
              </w:rPr>
              <w:t>2、操作系统支持：AIX，HP-UX，Linux，Windows，Solaris等。</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3、实现所有数据库内的数据操作的复制，包括INSERT\UPDATE\DELETE、DDL操作、Create table ..as 语句，ROWID相关语句等。（需提供相关证明材料）</w:t>
            </w:r>
          </w:p>
          <w:p>
            <w:pPr>
              <w:rPr>
                <w:rFonts w:ascii="Calibri" w:hAnsi="Calibri" w:cs="Calibri"/>
                <w:color w:val="000000"/>
                <w:sz w:val="18"/>
                <w:szCs w:val="18"/>
              </w:rPr>
            </w:pPr>
            <w:r>
              <w:rPr>
                <w:rFonts w:ascii="Calibri" w:hAnsi="Calibri" w:cs="Calibri"/>
                <w:color w:val="000000"/>
                <w:sz w:val="18"/>
                <w:szCs w:val="18"/>
              </w:rPr>
              <w:t>4、支持虚拟化环境内的各类文件及数据的同步。</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5、实现所有数据库内的所有对象复制，包括普通表格、压缩表格、临时表格、垃圾箱内的闪回表格等。（需提供相关证明材料）</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6、要求两个库之间的所有对象完全相同，包括ROWID，基表，视图，同义词，自定义TYPE，IOT表格，SYS用户内的所有对象等。（需提供相关证明材料）</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7、要求支持误操作闪回服务，支持使灾难备份回到过去的某一时刻点，实现误操作等逻辑错误的灾难恢复。（需提供相关证明材料）</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8、要求采用物理同步方式，无需考虑复杂的内部数据关系，支持数据库中所有对象的同步，支持所有DDL、DML等语句的复制。（需提供相关证明材料）</w:t>
            </w:r>
          </w:p>
          <w:p>
            <w:pPr>
              <w:rPr>
                <w:rFonts w:ascii="Calibri" w:hAnsi="Calibri" w:cs="Calibri"/>
                <w:color w:val="000000"/>
                <w:sz w:val="18"/>
                <w:szCs w:val="18"/>
              </w:rPr>
            </w:pPr>
            <w:r>
              <w:rPr>
                <w:rFonts w:ascii="Calibri" w:hAnsi="Calibri" w:cs="Calibri"/>
                <w:color w:val="000000"/>
                <w:sz w:val="18"/>
                <w:szCs w:val="18"/>
              </w:rPr>
              <w:t>9、RPO要求：要求实现数据零丢失，支持同步和异步模式。</w:t>
            </w:r>
          </w:p>
          <w:p>
            <w:pPr>
              <w:rPr>
                <w:rFonts w:ascii="Calibri" w:hAnsi="Calibri" w:cs="Calibri"/>
                <w:color w:val="000000"/>
                <w:sz w:val="18"/>
                <w:szCs w:val="18"/>
              </w:rPr>
            </w:pPr>
            <w:r>
              <w:rPr>
                <w:rFonts w:ascii="Calibri" w:hAnsi="Calibri" w:cs="Calibri"/>
                <w:color w:val="000000"/>
                <w:sz w:val="18"/>
                <w:szCs w:val="18"/>
              </w:rPr>
              <w:t>10、RTO要求：要求容灾切换在5分钟内完成。</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11、实现短时间内（比如30分钟的硬件升级）的计划性维护切换以支持日常运行涉及时间比较长的运行维护操作，实现从生产系统切换至容灾系统，从容灾系统切换回生产系统系统。支持一键式切换管理。（需提供相关证明材料）</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12、要求提供容灾系统桌面演练服务，能够在“沙盘”环境中模拟整个容灾切换过程，桌面演练可以在生产系统业务高峰期间进行，不增加生产系统额外资源开销（包括CPU\内存\IO），不影响业务的继续运行。（需提供相关证明材料）</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13、提供可视化、直观化、前台界面可操作的WEB管理过程，支持一键切换（一键启动、一键关闭），不需要复杂的流程即可完成容灾切换。（需提供相关证明材料）</w:t>
            </w:r>
          </w:p>
          <w:p>
            <w:pPr>
              <w:rPr>
                <w:rFonts w:ascii="Calibri" w:hAnsi="Calibri" w:cs="Calibri"/>
                <w:color w:val="000000"/>
                <w:sz w:val="18"/>
                <w:szCs w:val="18"/>
              </w:rPr>
            </w:pPr>
            <w:r>
              <w:rPr>
                <w:rFonts w:ascii="Calibri" w:hAnsi="Calibri" w:cs="Calibri"/>
                <w:color w:val="000000"/>
                <w:sz w:val="18"/>
                <w:szCs w:val="18"/>
              </w:rPr>
              <w:t>14、能够避免逻辑错误传播，从而对于逻辑失败形成根本性的保护。</w:t>
            </w:r>
          </w:p>
          <w:p>
            <w:pPr>
              <w:rPr>
                <w:rFonts w:ascii="Calibri" w:hAnsi="Calibri" w:cs="Calibri"/>
                <w:color w:val="000000"/>
                <w:sz w:val="18"/>
                <w:szCs w:val="18"/>
              </w:rPr>
            </w:pPr>
            <w:r>
              <w:rPr>
                <w:rFonts w:ascii="Calibri" w:hAnsi="Calibri" w:cs="Calibri"/>
                <w:color w:val="000000"/>
                <w:sz w:val="18"/>
                <w:szCs w:val="18"/>
              </w:rPr>
              <w:t>15、能够防御自然灾害（地震，火灾，雷击等）引起的站点失败恢复。防御大面积电力故障等非自然灾害引起的站点失败恢复。防御主机，存储以及其他IT物理部件失败或者电力故障引起的物理部件失败灾难恢复。</w:t>
            </w:r>
          </w:p>
          <w:p>
            <w:pPr>
              <w:rPr>
                <w:rFonts w:hint="eastAsia"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w:t>
            </w:r>
            <w:r>
              <w:rPr>
                <w:rFonts w:hint="eastAsia" w:ascii="Calibri" w:hAnsi="Calibri" w:cs="Calibri"/>
                <w:color w:val="000000"/>
                <w:sz w:val="18"/>
                <w:szCs w:val="18"/>
              </w:rPr>
              <w:t>6</w:t>
            </w:r>
            <w:r>
              <w:rPr>
                <w:rFonts w:ascii="Calibri" w:hAnsi="Calibri" w:cs="Calibri"/>
                <w:color w:val="000000"/>
                <w:sz w:val="18"/>
                <w:szCs w:val="18"/>
              </w:rPr>
              <w:t>、提供原厂商针对本项目授权书与售后服务承诺函；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9" w:type="dxa"/>
            <w:noWrap w:val="0"/>
            <w:vAlign w:val="center"/>
          </w:tcPr>
          <w:p>
            <w:pPr>
              <w:jc w:val="center"/>
              <w:rPr>
                <w:rFonts w:ascii="Calibri" w:hAnsi="Calibri" w:cs="Calibri"/>
                <w:color w:val="000000"/>
                <w:sz w:val="18"/>
                <w:szCs w:val="18"/>
              </w:rPr>
            </w:pPr>
            <w:r>
              <w:rPr>
                <w:rFonts w:hint="eastAsia" w:ascii="Calibri" w:hAnsi="Calibri" w:cs="Calibri"/>
                <w:color w:val="000000"/>
                <w:sz w:val="18"/>
                <w:szCs w:val="18"/>
              </w:rPr>
              <w:t>8</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数据库</w:t>
            </w:r>
            <w:r>
              <w:rPr>
                <w:rFonts w:ascii="宋体" w:hAnsi="宋体" w:eastAsia="宋体" w:cs="宋体"/>
                <w:color w:val="000000"/>
                <w:kern w:val="0"/>
                <w:sz w:val="18"/>
                <w:szCs w:val="24"/>
              </w:rPr>
              <w:t>迁移</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1次</w:t>
            </w:r>
          </w:p>
        </w:tc>
        <w:tc>
          <w:tcPr>
            <w:tcW w:w="6522" w:type="dxa"/>
            <w:noWrap w:val="0"/>
            <w:vAlign w:val="center"/>
          </w:tcPr>
          <w:p>
            <w:pPr>
              <w:rPr>
                <w:rFonts w:ascii="Calibri" w:hAnsi="Calibri" w:cs="Calibri"/>
                <w:color w:val="000000"/>
                <w:sz w:val="18"/>
                <w:szCs w:val="18"/>
              </w:rPr>
            </w:pPr>
            <w:r>
              <w:rPr>
                <w:rFonts w:ascii="Calibri" w:hAnsi="Calibri" w:cs="Calibri"/>
                <w:color w:val="000000"/>
                <w:sz w:val="18"/>
                <w:szCs w:val="18"/>
              </w:rPr>
              <w:t>HIS系统数据库迁移至相对更安全的linux平台。保障HIS系统数据库在linux平台下仍能正常运行HIS系统。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9</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威胁分析预警平台</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1套</w:t>
            </w:r>
          </w:p>
        </w:tc>
        <w:tc>
          <w:tcPr>
            <w:tcW w:w="6522" w:type="dxa"/>
            <w:noWrap w:val="0"/>
            <w:vAlign w:val="center"/>
          </w:tcPr>
          <w:p>
            <w:pPr>
              <w:rPr>
                <w:rFonts w:ascii="Calibri" w:hAnsi="Calibri" w:cs="Calibri"/>
                <w:color w:val="000000"/>
                <w:sz w:val="18"/>
                <w:szCs w:val="18"/>
              </w:rPr>
            </w:pPr>
            <w:r>
              <w:rPr>
                <w:rFonts w:ascii="Calibri" w:hAnsi="Calibri" w:cs="Calibri"/>
                <w:color w:val="000000"/>
                <w:sz w:val="18"/>
                <w:szCs w:val="18"/>
              </w:rPr>
              <w:t>"1.硬件规格：一体化2U标准机架式设备；电源：双电源；内存≥8G； 硬盘容量≥1T，接口数量：千兆电口≥6个；吞吐率：网络层≥1Gbps；应用层≥500Mbps；</w:t>
            </w:r>
          </w:p>
          <w:p>
            <w:pPr>
              <w:rPr>
                <w:rFonts w:ascii="Calibri" w:hAnsi="Calibri" w:cs="Calibri"/>
                <w:color w:val="000000"/>
                <w:sz w:val="18"/>
                <w:szCs w:val="18"/>
              </w:rPr>
            </w:pPr>
            <w:r>
              <w:rPr>
                <w:rFonts w:ascii="Calibri" w:hAnsi="Calibri" w:cs="Calibri"/>
                <w:color w:val="000000"/>
                <w:sz w:val="18"/>
                <w:szCs w:val="18"/>
              </w:rPr>
              <w:t>2.支持WEB检测：HTTP最大并发数≥7万/秒；支持邮件检测：邮件处理数≥100万封/24小时；文件检测≥3万个/24小时</w:t>
            </w:r>
          </w:p>
          <w:p>
            <w:pPr>
              <w:rPr>
                <w:rFonts w:ascii="Calibri" w:hAnsi="Calibri" w:cs="Calibri"/>
                <w:color w:val="000000"/>
                <w:sz w:val="18"/>
                <w:szCs w:val="18"/>
              </w:rPr>
            </w:pPr>
            <w:r>
              <w:rPr>
                <w:rFonts w:ascii="Calibri" w:hAnsi="Calibri" w:cs="Calibri"/>
                <w:color w:val="000000"/>
                <w:sz w:val="18"/>
                <w:szCs w:val="18"/>
              </w:rPr>
              <w:t>3.部署方式：支持旁路部署和分布式部署，对探测器可以添加、删除，显示探测器版本、状态和IP，管理中心可实现告警统一管理；可自定义管理中心和探测器之间的数据传输速率、时间、发送目录等参数；</w:t>
            </w:r>
          </w:p>
          <w:p>
            <w:pPr>
              <w:rPr>
                <w:rFonts w:ascii="Calibri" w:hAnsi="Calibri" w:cs="Calibri"/>
                <w:color w:val="000000"/>
                <w:sz w:val="18"/>
                <w:szCs w:val="18"/>
              </w:rPr>
            </w:pPr>
            <w:r>
              <w:rPr>
                <w:rFonts w:ascii="Calibri" w:hAnsi="Calibri" w:cs="Calibri"/>
                <w:color w:val="000000"/>
                <w:sz w:val="18"/>
                <w:szCs w:val="18"/>
              </w:rPr>
              <w:t>4.支持全流量检测，可根据需求打开或关闭全流量检测功能；</w:t>
            </w:r>
          </w:p>
          <w:p>
            <w:pPr>
              <w:rPr>
                <w:rFonts w:ascii="Calibri" w:hAnsi="Calibri" w:cs="Calibri"/>
                <w:color w:val="000000"/>
                <w:sz w:val="18"/>
                <w:szCs w:val="18"/>
              </w:rPr>
            </w:pPr>
            <w:r>
              <w:rPr>
                <w:rFonts w:ascii="Calibri" w:hAnsi="Calibri" w:cs="Calibri"/>
                <w:color w:val="000000"/>
                <w:sz w:val="18"/>
                <w:szCs w:val="18"/>
              </w:rPr>
              <w:t>5.支持解析HTTP、FTP、SMTP、POP3、SMB、IMAP、DNS、Mysql、MSSQL、DB2、Oracle、HTTPS、SMTPS、POP3S、IMAPS等协议报文（HTTPS、SMTPS、POP3S、IMAPS加密协议解析需要导入服务器私钥证书），并提供审计协议类型的端口号配置，可根据需要变更端口号；支持LDAP登录行为识别；支持VXLAN镜像流量解析检测；</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6.支持检测WEB攻击、异常访问、恶意文件攻击、远程控制、WEB后门访问、发件人欺骗、邮件头欺骗、邮件钓鱼、邮件恶意链接、DGA域名请求、SMB远程溢出攻击、WEB行为分析、隐蔽信道通信、暴力破解（包括SSH、TELNET、RDP、FTP暴力破解）、挖矿等风险（提供截图证明）；</w:t>
            </w:r>
          </w:p>
          <w:p>
            <w:pPr>
              <w:rPr>
                <w:rFonts w:ascii="Calibri" w:hAnsi="Calibri" w:cs="Calibri"/>
                <w:color w:val="000000"/>
                <w:sz w:val="18"/>
                <w:szCs w:val="18"/>
              </w:rPr>
            </w:pPr>
            <w:r>
              <w:rPr>
                <w:rFonts w:ascii="Calibri" w:hAnsi="Calibri" w:cs="Calibri"/>
                <w:color w:val="000000"/>
                <w:sz w:val="18"/>
                <w:szCs w:val="18"/>
              </w:rPr>
              <w:t>7.支持对私网地址IP地理位置信息添加，在产生告警时，定义IP可正常显示所属地理位置信息；</w:t>
            </w:r>
          </w:p>
          <w:p>
            <w:pPr>
              <w:rPr>
                <w:rFonts w:ascii="Calibri" w:hAnsi="Calibri" w:cs="Calibri"/>
                <w:color w:val="000000"/>
                <w:sz w:val="18"/>
                <w:szCs w:val="18"/>
              </w:rPr>
            </w:pPr>
            <w:r>
              <w:rPr>
                <w:rFonts w:ascii="Calibri" w:hAnsi="Calibri" w:cs="Calibri"/>
                <w:color w:val="000000"/>
                <w:sz w:val="18"/>
                <w:szCs w:val="18"/>
              </w:rPr>
              <w:t>8.可支持详细展现告警级别、时间、威胁名称、状态、客户端IP、客户端IP所在地理位置、服务端IP、服务端IP所在地理位置、报文、操作等信息，包含请求URL、请求类型、请求内容、请求头、Host、User-Agent、Accept、Accept-Language、Accept-Encoding、Accept-Charset、Keep-Alive、Connection、Cookie、请求参数、响应码、返回长度等信息。</w:t>
            </w:r>
          </w:p>
          <w:p>
            <w:pPr>
              <w:rPr>
                <w:rFonts w:ascii="Calibri" w:hAnsi="Calibri" w:cs="Calibri"/>
                <w:color w:val="000000"/>
                <w:sz w:val="18"/>
                <w:szCs w:val="18"/>
              </w:rPr>
            </w:pPr>
            <w:r>
              <w:rPr>
                <w:rFonts w:ascii="Calibri" w:hAnsi="Calibri" w:cs="Calibri"/>
                <w:color w:val="000000"/>
                <w:sz w:val="18"/>
                <w:szCs w:val="18"/>
              </w:rPr>
              <w:t>9.可自动对内网主机进行威胁指数分析，详细展示具体的威胁指数、威胁活动、历史威胁指数、遭受的攻击类型、攻击次数、攻击状态等；</w:t>
            </w:r>
          </w:p>
          <w:p>
            <w:pPr>
              <w:rPr>
                <w:rFonts w:ascii="Calibri" w:hAnsi="Calibri" w:cs="Calibri"/>
                <w:color w:val="000000"/>
                <w:sz w:val="18"/>
                <w:szCs w:val="18"/>
              </w:rPr>
            </w:pPr>
            <w:r>
              <w:rPr>
                <w:rFonts w:ascii="Calibri" w:hAnsi="Calibri" w:cs="Calibri"/>
                <w:color w:val="000000"/>
                <w:sz w:val="18"/>
                <w:szCs w:val="18"/>
              </w:rPr>
              <w:t>10.对基于木马回连的非法数据传输等行为进行取证分析，包括回连主机IP、服务器IP、传输数据大小、协议类型等。</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11.支持WEBSHELL检测，可检测访问webshell的行为，包含具体对应的URL、返回码、返回数据包内容等，可显示一句话类webshell后门是否植入成功（提供截图证明）；</w:t>
            </w:r>
          </w:p>
          <w:p>
            <w:pPr>
              <w:rPr>
                <w:rFonts w:ascii="Calibri" w:hAnsi="Calibri" w:cs="Calibri"/>
                <w:color w:val="000000"/>
                <w:sz w:val="18"/>
                <w:szCs w:val="18"/>
              </w:rPr>
            </w:pPr>
            <w:r>
              <w:rPr>
                <w:rFonts w:ascii="Calibri" w:hAnsi="Calibri" w:cs="Calibri"/>
                <w:color w:val="000000"/>
                <w:sz w:val="18"/>
                <w:szCs w:val="18"/>
              </w:rPr>
              <w:t>12.自动关联行为分析的详细展现，包含SQL注入取数据、表单破解、XSS测试、目录穿越读取文件、多人访问Webshell、APT攻击等。</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13.支持场景化的分析能力，对发现的告警进行二次关联，支持对勒索病毒、网站后门、邮件APT攻击等事件进行预警。（提供截图证明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p>
            <w:pPr>
              <w:rPr>
                <w:rFonts w:ascii="Calibri" w:hAnsi="Calibri" w:cs="Calibri"/>
                <w:color w:val="000000"/>
                <w:sz w:val="18"/>
                <w:szCs w:val="18"/>
              </w:rPr>
            </w:pPr>
            <w:r>
              <w:rPr>
                <w:rFonts w:ascii="Calibri" w:hAnsi="Calibri" w:cs="Calibri"/>
                <w:color w:val="000000"/>
                <w:sz w:val="18"/>
                <w:szCs w:val="18"/>
              </w:rPr>
              <w:t>14.支持HTTP、FTP、SMB、SMTP、POP3、IMAP、HTTPS、SMTPS、POP3S、IMAPS等协议传输文件检测；</w:t>
            </w:r>
          </w:p>
          <w:p>
            <w:pPr>
              <w:rPr>
                <w:rFonts w:ascii="Calibri" w:hAnsi="Calibri" w:cs="Calibri"/>
                <w:color w:val="000000"/>
                <w:sz w:val="18"/>
                <w:szCs w:val="18"/>
              </w:rPr>
            </w:pPr>
            <w:r>
              <w:rPr>
                <w:rFonts w:ascii="Calibri" w:hAnsi="Calibri" w:cs="Calibri"/>
                <w:color w:val="000000"/>
                <w:sz w:val="18"/>
                <w:szCs w:val="18"/>
              </w:rPr>
              <w:t>15.支持kafka、短信、邮件、syslog、snmp、ftp等告警方式；</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16.动态沙箱检测：动态执行可疑文件，分析代码的注册表、进程、网络、文件等行为，分析其安全风险，可展示文件中版本信息、段信息、资源信息、导入表、字符串信息、删除文件信息等内容（提供截图证明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17.支持根据文件传播情况分析受感染主机、接受云端威胁情报、关键威胁行为可视化、回连主机host和完整沙箱分析报告；（提供截图证明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18.支持根据文件传播情况分析受感染主机、接受云端威胁情报、关键威胁行为可视化、回连主机host和完整沙箱分析报告（提供截图证明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p>
            <w:pPr>
              <w:rPr>
                <w:rFonts w:ascii="Calibri" w:hAnsi="Calibri" w:cs="Calibri"/>
                <w:color w:val="000000"/>
                <w:sz w:val="18"/>
                <w:szCs w:val="18"/>
              </w:rPr>
            </w:pPr>
            <w:r>
              <w:rPr>
                <w:rFonts w:hint="eastAsia" w:ascii="Calibri" w:hAnsi="Calibri" w:cs="Calibri"/>
                <w:color w:val="000000"/>
                <w:sz w:val="18"/>
                <w:szCs w:val="18"/>
              </w:rPr>
              <w:t>★</w:t>
            </w:r>
            <w:r>
              <w:rPr>
                <w:rFonts w:ascii="Calibri" w:hAnsi="Calibri" w:cs="Calibri"/>
                <w:color w:val="000000"/>
                <w:sz w:val="18"/>
                <w:szCs w:val="18"/>
              </w:rPr>
              <w:t>19.支持一键登录排错平台，对系统进行深度配置和排错，支持一键检测故障、配置核对、表分区检查、表检测、同步验证、信息收集等功能。（（提供截图证明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p>
            <w:pPr>
              <w:rPr>
                <w:rFonts w:ascii="Calibri" w:hAnsi="Calibri" w:cs="Calibri"/>
                <w:color w:val="000000"/>
                <w:sz w:val="18"/>
                <w:szCs w:val="18"/>
              </w:rPr>
            </w:pPr>
            <w:r>
              <w:rPr>
                <w:rFonts w:ascii="Calibri" w:hAnsi="Calibri" w:cs="Calibri"/>
                <w:color w:val="000000"/>
                <w:sz w:val="18"/>
                <w:szCs w:val="18"/>
              </w:rPr>
              <w:t>20.具备软件著作权证书、销售许可证（必须是APT安全检测类）、ISCCC增强级认证证书"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10</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接入层交换机</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3台</w:t>
            </w:r>
          </w:p>
        </w:tc>
        <w:tc>
          <w:tcPr>
            <w:tcW w:w="6522" w:type="dxa"/>
            <w:noWrap w:val="0"/>
            <w:vAlign w:val="center"/>
          </w:tcPr>
          <w:p>
            <w:pPr>
              <w:rPr>
                <w:rFonts w:ascii="Calibri" w:hAnsi="Calibri" w:cs="Calibri"/>
                <w:color w:val="000000"/>
                <w:sz w:val="18"/>
                <w:szCs w:val="18"/>
              </w:rPr>
            </w:pPr>
            <w:r>
              <w:rPr>
                <w:rFonts w:hint="eastAsia" w:ascii="Calibri" w:hAnsi="Calibri" w:cs="Calibri"/>
                <w:color w:val="000000"/>
                <w:sz w:val="18"/>
                <w:szCs w:val="18"/>
              </w:rPr>
              <w:t>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11</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服务器内存扩容</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1批</w:t>
            </w:r>
          </w:p>
        </w:tc>
        <w:tc>
          <w:tcPr>
            <w:tcW w:w="6522" w:type="dxa"/>
            <w:noWrap w:val="0"/>
            <w:vAlign w:val="center"/>
          </w:tcPr>
          <w:p>
            <w:pPr>
              <w:rPr>
                <w:rFonts w:hint="eastAsia" w:ascii="Calibri" w:hAnsi="Calibri" w:cs="Calibri"/>
                <w:color w:val="000000"/>
                <w:sz w:val="18"/>
                <w:szCs w:val="18"/>
              </w:rPr>
            </w:pPr>
            <w:r>
              <w:rPr>
                <w:rFonts w:hint="eastAsia" w:ascii="Calibri" w:hAnsi="Calibri" w:cs="Calibri"/>
                <w:color w:val="000000"/>
                <w:sz w:val="18"/>
                <w:szCs w:val="18"/>
              </w:rPr>
              <w:t>3台服务器物理内存扩容至64</w:t>
            </w:r>
            <w:r>
              <w:rPr>
                <w:rFonts w:ascii="Calibri" w:hAnsi="Calibri" w:cs="Calibri"/>
                <w:color w:val="000000"/>
                <w:sz w:val="18"/>
                <w:szCs w:val="18"/>
              </w:rPr>
              <w:t>GB</w:t>
            </w:r>
            <w:r>
              <w:rPr>
                <w:rFonts w:hint="eastAsia" w:ascii="Calibri" w:hAnsi="Calibri" w:cs="Calibri"/>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12</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防病毒软件扩店</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50个点</w:t>
            </w:r>
          </w:p>
        </w:tc>
        <w:tc>
          <w:tcPr>
            <w:tcW w:w="6522" w:type="dxa"/>
            <w:noWrap w:val="0"/>
            <w:vAlign w:val="center"/>
          </w:tcPr>
          <w:p>
            <w:pPr>
              <w:rPr>
                <w:rFonts w:hint="eastAsia" w:ascii="Calibri" w:hAnsi="Calibri" w:cs="Calibri"/>
                <w:color w:val="000000"/>
                <w:sz w:val="18"/>
                <w:szCs w:val="18"/>
              </w:rPr>
            </w:pPr>
            <w:r>
              <w:rPr>
                <w:rFonts w:hint="eastAsia" w:ascii="Calibri" w:hAnsi="Calibri" w:cs="Calibri"/>
                <w:color w:val="000000"/>
                <w:sz w:val="18"/>
                <w:szCs w:val="18"/>
              </w:rPr>
              <w:t>★</w:t>
            </w:r>
            <w:r>
              <w:rPr>
                <w:rFonts w:hint="eastAsia" w:ascii="宋体" w:hAnsi="宋体" w:eastAsia="宋体" w:cs="宋体"/>
                <w:color w:val="000000"/>
                <w:kern w:val="0"/>
                <w:sz w:val="18"/>
                <w:szCs w:val="24"/>
              </w:rPr>
              <w:t>防病毒软件扩点，满足终端安全需求。需要与医院现有防病毒软件兼容，能使用同一个控制中心进行管理。</w:t>
            </w:r>
            <w:r>
              <w:rPr>
                <w:rFonts w:ascii="Calibri" w:hAnsi="Calibri" w:cs="Calibri"/>
                <w:color w:val="000000"/>
                <w:sz w:val="18"/>
                <w:szCs w:val="18"/>
              </w:rPr>
              <w:t>（提供截图证明</w:t>
            </w:r>
            <w:r>
              <w:rPr>
                <w:rFonts w:hint="eastAsia" w:ascii="Calibri" w:hAnsi="Calibri" w:cs="Calibri"/>
                <w:color w:val="000000"/>
                <w:sz w:val="18"/>
                <w:szCs w:val="18"/>
              </w:rPr>
              <w:t>并加盖原厂商鲜章</w:t>
            </w:r>
            <w:r>
              <w:rPr>
                <w:rFonts w:ascii="Calibri" w:hAnsi="Calibri" w:cs="Calibri"/>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13</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cs="宋体"/>
                <w:color w:val="000000"/>
                <w:sz w:val="20"/>
                <w:szCs w:val="20"/>
              </w:rPr>
              <w:t>安防子系统</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1套</w:t>
            </w:r>
          </w:p>
        </w:tc>
        <w:tc>
          <w:tcPr>
            <w:tcW w:w="6522" w:type="dxa"/>
            <w:noWrap w:val="0"/>
            <w:vAlign w:val="center"/>
          </w:tcPr>
          <w:p>
            <w:pPr>
              <w:rPr>
                <w:rFonts w:hint="eastAsia" w:ascii="Calibri" w:hAnsi="Calibri" w:cs="Calibri"/>
                <w:color w:val="000000"/>
                <w:sz w:val="18"/>
                <w:szCs w:val="18"/>
              </w:rPr>
            </w:pPr>
            <w:r>
              <w:rPr>
                <w:rFonts w:hint="eastAsia" w:ascii="宋体" w:hAnsi="宋体" w:eastAsia="宋体" w:cs="宋体"/>
                <w:color w:val="000000"/>
                <w:kern w:val="0"/>
                <w:sz w:val="18"/>
                <w:szCs w:val="24"/>
              </w:rPr>
              <w:t>包含门禁控制器、门禁读卡、门禁控制软件、电磁锁、镀锌线管及信号线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14</w:t>
            </w:r>
          </w:p>
        </w:tc>
        <w:tc>
          <w:tcPr>
            <w:tcW w:w="765" w:type="dxa"/>
            <w:noWrap w:val="0"/>
            <w:vAlign w:val="center"/>
          </w:tcPr>
          <w:p>
            <w:pPr>
              <w:rPr>
                <w:rFonts w:hint="eastAsia" w:ascii="宋体" w:hAnsi="宋体" w:cs="宋体"/>
                <w:color w:val="000000"/>
                <w:sz w:val="20"/>
                <w:szCs w:val="20"/>
              </w:rPr>
            </w:pPr>
            <w:r>
              <w:rPr>
                <w:rFonts w:hint="eastAsia" w:ascii="宋体" w:hAnsi="宋体" w:eastAsia="宋体" w:cs="宋体"/>
                <w:color w:val="000000"/>
                <w:kern w:val="0"/>
                <w:sz w:val="18"/>
                <w:szCs w:val="24"/>
              </w:rPr>
              <w:t>机房消防系统</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1套</w:t>
            </w:r>
          </w:p>
        </w:tc>
        <w:tc>
          <w:tcPr>
            <w:tcW w:w="6522"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包含柜式火装置、紧急启停按钮、声光报警器、感温探测器、感烟探测器、灭火器、其它辅助材料及人工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419" w:type="dxa"/>
            <w:noWrap w:val="0"/>
            <w:vAlign w:val="center"/>
          </w:tcPr>
          <w:p>
            <w:pPr>
              <w:jc w:val="center"/>
              <w:rPr>
                <w:rFonts w:hint="eastAsia" w:ascii="Calibri" w:hAnsi="Calibri" w:cs="Calibri"/>
                <w:color w:val="000000"/>
                <w:sz w:val="18"/>
                <w:szCs w:val="18"/>
              </w:rPr>
            </w:pPr>
            <w:r>
              <w:rPr>
                <w:rFonts w:hint="eastAsia" w:ascii="Calibri" w:hAnsi="Calibri" w:cs="Calibri"/>
                <w:color w:val="000000"/>
                <w:sz w:val="18"/>
                <w:szCs w:val="18"/>
              </w:rPr>
              <w:t>15</w:t>
            </w:r>
          </w:p>
        </w:tc>
        <w:tc>
          <w:tcPr>
            <w:tcW w:w="765"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数据中心网络整改</w:t>
            </w:r>
          </w:p>
        </w:tc>
        <w:tc>
          <w:tcPr>
            <w:tcW w:w="1014" w:type="dxa"/>
            <w:noWrap w:val="0"/>
            <w:vAlign w:val="center"/>
          </w:tcPr>
          <w:p>
            <w:pPr>
              <w:rPr>
                <w:rFonts w:hint="eastAsia" w:ascii="宋体" w:hAnsi="宋体" w:cs="宋体"/>
                <w:color w:val="000000"/>
                <w:sz w:val="20"/>
                <w:szCs w:val="20"/>
              </w:rPr>
            </w:pPr>
            <w:r>
              <w:rPr>
                <w:rFonts w:hint="eastAsia" w:ascii="宋体" w:hAnsi="宋体" w:cs="宋体"/>
                <w:color w:val="000000"/>
                <w:sz w:val="20"/>
                <w:szCs w:val="20"/>
              </w:rPr>
              <w:t>1次</w:t>
            </w:r>
          </w:p>
        </w:tc>
        <w:tc>
          <w:tcPr>
            <w:tcW w:w="6522" w:type="dxa"/>
            <w:noWrap w:val="0"/>
            <w:vAlign w:val="center"/>
          </w:tcPr>
          <w:p>
            <w:pP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对数据中心网络布线按照等保要求进行铺设，对网络布局按照等保要求进行整改。（包含网线及水晶头）</w:t>
            </w:r>
          </w:p>
        </w:tc>
      </w:tr>
    </w:tbl>
    <w:p>
      <w:pPr>
        <w:rPr>
          <w:rFonts w:hint="eastAsia" w:ascii="宋体" w:hAnsi="宋体"/>
          <w:b/>
          <w:color w:val="000000"/>
          <w:sz w:val="28"/>
          <w:szCs w:val="28"/>
          <w:lang w:val="en-US" w:eastAsia="zh-CN"/>
        </w:rPr>
      </w:pPr>
    </w:p>
    <w:p>
      <w:pPr>
        <w:pStyle w:val="3"/>
        <w:spacing w:before="200" w:after="200" w:line="360" w:lineRule="auto"/>
        <w:ind w:firstLine="602" w:firstLineChars="200"/>
        <w:jc w:val="left"/>
        <w:rPr>
          <w:rFonts w:hint="eastAsia" w:ascii="宋体" w:hAnsi="宋体"/>
          <w:sz w:val="30"/>
          <w:szCs w:val="30"/>
        </w:rPr>
      </w:pPr>
      <w:r>
        <w:rPr>
          <w:rFonts w:hint="eastAsia" w:ascii="宋体" w:hAnsi="宋体"/>
          <w:sz w:val="30"/>
          <w:szCs w:val="30"/>
        </w:rPr>
        <w:t>为保证有效的原厂服务，本次项目不接受OEM产品，不接受贴标产品。</w:t>
      </w:r>
    </w:p>
    <w:p>
      <w:pPr>
        <w:pStyle w:val="2"/>
      </w:pP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eastAsia="zh-CN"/>
          <w14:textFill>
            <w14:solidFill>
              <w14:schemeClr w14:val="tx1"/>
            </w14:solidFill>
          </w14:textFill>
        </w:rPr>
        <w:t>备注：</w:t>
      </w: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val="en-US" w:eastAsia="zh-CN"/>
          <w14:textFill>
            <w14:solidFill>
              <w14:schemeClr w14:val="tx1"/>
            </w14:solidFill>
          </w14:textFill>
        </w:rPr>
        <w:t>1.</w:t>
      </w:r>
      <w:r>
        <w:rPr>
          <w:rFonts w:hint="eastAsia" w:ascii="宋体" w:hAnsi="宋体"/>
          <w:b/>
          <w:color w:val="000000" w:themeColor="text1"/>
          <w:sz w:val="36"/>
          <w:szCs w:val="20"/>
          <w:lang w:eastAsia="zh-CN"/>
          <w14:textFill>
            <w14:solidFill>
              <w14:schemeClr w14:val="tx1"/>
            </w14:solidFill>
          </w14:textFill>
        </w:rPr>
        <w:t>论证文件费和专家评审费由中标人支付。</w:t>
      </w: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宋体" w:hAnsi="宋体"/>
          <w:b/>
          <w:color w:val="000000" w:themeColor="text1"/>
          <w:sz w:val="36"/>
          <w:szCs w:val="20"/>
          <w:lang w:eastAsia="zh-CN"/>
          <w14:textFill>
            <w14:solidFill>
              <w14:schemeClr w14:val="tx1"/>
            </w14:solidFill>
          </w14:textFill>
        </w:rPr>
      </w:pPr>
    </w:p>
    <w:p>
      <w:pPr>
        <w:pStyle w:val="2"/>
        <w:rPr>
          <w:rFonts w:hint="eastAsia" w:ascii="仿宋" w:hAnsi="仿宋" w:eastAsia="仿宋" w:cs="仿宋"/>
          <w:color w:val="000000"/>
          <w:kern w:val="0"/>
          <w:sz w:val="24"/>
          <w:szCs w:val="24"/>
          <w:lang w:eastAsia="zh-CN"/>
        </w:rPr>
      </w:pPr>
    </w:p>
    <w:p>
      <w:pPr>
        <w:tabs>
          <w:tab w:val="left" w:pos="1666"/>
        </w:tabs>
        <w:jc w:val="left"/>
        <w:rPr>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14512"/>
    <w:multiLevelType w:val="singleLevel"/>
    <w:tmpl w:val="84A14512"/>
    <w:lvl w:ilvl="0" w:tentative="0">
      <w:start w:val="6"/>
      <w:numFmt w:val="decimal"/>
      <w:lvlText w:val="%1."/>
      <w:lvlJc w:val="left"/>
      <w:pPr>
        <w:tabs>
          <w:tab w:val="left" w:pos="312"/>
        </w:tabs>
      </w:pPr>
    </w:lvl>
  </w:abstractNum>
  <w:abstractNum w:abstractNumId="1">
    <w:nsid w:val="144C6E2D"/>
    <w:multiLevelType w:val="multilevel"/>
    <w:tmpl w:val="144C6E2D"/>
    <w:lvl w:ilvl="0" w:tentative="0">
      <w:start w:val="1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BD7856"/>
    <w:multiLevelType w:val="multilevel"/>
    <w:tmpl w:val="68BD7856"/>
    <w:lvl w:ilvl="0" w:tentative="0">
      <w:start w:val="1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9A06D66"/>
    <w:rsid w:val="0DA673F9"/>
    <w:rsid w:val="11B10761"/>
    <w:rsid w:val="12740CD1"/>
    <w:rsid w:val="168B0824"/>
    <w:rsid w:val="17487010"/>
    <w:rsid w:val="1CEA6521"/>
    <w:rsid w:val="1DAE0C3C"/>
    <w:rsid w:val="217967B9"/>
    <w:rsid w:val="238064C5"/>
    <w:rsid w:val="24C037FE"/>
    <w:rsid w:val="28CE3C36"/>
    <w:rsid w:val="2B9A4C6D"/>
    <w:rsid w:val="304432C5"/>
    <w:rsid w:val="31810437"/>
    <w:rsid w:val="35FF3D56"/>
    <w:rsid w:val="395815AD"/>
    <w:rsid w:val="3F8F74B3"/>
    <w:rsid w:val="411C7C07"/>
    <w:rsid w:val="42227FF7"/>
    <w:rsid w:val="459025CC"/>
    <w:rsid w:val="52D2407F"/>
    <w:rsid w:val="54242CA2"/>
    <w:rsid w:val="569D1713"/>
    <w:rsid w:val="57B56937"/>
    <w:rsid w:val="5EBA411A"/>
    <w:rsid w:val="5FFE79D0"/>
    <w:rsid w:val="679E412F"/>
    <w:rsid w:val="67F76007"/>
    <w:rsid w:val="68846A22"/>
    <w:rsid w:val="6A42304D"/>
    <w:rsid w:val="6B3C5AA9"/>
    <w:rsid w:val="6B466F51"/>
    <w:rsid w:val="6BAB029E"/>
    <w:rsid w:val="6BB90FCA"/>
    <w:rsid w:val="6D535020"/>
    <w:rsid w:val="6FEF4DEE"/>
    <w:rsid w:val="7496406E"/>
    <w:rsid w:val="791C0F1E"/>
    <w:rsid w:val="7D84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1"/>
    <w:link w:val="32"/>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kern w:val="2"/>
    </w:rPr>
  </w:style>
  <w:style w:type="paragraph" w:styleId="6">
    <w:name w:val="Normal Indent"/>
    <w:basedOn w:val="1"/>
    <w:qFormat/>
    <w:uiPriority w:val="0"/>
    <w:pPr>
      <w:ind w:firstLine="420"/>
    </w:pPr>
  </w:style>
  <w:style w:type="paragraph" w:styleId="7">
    <w:name w:val="caption"/>
    <w:basedOn w:val="1"/>
    <w:next w:val="1"/>
    <w:qFormat/>
    <w:uiPriority w:val="99"/>
    <w:rPr>
      <w:rFonts w:ascii="等线 Light" w:hAnsi="等线 Light" w:eastAsia="黑体"/>
      <w:sz w:val="20"/>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font01"/>
    <w:basedOn w:val="15"/>
    <w:qFormat/>
    <w:uiPriority w:val="0"/>
    <w:rPr>
      <w:rFonts w:hint="eastAsia" w:ascii="宋体" w:hAnsi="宋体" w:eastAsia="宋体" w:cs="宋体"/>
      <w:b/>
      <w:color w:val="000000"/>
      <w:sz w:val="20"/>
      <w:szCs w:val="20"/>
      <w:u w:val="none"/>
    </w:rPr>
  </w:style>
  <w:style w:type="character" w:customStyle="1" w:styleId="19">
    <w:name w:val="font11"/>
    <w:basedOn w:val="15"/>
    <w:qFormat/>
    <w:uiPriority w:val="0"/>
    <w:rPr>
      <w:rFonts w:hint="eastAsia" w:ascii="宋体" w:hAnsi="宋体" w:eastAsia="宋体" w:cs="宋体"/>
      <w:color w:val="000000"/>
      <w:sz w:val="20"/>
      <w:szCs w:val="20"/>
      <w:u w:val="none"/>
    </w:rPr>
  </w:style>
  <w:style w:type="character" w:customStyle="1" w:styleId="20">
    <w:name w:val="font81"/>
    <w:basedOn w:val="15"/>
    <w:qFormat/>
    <w:uiPriority w:val="0"/>
    <w:rPr>
      <w:rFonts w:hint="eastAsia" w:ascii="微软雅黑" w:hAnsi="微软雅黑" w:eastAsia="微软雅黑" w:cs="微软雅黑"/>
      <w:color w:val="000000"/>
      <w:sz w:val="16"/>
      <w:szCs w:val="16"/>
      <w:u w:val="none"/>
    </w:rPr>
  </w:style>
  <w:style w:type="character" w:customStyle="1" w:styleId="21">
    <w:name w:val="font112"/>
    <w:basedOn w:val="15"/>
    <w:qFormat/>
    <w:uiPriority w:val="0"/>
    <w:rPr>
      <w:rFonts w:hint="eastAsia" w:ascii="宋体" w:hAnsi="宋体" w:eastAsia="宋体" w:cs="宋体"/>
      <w:color w:val="000000"/>
      <w:sz w:val="16"/>
      <w:szCs w:val="16"/>
      <w:u w:val="none"/>
    </w:rPr>
  </w:style>
  <w:style w:type="character" w:customStyle="1" w:styleId="22">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3">
    <w:name w:val="font21"/>
    <w:basedOn w:val="15"/>
    <w:qFormat/>
    <w:uiPriority w:val="0"/>
    <w:rPr>
      <w:rFonts w:hint="eastAsia" w:ascii="微软雅黑" w:hAnsi="微软雅黑" w:eastAsia="微软雅黑" w:cs="微软雅黑"/>
      <w:color w:val="000000"/>
      <w:sz w:val="16"/>
      <w:szCs w:val="16"/>
      <w:u w:val="none"/>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table_1stline"/>
    <w:basedOn w:val="1"/>
    <w:qFormat/>
    <w:uiPriority w:val="0"/>
    <w:pPr>
      <w:widowControl/>
      <w:spacing w:before="120"/>
      <w:jc w:val="left"/>
    </w:pPr>
    <w:rPr>
      <w:bCs/>
      <w:kern w:val="0"/>
      <w:sz w:val="20"/>
      <w:szCs w:val="20"/>
      <w:lang w:val="de-DE" w:eastAsia="de-DE"/>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标题 3 Char"/>
    <w:basedOn w:val="15"/>
    <w:link w:val="5"/>
    <w:qFormat/>
    <w:uiPriority w:val="9"/>
    <w:rPr>
      <w:rFonts w:asci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4616</Words>
  <Characters>4821</Characters>
  <Lines>0</Lines>
  <Paragraphs>0</Paragraphs>
  <TotalTime>0</TotalTime>
  <ScaleCrop>false</ScaleCrop>
  <LinksUpToDate>false</LinksUpToDate>
  <CharactersWithSpaces>4825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2020-04-24T05:54:16Z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