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服务</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rPr>
      </w:pPr>
      <w:r>
        <w:rPr>
          <w:rFonts w:hint="eastAsia"/>
        </w:rPr>
        <w:t>项目名称: 铜仁市城乡居民基本医疗大病保险和基本医疗意外伤害保险项目服务采购（二次采购）</w:t>
      </w:r>
      <w:r>
        <w:rPr>
          <w:rFonts w:hint="eastAsia"/>
          <w:lang w:val="en-US" w:eastAsia="zh-CN"/>
        </w:rPr>
        <w:t>1包</w:t>
      </w:r>
      <w:bookmarkStart w:id="0" w:name="_GoBack"/>
      <w:bookmarkEnd w:id="0"/>
    </w:p>
    <w:p>
      <w:pPr>
        <w:numPr>
          <w:ilvl w:val="0"/>
          <w:numId w:val="1"/>
        </w:numPr>
        <w:rPr>
          <w:rFonts w:hint="eastAsia"/>
          <w:lang w:val="en-US" w:eastAsia="zh-CN"/>
        </w:rPr>
      </w:pPr>
      <w:r>
        <w:rPr>
          <w:rFonts w:hint="eastAsia"/>
        </w:rPr>
        <w:t>项目编号: TRZFCG-201</w:t>
      </w:r>
      <w:r>
        <w:rPr>
          <w:rFonts w:hint="eastAsia"/>
          <w:lang w:val="en-US" w:eastAsia="zh-CN"/>
        </w:rPr>
        <w:t>9-196</w:t>
      </w:r>
    </w:p>
    <w:p>
      <w:pPr>
        <w:numPr>
          <w:ilvl w:val="0"/>
          <w:numId w:val="1"/>
        </w:numPr>
        <w:rPr>
          <w:rFonts w:hint="eastAsia"/>
          <w:lang w:val="en-US" w:eastAsia="zh-CN"/>
        </w:rPr>
      </w:pPr>
      <w:r>
        <w:rPr>
          <w:rFonts w:hint="eastAsia"/>
        </w:rPr>
        <w:t>项目序列号: TRZFCG-201</w:t>
      </w:r>
      <w:r>
        <w:rPr>
          <w:rFonts w:hint="eastAsia"/>
          <w:lang w:val="en-US" w:eastAsia="zh-CN"/>
        </w:rPr>
        <w:t>9-196</w:t>
      </w:r>
    </w:p>
    <w:p>
      <w:pPr>
        <w:numPr>
          <w:ilvl w:val="0"/>
          <w:numId w:val="1"/>
        </w:numPr>
        <w:rPr>
          <w:rFonts w:hint="eastAsia"/>
        </w:rPr>
      </w:pPr>
      <w:r>
        <w:rPr>
          <w:rFonts w:hint="eastAsia"/>
        </w:rPr>
        <w:t>项目联系人</w:t>
      </w:r>
      <w:r>
        <w:rPr>
          <w:rFonts w:hint="eastAsia"/>
          <w:lang w:eastAsia="zh-CN"/>
        </w:rPr>
        <w:t>：张琰</w:t>
      </w:r>
    </w:p>
    <w:p>
      <w:pPr>
        <w:numPr>
          <w:ilvl w:val="0"/>
          <w:numId w:val="1"/>
        </w:numPr>
        <w:rPr>
          <w:rFonts w:hint="eastAsia"/>
        </w:rPr>
      </w:pPr>
      <w:r>
        <w:rPr>
          <w:rFonts w:hint="eastAsia"/>
        </w:rPr>
        <w:t>项目联系电话: </w:t>
      </w:r>
      <w:r>
        <w:rPr>
          <w:rFonts w:hint="eastAsia"/>
          <w:lang w:val="en-US" w:eastAsia="zh-CN"/>
        </w:rPr>
        <w:t>0856-3912922</w:t>
      </w:r>
    </w:p>
    <w:p>
      <w:pPr>
        <w:numPr>
          <w:ilvl w:val="0"/>
          <w:numId w:val="1"/>
        </w:numPr>
        <w:rPr>
          <w:rFonts w:hint="eastAsia"/>
        </w:rPr>
      </w:pPr>
      <w:r>
        <w:rPr>
          <w:rFonts w:hint="eastAsia"/>
        </w:rPr>
        <w:t>项目用途、简要技术要求及合同履行日期:</w:t>
      </w:r>
    </w:p>
    <w:p>
      <w:pPr>
        <w:numPr>
          <w:ilvl w:val="0"/>
          <w:numId w:val="1"/>
        </w:numPr>
        <w:rPr>
          <w:rFonts w:hint="eastAsia"/>
          <w:lang w:eastAsia="zh-CN"/>
        </w:rPr>
      </w:pPr>
      <w:r>
        <w:rPr>
          <w:rFonts w:hint="eastAsia"/>
        </w:rPr>
        <w:t>采购方式:</w:t>
      </w:r>
      <w:r>
        <w:rPr>
          <w:rFonts w:hint="eastAsia"/>
          <w:lang w:eastAsia="zh-CN"/>
        </w:rPr>
        <w:t>公开招标</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2019年12月27日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2020年1月17日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val="en-US" w:eastAsia="zh-CN"/>
        </w:rPr>
        <w:t>:王群、叶丽、李宗雄、冉景荣、罗红英、王英、伍奎</w:t>
      </w:r>
    </w:p>
    <w:p>
      <w:pPr>
        <w:numPr>
          <w:ilvl w:val="0"/>
          <w:numId w:val="1"/>
        </w:numPr>
        <w:rPr>
          <w:rFonts w:hint="eastAsia"/>
          <w:lang w:val="en-US" w:eastAsia="zh-CN"/>
        </w:rPr>
      </w:pPr>
      <w:r>
        <w:rPr>
          <w:rFonts w:hint="eastAsia"/>
        </w:rPr>
        <w:t>定标日期: </w:t>
      </w:r>
      <w:r>
        <w:rPr>
          <w:rFonts w:hint="eastAsia"/>
          <w:lang w:val="en-US" w:eastAsia="zh-CN"/>
        </w:rPr>
        <w:t>2020年1月17日</w:t>
      </w:r>
    </w:p>
    <w:p>
      <w:pPr>
        <w:numPr>
          <w:ilvl w:val="0"/>
          <w:numId w:val="1"/>
        </w:numPr>
        <w:rPr>
          <w:rFonts w:hint="eastAsia"/>
        </w:rPr>
      </w:pPr>
      <w:r>
        <w:rPr>
          <w:rFonts w:hint="eastAsia"/>
        </w:rPr>
        <w:t>中标（成交）信息:</w:t>
      </w:r>
    </w:p>
    <w:tbl>
      <w:tblPr>
        <w:tblStyle w:val="8"/>
        <w:tblW w:w="924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74"/>
        <w:gridCol w:w="2475"/>
        <w:gridCol w:w="189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652" w:type="dxa"/>
            <w:vAlign w:val="top"/>
          </w:tcPr>
          <w:p>
            <w:pPr>
              <w:numPr>
                <w:ilvl w:val="0"/>
                <w:numId w:val="0"/>
              </w:numPr>
              <w:rPr>
                <w:rFonts w:hint="eastAsia"/>
              </w:rPr>
            </w:pPr>
            <w:r>
              <w:rPr>
                <w:rFonts w:hint="eastAsia"/>
              </w:rPr>
              <w:t>序号</w:t>
            </w:r>
          </w:p>
        </w:tc>
        <w:tc>
          <w:tcPr>
            <w:tcW w:w="2474" w:type="dxa"/>
            <w:vAlign w:val="top"/>
          </w:tcPr>
          <w:p>
            <w:pPr>
              <w:numPr>
                <w:ilvl w:val="0"/>
                <w:numId w:val="0"/>
              </w:numPr>
              <w:rPr>
                <w:rFonts w:hint="eastAsia"/>
              </w:rPr>
            </w:pPr>
            <w:r>
              <w:rPr>
                <w:rFonts w:hint="eastAsia"/>
              </w:rPr>
              <w:t>中标供应商</w:t>
            </w:r>
          </w:p>
        </w:tc>
        <w:tc>
          <w:tcPr>
            <w:tcW w:w="2475" w:type="dxa"/>
            <w:vAlign w:val="top"/>
          </w:tcPr>
          <w:p>
            <w:pPr>
              <w:numPr>
                <w:ilvl w:val="0"/>
                <w:numId w:val="0"/>
              </w:numPr>
              <w:rPr>
                <w:rFonts w:hint="eastAsia"/>
              </w:rPr>
            </w:pPr>
            <w:r>
              <w:rPr>
                <w:rFonts w:hint="eastAsia"/>
              </w:rPr>
              <w:t>中标供应商地址</w:t>
            </w:r>
          </w:p>
        </w:tc>
        <w:tc>
          <w:tcPr>
            <w:tcW w:w="1892" w:type="dxa"/>
            <w:vAlign w:val="top"/>
          </w:tcPr>
          <w:p>
            <w:pPr>
              <w:numPr>
                <w:ilvl w:val="0"/>
                <w:numId w:val="0"/>
              </w:numPr>
              <w:rPr>
                <w:rFonts w:hint="eastAsia"/>
              </w:rPr>
            </w:pPr>
            <w:r>
              <w:rPr>
                <w:rFonts w:hint="eastAsia"/>
              </w:rPr>
              <w:t>主要中标（成交）的详细内容</w:t>
            </w:r>
          </w:p>
        </w:tc>
        <w:tc>
          <w:tcPr>
            <w:tcW w:w="1747" w:type="dxa"/>
            <w:vAlign w:val="top"/>
          </w:tcPr>
          <w:p>
            <w:pPr>
              <w:numPr>
                <w:ilvl w:val="0"/>
                <w:numId w:val="0"/>
              </w:numPr>
              <w:rPr>
                <w:rFonts w:hint="eastAsia"/>
              </w:rPr>
            </w:pPr>
            <w:r>
              <w:rPr>
                <w:rFonts w:hint="eastAsia"/>
              </w:rPr>
              <w:t>中标（成交）金额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trPr>
        <w:tc>
          <w:tcPr>
            <w:tcW w:w="652" w:type="dxa"/>
            <w:vMerge w:val="restart"/>
            <w:vAlign w:val="center"/>
          </w:tcPr>
          <w:p>
            <w:pPr>
              <w:numPr>
                <w:ilvl w:val="0"/>
                <w:numId w:val="0"/>
              </w:numPr>
              <w:rPr>
                <w:rFonts w:hint="eastAsia" w:eastAsia="宋体"/>
                <w:lang w:val="en-US" w:eastAsia="zh-CN"/>
              </w:rPr>
            </w:pPr>
            <w:r>
              <w:rPr>
                <w:rFonts w:hint="eastAsia"/>
                <w:lang w:val="en-US" w:eastAsia="zh-CN"/>
              </w:rPr>
              <w:t>1</w:t>
            </w: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中国太平洋财产保险股份有限公司铜仁中心支公司</w:t>
            </w:r>
          </w:p>
        </w:tc>
        <w:tc>
          <w:tcPr>
            <w:tcW w:w="2475" w:type="dxa"/>
            <w:vAlign w:val="center"/>
          </w:tcPr>
          <w:p>
            <w:pPr>
              <w:numPr>
                <w:ilvl w:val="0"/>
                <w:numId w:val="0"/>
              </w:numPr>
              <w:rPr>
                <w:rFonts w:hint="default" w:cs="Times New Roman"/>
                <w:lang w:val="en-US" w:eastAsia="zh-CN"/>
              </w:rPr>
            </w:pPr>
            <w:r>
              <w:rPr>
                <w:rFonts w:hint="default" w:cs="Times New Roman"/>
                <w:lang w:val="en-US" w:eastAsia="zh-CN"/>
              </w:rPr>
              <w:t>贵州省铜仁市碧江区梵净山大道86号禄福宫</w:t>
            </w:r>
          </w:p>
        </w:tc>
        <w:tc>
          <w:tcPr>
            <w:tcW w:w="1892" w:type="dxa"/>
            <w:vAlign w:val="center"/>
          </w:tcPr>
          <w:p>
            <w:pPr>
              <w:numPr>
                <w:ilvl w:val="0"/>
                <w:numId w:val="0"/>
              </w:numPr>
              <w:jc w:val="both"/>
              <w:rPr>
                <w:rFonts w:hint="default" w:eastAsia="宋体"/>
                <w:lang w:val="en-US" w:eastAsia="zh-CN"/>
              </w:rPr>
            </w:pPr>
            <w:r>
              <w:rPr>
                <w:rFonts w:hint="eastAsia"/>
                <w:lang w:val="en-US" w:eastAsia="zh-CN"/>
              </w:rPr>
              <w:t>运营成本费（保险盈利费）为</w:t>
            </w:r>
            <w:r>
              <w:rPr>
                <w:rFonts w:hint="eastAsia"/>
                <w:u w:val="single"/>
                <w:lang w:val="en-US" w:eastAsia="zh-CN"/>
              </w:rPr>
              <w:t>1620080</w:t>
            </w:r>
            <w:r>
              <w:rPr>
                <w:rFonts w:hint="eastAsia"/>
                <w:lang w:val="en-US" w:eastAsia="zh-CN"/>
              </w:rPr>
              <w:t>元</w:t>
            </w:r>
          </w:p>
        </w:tc>
        <w:tc>
          <w:tcPr>
            <w:tcW w:w="1747" w:type="dxa"/>
            <w:vAlign w:val="center"/>
          </w:tcPr>
          <w:p>
            <w:pPr>
              <w:numPr>
                <w:ilvl w:val="0"/>
                <w:numId w:val="0"/>
              </w:numPr>
              <w:rPr>
                <w:rFonts w:hint="default"/>
                <w:lang w:val="en-US" w:eastAsia="zh-CN"/>
              </w:rPr>
            </w:pPr>
            <w:r>
              <w:rPr>
                <w:rFonts w:hint="eastAsia"/>
                <w:lang w:val="en-US" w:eastAsia="zh-CN"/>
              </w:rPr>
              <w:t>15</w:t>
            </w:r>
            <w:r>
              <w:rPr>
                <w:rFonts w:hint="default"/>
                <w:lang w:val="en-US" w:eastAsia="zh-CN"/>
              </w:rPr>
              <w:t>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trPr>
        <w:tc>
          <w:tcPr>
            <w:tcW w:w="652" w:type="dxa"/>
            <w:vMerge w:val="continue"/>
            <w:vAlign w:val="center"/>
          </w:tcPr>
          <w:p>
            <w:pPr>
              <w:numPr>
                <w:ilvl w:val="0"/>
                <w:numId w:val="0"/>
              </w:numPr>
              <w:rPr>
                <w:rFonts w:hint="eastAsia"/>
                <w:lang w:val="en-US" w:eastAsia="zh-CN"/>
              </w:rPr>
            </w:pP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中国人民财产保险股份有限公司铜仁分公司</w:t>
            </w:r>
          </w:p>
        </w:tc>
        <w:tc>
          <w:tcPr>
            <w:tcW w:w="2475" w:type="dxa"/>
            <w:vAlign w:val="center"/>
          </w:tcPr>
          <w:p>
            <w:pPr>
              <w:numPr>
                <w:ilvl w:val="0"/>
                <w:numId w:val="0"/>
              </w:numPr>
              <w:rPr>
                <w:rFonts w:hint="default" w:cs="Times New Roman"/>
                <w:lang w:val="en-US" w:eastAsia="zh-CN"/>
              </w:rPr>
            </w:pPr>
            <w:r>
              <w:rPr>
                <w:rFonts w:hint="default" w:cs="Times New Roman"/>
                <w:lang w:val="en-US" w:eastAsia="zh-CN"/>
              </w:rPr>
              <w:t>贵州省铜仁市碧江区环城东路2号</w:t>
            </w:r>
          </w:p>
        </w:tc>
        <w:tc>
          <w:tcPr>
            <w:tcW w:w="1892" w:type="dxa"/>
            <w:vAlign w:val="center"/>
          </w:tcPr>
          <w:p>
            <w:pPr>
              <w:numPr>
                <w:ilvl w:val="0"/>
                <w:numId w:val="0"/>
              </w:numPr>
              <w:jc w:val="center"/>
              <w:rPr>
                <w:rFonts w:hint="default" w:eastAsia="宋体"/>
                <w:lang w:val="en-US" w:eastAsia="zh-CN"/>
              </w:rPr>
            </w:pPr>
            <w:r>
              <w:rPr>
                <w:rFonts w:hint="eastAsia"/>
                <w:lang w:val="en-US" w:eastAsia="zh-CN"/>
              </w:rPr>
              <w:t>运营成本费（保险盈利费）为</w:t>
            </w:r>
            <w:r>
              <w:rPr>
                <w:rFonts w:hint="eastAsia"/>
                <w:u w:val="single"/>
                <w:lang w:val="en-US" w:eastAsia="zh-CN"/>
              </w:rPr>
              <w:t>2550000元</w:t>
            </w:r>
          </w:p>
        </w:tc>
        <w:tc>
          <w:tcPr>
            <w:tcW w:w="1747" w:type="dxa"/>
            <w:vAlign w:val="center"/>
          </w:tcPr>
          <w:p>
            <w:pPr>
              <w:numPr>
                <w:ilvl w:val="0"/>
                <w:numId w:val="0"/>
              </w:numPr>
              <w:rPr>
                <w:rFonts w:hint="eastAsia"/>
                <w:lang w:val="en-US" w:eastAsia="zh-CN"/>
              </w:rPr>
            </w:pPr>
            <w:r>
              <w:rPr>
                <w:rFonts w:hint="eastAsia"/>
                <w:lang w:val="en-US" w:eastAsia="zh-CN"/>
              </w:rPr>
              <w:t>150000000</w:t>
            </w:r>
          </w:p>
        </w:tc>
      </w:tr>
    </w:tbl>
    <w:p>
      <w:pPr>
        <w:numPr>
          <w:ilvl w:val="0"/>
          <w:numId w:val="0"/>
        </w:numPr>
        <w:rPr>
          <w:rFonts w:hint="eastAsia" w:eastAsia="宋体"/>
          <w:lang w:eastAsia="zh-CN"/>
        </w:rPr>
      </w:pPr>
      <w:r>
        <w:rPr>
          <w:rFonts w:hint="eastAsia"/>
          <w:lang w:val="en-US" w:eastAsia="zh-CN"/>
        </w:rPr>
        <w:t>15、</w:t>
      </w:r>
      <w:r>
        <w:rPr>
          <w:rFonts w:hint="eastAsia"/>
        </w:rPr>
        <w:t xml:space="preserve">采购人名称: </w:t>
      </w:r>
      <w:r>
        <w:rPr>
          <w:rFonts w:hint="eastAsia"/>
          <w:lang w:eastAsia="zh-CN"/>
        </w:rPr>
        <w:t>铜仁市医疗保障局</w:t>
      </w:r>
    </w:p>
    <w:p>
      <w:pPr>
        <w:numPr>
          <w:ilvl w:val="0"/>
          <w:numId w:val="0"/>
        </w:numPr>
        <w:rPr>
          <w:rFonts w:hint="eastAsia" w:eastAsia="宋体"/>
          <w:lang w:eastAsia="zh-CN"/>
        </w:rPr>
      </w:pPr>
      <w:r>
        <w:rPr>
          <w:rFonts w:hint="eastAsia"/>
        </w:rPr>
        <w:t>联系地址:</w:t>
      </w:r>
      <w:r>
        <w:rPr>
          <w:rFonts w:hint="eastAsia"/>
          <w:lang w:eastAsia="zh-CN"/>
        </w:rPr>
        <w:t>铜仁市医疗保障局</w:t>
      </w:r>
    </w:p>
    <w:p>
      <w:pPr>
        <w:numPr>
          <w:ilvl w:val="0"/>
          <w:numId w:val="0"/>
        </w:numPr>
        <w:rPr>
          <w:rFonts w:hint="eastAsia"/>
          <w:lang w:eastAsia="zh-CN"/>
        </w:rPr>
      </w:pPr>
      <w:r>
        <w:rPr>
          <w:rFonts w:hint="eastAsia"/>
        </w:rPr>
        <w:t xml:space="preserve">项目联系人: </w:t>
      </w:r>
      <w:r>
        <w:rPr>
          <w:rFonts w:hint="eastAsia"/>
          <w:lang w:eastAsia="zh-CN"/>
        </w:rPr>
        <w:t>伍先生</w:t>
      </w:r>
    </w:p>
    <w:p>
      <w:pPr>
        <w:numPr>
          <w:ilvl w:val="0"/>
          <w:numId w:val="0"/>
        </w:numPr>
        <w:rPr>
          <w:rFonts w:hint="eastAsia"/>
        </w:rPr>
      </w:pPr>
      <w:r>
        <w:rPr>
          <w:rFonts w:hint="eastAsia"/>
        </w:rPr>
        <w:t>联系电话:0856-5210706</w:t>
      </w:r>
    </w:p>
    <w:p>
      <w:pPr>
        <w:numPr>
          <w:ilvl w:val="0"/>
          <w:numId w:val="0"/>
        </w:numPr>
        <w:rPr>
          <w:rFonts w:hint="eastAsia"/>
        </w:rPr>
      </w:pPr>
      <w:r>
        <w:rPr>
          <w:rFonts w:hint="eastAsia"/>
          <w:lang w:val="en-US" w:eastAsia="zh-CN"/>
        </w:rPr>
        <w:t>16、</w:t>
      </w: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default"/>
          <w:lang w:val="en-US"/>
        </w:rPr>
      </w:pPr>
      <w:r>
        <w:rPr>
          <w:rFonts w:hint="eastAsia"/>
        </w:rPr>
        <w:t>联系电话:</w:t>
      </w:r>
      <w:r>
        <w:rPr>
          <w:rFonts w:hint="eastAsia"/>
          <w:lang w:val="en-US" w:eastAsia="zh-CN"/>
        </w:rPr>
        <w:t>0856-3912922</w:t>
      </w:r>
    </w:p>
    <w:p>
      <w:pPr>
        <w:numPr>
          <w:ilvl w:val="0"/>
          <w:numId w:val="0"/>
        </w:numPr>
        <w:rPr>
          <w:rFonts w:hint="eastAsia"/>
        </w:rPr>
      </w:pPr>
      <w:r>
        <w:rPr>
          <w:rFonts w:hint="eastAsia"/>
        </w:rPr>
        <w:t xml:space="preserve">17、采购文件上传（PDF格式）：(招标文件)       </w:t>
      </w:r>
    </w:p>
    <w:p>
      <w:pPr>
        <w:numPr>
          <w:ilvl w:val="0"/>
          <w:numId w:val="0"/>
        </w:numPr>
        <w:rPr>
          <w:rFonts w:hint="eastAsia"/>
        </w:rPr>
      </w:pPr>
      <w:r>
        <w:rPr>
          <w:rFonts w:hint="eastAsia"/>
        </w:rPr>
        <w:t>18、书面推荐供应商参加采购活动的采购人和评审专家推荐意见（如有）:</w:t>
      </w:r>
    </w:p>
    <w:tbl>
      <w:tblPr>
        <w:tblStyle w:val="8"/>
        <w:tblW w:w="8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8300" w:type="dxa"/>
            <w:vAlign w:val="top"/>
          </w:tcPr>
          <w:p>
            <w:pPr>
              <w:numPr>
                <w:ilvl w:val="0"/>
                <w:numId w:val="0"/>
              </w:numPr>
              <w:rPr>
                <w:rFonts w:hint="eastAsia"/>
              </w:rPr>
            </w:pPr>
            <w:r>
              <w:rPr>
                <w:rFonts w:hint="eastAsia"/>
              </w:rPr>
              <w:t>据本项目招标文件规定，评标委员会推荐得分最高的</w:t>
            </w:r>
            <w:r>
              <w:rPr>
                <w:rFonts w:hint="eastAsia"/>
                <w:u w:val="single"/>
                <w:lang w:val="en-US" w:eastAsia="zh-CN"/>
              </w:rPr>
              <w:t>1包中国太平洋财产保险股份有限公司铜仁中心支公司和</w:t>
            </w:r>
            <w:r>
              <w:rPr>
                <w:rFonts w:hint="eastAsia" w:cs="Times New Roman"/>
                <w:u w:val="single"/>
                <w:lang w:val="en-US" w:eastAsia="zh-CN"/>
              </w:rPr>
              <w:t>中国人民财产保险股份有限公司铜仁分公司</w:t>
            </w:r>
            <w:r>
              <w:rPr>
                <w:rFonts w:hint="eastAsia"/>
              </w:rPr>
              <w:t>为本项目</w:t>
            </w:r>
            <w:r>
              <w:rPr>
                <w:rFonts w:hint="eastAsia"/>
                <w:lang w:eastAsia="zh-CN"/>
              </w:rPr>
              <w:t>中</w:t>
            </w:r>
            <w:r>
              <w:rPr>
                <w:rFonts w:hint="eastAsia"/>
              </w:rPr>
              <w:t>标候选供应商。</w:t>
            </w: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9D1BFA"/>
    <w:rsid w:val="0474224E"/>
    <w:rsid w:val="052C3508"/>
    <w:rsid w:val="069432DC"/>
    <w:rsid w:val="0851720B"/>
    <w:rsid w:val="0A9F063D"/>
    <w:rsid w:val="0AC14DAA"/>
    <w:rsid w:val="0CE312FE"/>
    <w:rsid w:val="0E046D3B"/>
    <w:rsid w:val="0E8D6543"/>
    <w:rsid w:val="0FF22CE4"/>
    <w:rsid w:val="11006224"/>
    <w:rsid w:val="11D702E6"/>
    <w:rsid w:val="11EC76CE"/>
    <w:rsid w:val="1473234A"/>
    <w:rsid w:val="153A4497"/>
    <w:rsid w:val="15FF7EAD"/>
    <w:rsid w:val="16032C35"/>
    <w:rsid w:val="17977B0B"/>
    <w:rsid w:val="18206AAD"/>
    <w:rsid w:val="196E10D6"/>
    <w:rsid w:val="19754DFF"/>
    <w:rsid w:val="197A170C"/>
    <w:rsid w:val="19B126EA"/>
    <w:rsid w:val="1ADB0A2E"/>
    <w:rsid w:val="1AE516E0"/>
    <w:rsid w:val="1BFF78B5"/>
    <w:rsid w:val="1D4B04E3"/>
    <w:rsid w:val="1DF34E13"/>
    <w:rsid w:val="205A498C"/>
    <w:rsid w:val="2144598B"/>
    <w:rsid w:val="220D5599"/>
    <w:rsid w:val="23C116FA"/>
    <w:rsid w:val="245705AB"/>
    <w:rsid w:val="24642EB6"/>
    <w:rsid w:val="24AE6659"/>
    <w:rsid w:val="25452EC9"/>
    <w:rsid w:val="25C2324A"/>
    <w:rsid w:val="263372A2"/>
    <w:rsid w:val="269E4077"/>
    <w:rsid w:val="272E013B"/>
    <w:rsid w:val="27543A2E"/>
    <w:rsid w:val="275E03B9"/>
    <w:rsid w:val="279B1720"/>
    <w:rsid w:val="2835199E"/>
    <w:rsid w:val="28576F1B"/>
    <w:rsid w:val="29FB1316"/>
    <w:rsid w:val="2C051B0C"/>
    <w:rsid w:val="2CF57B8A"/>
    <w:rsid w:val="2D3018B7"/>
    <w:rsid w:val="2D360085"/>
    <w:rsid w:val="32045BC7"/>
    <w:rsid w:val="338627A6"/>
    <w:rsid w:val="33C678EA"/>
    <w:rsid w:val="36CA2F0D"/>
    <w:rsid w:val="374C4969"/>
    <w:rsid w:val="384A7865"/>
    <w:rsid w:val="3B4045C6"/>
    <w:rsid w:val="3D6C3A0E"/>
    <w:rsid w:val="3DA967CE"/>
    <w:rsid w:val="3E5F280E"/>
    <w:rsid w:val="3F212C57"/>
    <w:rsid w:val="3FA32DD8"/>
    <w:rsid w:val="402A7F4B"/>
    <w:rsid w:val="40477ACE"/>
    <w:rsid w:val="417332B9"/>
    <w:rsid w:val="439A27D4"/>
    <w:rsid w:val="43A86AD7"/>
    <w:rsid w:val="44304D33"/>
    <w:rsid w:val="44CA18D8"/>
    <w:rsid w:val="4561427A"/>
    <w:rsid w:val="462F4DE1"/>
    <w:rsid w:val="4A170773"/>
    <w:rsid w:val="4B361BAC"/>
    <w:rsid w:val="4BEA0D82"/>
    <w:rsid w:val="4CCC50B7"/>
    <w:rsid w:val="4EBA68CD"/>
    <w:rsid w:val="4F430181"/>
    <w:rsid w:val="4FDD3EFE"/>
    <w:rsid w:val="50217A30"/>
    <w:rsid w:val="5083623F"/>
    <w:rsid w:val="512220F5"/>
    <w:rsid w:val="51DC38D2"/>
    <w:rsid w:val="52C15E15"/>
    <w:rsid w:val="55AC5E34"/>
    <w:rsid w:val="566038F8"/>
    <w:rsid w:val="56C43AA2"/>
    <w:rsid w:val="572F06A0"/>
    <w:rsid w:val="597A0962"/>
    <w:rsid w:val="59EF77AB"/>
    <w:rsid w:val="5A82516F"/>
    <w:rsid w:val="5B23666E"/>
    <w:rsid w:val="5C770418"/>
    <w:rsid w:val="5D774211"/>
    <w:rsid w:val="5DD01DC9"/>
    <w:rsid w:val="5E201D8E"/>
    <w:rsid w:val="5FB038B9"/>
    <w:rsid w:val="5FD9450E"/>
    <w:rsid w:val="5FDA591D"/>
    <w:rsid w:val="5FF068DD"/>
    <w:rsid w:val="60E1450F"/>
    <w:rsid w:val="61157615"/>
    <w:rsid w:val="61FF4104"/>
    <w:rsid w:val="62627818"/>
    <w:rsid w:val="63D6127C"/>
    <w:rsid w:val="65364694"/>
    <w:rsid w:val="67F014ED"/>
    <w:rsid w:val="68BD54E2"/>
    <w:rsid w:val="69645C10"/>
    <w:rsid w:val="6A436FDB"/>
    <w:rsid w:val="6A980C3A"/>
    <w:rsid w:val="6D126A8C"/>
    <w:rsid w:val="6D52184A"/>
    <w:rsid w:val="6D925039"/>
    <w:rsid w:val="6E567335"/>
    <w:rsid w:val="6E59071B"/>
    <w:rsid w:val="710A120D"/>
    <w:rsid w:val="71E0144C"/>
    <w:rsid w:val="72A20070"/>
    <w:rsid w:val="72CF5F18"/>
    <w:rsid w:val="736077F4"/>
    <w:rsid w:val="73A705A5"/>
    <w:rsid w:val="76CE7859"/>
    <w:rsid w:val="783B09F0"/>
    <w:rsid w:val="788B7599"/>
    <w:rsid w:val="789323B5"/>
    <w:rsid w:val="79272687"/>
    <w:rsid w:val="7A3676C2"/>
    <w:rsid w:val="7AA75AA1"/>
    <w:rsid w:val="7C1D3972"/>
    <w:rsid w:val="7C861F1D"/>
    <w:rsid w:val="7C9008DF"/>
    <w:rsid w:val="7E2D5AD7"/>
    <w:rsid w:val="7E915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kern w:val="0"/>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0"/>
    <w:rPr>
      <w:color w:val="333333"/>
      <w:u w:val="none"/>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help-inline"/>
    <w:basedOn w:val="9"/>
    <w:qFormat/>
    <w:uiPriority w:val="0"/>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_Style 14"/>
    <w:basedOn w:val="1"/>
    <w:next w:val="1"/>
    <w:qFormat/>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19</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2020-01-19T03:04:00Z</cp:lastPrinted>
  <dcterms:modified xsi:type="dcterms:W3CDTF">2020-01-19T03:23:43Z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