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237" w:lineRule="auto"/>
        <w:ind w:left="0" w:right="0"/>
        <w:jc w:val="center"/>
        <w:textAlignment w:val="auto"/>
        <w:rPr>
          <w:rFonts w:hint="eastAsia"/>
          <w:w w:val="95"/>
          <w:highlight w:val="none"/>
        </w:rPr>
      </w:pPr>
      <w:r>
        <w:rPr>
          <w:rFonts w:hint="eastAsia"/>
          <w:w w:val="95"/>
          <w:highlight w:val="none"/>
        </w:rPr>
        <w:drawing>
          <wp:inline distT="0" distB="0" distL="114300" distR="114300">
            <wp:extent cx="5867400" cy="9036050"/>
            <wp:effectExtent l="0" t="0" r="0" b="12700"/>
            <wp:docPr id="1" name="图片 1" descr="4e1542ce57fa50934ad2816aadc0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1542ce57fa50934ad2816aadc0a71"/>
                    <pic:cNvPicPr>
                      <a:picLocks noChangeAspect="1"/>
                    </pic:cNvPicPr>
                  </pic:nvPicPr>
                  <pic:blipFill>
                    <a:blip r:embed="rId11"/>
                    <a:stretch>
                      <a:fillRect/>
                    </a:stretch>
                  </pic:blipFill>
                  <pic:spPr>
                    <a:xfrm>
                      <a:off x="0" y="0"/>
                      <a:ext cx="5867400" cy="903605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after="0" w:line="237" w:lineRule="auto"/>
        <w:ind w:left="0" w:right="0"/>
        <w:jc w:val="center"/>
        <w:textAlignment w:val="auto"/>
        <w:rPr>
          <w:rFonts w:hint="eastAsia"/>
          <w:w w:val="95"/>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7"/>
          <w:highlight w:val="none"/>
        </w:rPr>
      </w:pPr>
    </w:p>
    <w:p>
      <w:pPr>
        <w:pStyle w:val="4"/>
        <w:keepNext w:val="0"/>
        <w:keepLines w:val="0"/>
        <w:pageBreakBefore w:val="0"/>
        <w:widowControl w:val="0"/>
        <w:tabs>
          <w:tab w:val="left" w:pos="905"/>
        </w:tabs>
        <w:kinsoku/>
        <w:wordWrap/>
        <w:overflowPunct/>
        <w:topLinePunct w:val="0"/>
        <w:autoSpaceDE w:val="0"/>
        <w:autoSpaceDN w:val="0"/>
        <w:bidi w:val="0"/>
        <w:adjustRightInd/>
        <w:snapToGrid/>
        <w:spacing w:before="0" w:after="0" w:line="461" w:lineRule="exact"/>
        <w:ind w:left="0" w:right="0"/>
        <w:jc w:val="center"/>
        <w:textAlignment w:val="auto"/>
        <w:rPr>
          <w:highlight w:val="none"/>
        </w:rPr>
      </w:pPr>
      <w:r>
        <w:rPr>
          <w:highlight w:val="none"/>
        </w:rPr>
        <w:t>目</w:t>
      </w:r>
      <w:r>
        <w:rPr>
          <w:highlight w:val="none"/>
        </w:rPr>
        <w:tab/>
      </w:r>
      <w:r>
        <w:rPr>
          <w:highlight w:val="none"/>
        </w:rPr>
        <w:t>录</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3"/>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第一章 磋商公告</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b/>
          <w:sz w:val="28"/>
          <w:highlight w:val="none"/>
        </w:rPr>
      </w:pPr>
      <w:r>
        <w:rPr>
          <w:b/>
          <w:sz w:val="28"/>
          <w:highlight w:val="none"/>
        </w:rPr>
        <w:t>第二章 磋商供应商须知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8" w:lineRule="auto"/>
        <w:ind w:left="0" w:right="0" w:firstLine="0"/>
        <w:jc w:val="both"/>
        <w:textAlignment w:val="auto"/>
        <w:rPr>
          <w:b/>
          <w:sz w:val="28"/>
          <w:highlight w:val="none"/>
        </w:rPr>
      </w:pPr>
      <w:r>
        <w:rPr>
          <w:b/>
          <w:sz w:val="28"/>
          <w:highlight w:val="none"/>
        </w:rPr>
        <w:t>磋商供应商须知正文部分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8" w:lineRule="auto"/>
        <w:ind w:leftChars="0" w:right="0" w:rightChars="0"/>
        <w:jc w:val="both"/>
        <w:textAlignment w:val="auto"/>
        <w:rPr>
          <w:b/>
          <w:sz w:val="28"/>
          <w:highlight w:val="none"/>
        </w:rPr>
      </w:pPr>
      <w:r>
        <w:rPr>
          <w:b/>
          <w:sz w:val="28"/>
          <w:highlight w:val="none"/>
        </w:rPr>
        <w:t>第四章 磋商内容及要求</w:t>
      </w:r>
    </w:p>
    <w:p>
      <w:pPr>
        <w:keepNext w:val="0"/>
        <w:keepLines w:val="0"/>
        <w:pageBreakBefore w:val="0"/>
        <w:widowControl w:val="0"/>
        <w:kinsoku/>
        <w:wordWrap/>
        <w:overflowPunct/>
        <w:topLinePunct w:val="0"/>
        <w:autoSpaceDE w:val="0"/>
        <w:autoSpaceDN w:val="0"/>
        <w:bidi w:val="0"/>
        <w:adjustRightInd/>
        <w:snapToGrid/>
        <w:spacing w:before="0" w:after="0" w:line="408" w:lineRule="auto"/>
        <w:ind w:left="0" w:right="0" w:firstLine="0"/>
        <w:jc w:val="both"/>
        <w:textAlignment w:val="auto"/>
        <w:rPr>
          <w:b/>
          <w:sz w:val="28"/>
          <w:highlight w:val="none"/>
        </w:rPr>
      </w:pPr>
      <w:r>
        <w:rPr>
          <w:b/>
          <w:sz w:val="28"/>
          <w:highlight w:val="none"/>
        </w:rPr>
        <w:t xml:space="preserve">第五章 铜仁市政府采购合同（参考文本） </w:t>
      </w:r>
    </w:p>
    <w:p>
      <w:pPr>
        <w:keepNext w:val="0"/>
        <w:keepLines w:val="0"/>
        <w:pageBreakBefore w:val="0"/>
        <w:widowControl w:val="0"/>
        <w:kinsoku/>
        <w:wordWrap/>
        <w:overflowPunct/>
        <w:topLinePunct w:val="0"/>
        <w:autoSpaceDE w:val="0"/>
        <w:autoSpaceDN w:val="0"/>
        <w:bidi w:val="0"/>
        <w:adjustRightInd/>
        <w:snapToGrid/>
        <w:spacing w:before="0" w:after="0" w:line="408" w:lineRule="auto"/>
        <w:ind w:left="0" w:right="0" w:firstLine="0"/>
        <w:jc w:val="both"/>
        <w:textAlignment w:val="auto"/>
        <w:rPr>
          <w:b/>
          <w:sz w:val="28"/>
          <w:highlight w:val="none"/>
        </w:rPr>
      </w:pPr>
      <w:r>
        <w:rPr>
          <w:b/>
          <w:sz w:val="28"/>
          <w:highlight w:val="none"/>
        </w:rPr>
        <w:t>第</w:t>
      </w:r>
      <w:r>
        <w:rPr>
          <w:rFonts w:hint="eastAsia"/>
          <w:b/>
          <w:sz w:val="28"/>
          <w:highlight w:val="none"/>
          <w:lang w:val="en-US" w:eastAsia="zh-CN"/>
        </w:rPr>
        <w:t>六</w:t>
      </w:r>
      <w:r>
        <w:rPr>
          <w:b/>
          <w:sz w:val="28"/>
          <w:highlight w:val="none"/>
        </w:rPr>
        <w:t>章 响应文件格式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both"/>
        <w:textAlignment w:val="auto"/>
        <w:rPr>
          <w:b/>
          <w:sz w:val="24"/>
          <w:szCs w:val="24"/>
          <w:highlight w:val="none"/>
        </w:rPr>
      </w:pPr>
      <w:r>
        <w:rPr>
          <w:b/>
          <w:w w:val="95"/>
          <w:sz w:val="24"/>
          <w:szCs w:val="24"/>
          <w:highlight w:val="none"/>
        </w:rPr>
        <w:t>提示：投标前请认真阅读本招标文件！！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398"/>
        <w:jc w:val="both"/>
        <w:textAlignment w:val="auto"/>
        <w:rPr>
          <w:b/>
          <w:sz w:val="24"/>
          <w:szCs w:val="24"/>
          <w:highlight w:val="none"/>
        </w:rPr>
      </w:pPr>
      <w:r>
        <w:rPr>
          <w:b/>
          <w:sz w:val="24"/>
          <w:szCs w:val="24"/>
          <w:highlight w:val="none"/>
        </w:rPr>
        <w:t>投标人在购买招标文件后请自行核对和仔细阅读招标文件的内容，如发现缺页、错装，疑</w:t>
      </w:r>
      <w:r>
        <w:rPr>
          <w:b/>
          <w:spacing w:val="-7"/>
          <w:sz w:val="24"/>
          <w:szCs w:val="24"/>
          <w:highlight w:val="none"/>
        </w:rPr>
        <w:t>议等情况，请于购买招标文件之日</w:t>
      </w:r>
      <w:r>
        <w:rPr>
          <w:rFonts w:hint="eastAsia"/>
          <w:b/>
          <w:spacing w:val="-7"/>
          <w:sz w:val="24"/>
          <w:szCs w:val="24"/>
          <w:highlight w:val="none"/>
          <w:lang w:val="en-US" w:eastAsia="zh-CN"/>
        </w:rPr>
        <w:t>7</w:t>
      </w:r>
      <w:r>
        <w:rPr>
          <w:b/>
          <w:sz w:val="24"/>
          <w:szCs w:val="24"/>
          <w:highlight w:val="none"/>
        </w:rPr>
        <w:t>个工作日内向招标人或招标代理机构提出</w:t>
      </w:r>
      <w:r>
        <w:rPr>
          <w:rFonts w:hint="eastAsia"/>
          <w:b/>
          <w:sz w:val="24"/>
          <w:szCs w:val="24"/>
          <w:highlight w:val="none"/>
          <w:lang w:eastAsia="zh-CN"/>
        </w:rPr>
        <w:t>，</w:t>
      </w:r>
      <w:r>
        <w:rPr>
          <w:b/>
          <w:spacing w:val="-4"/>
          <w:sz w:val="24"/>
          <w:szCs w:val="24"/>
          <w:highlight w:val="none"/>
        </w:rPr>
        <w:t>否则</w:t>
      </w:r>
      <w:r>
        <w:rPr>
          <w:rFonts w:hint="eastAsia"/>
          <w:b/>
          <w:spacing w:val="-4"/>
          <w:sz w:val="24"/>
          <w:szCs w:val="24"/>
          <w:highlight w:val="none"/>
          <w:lang w:eastAsia="zh-CN"/>
        </w:rPr>
        <w:t>，</w:t>
      </w:r>
      <w:r>
        <w:rPr>
          <w:b/>
          <w:spacing w:val="-4"/>
          <w:sz w:val="24"/>
          <w:szCs w:val="24"/>
          <w:highlight w:val="none"/>
        </w:rPr>
        <w:t>视为投标</w:t>
      </w:r>
      <w:r>
        <w:rPr>
          <w:b/>
          <w:spacing w:val="-4"/>
          <w:w w:val="95"/>
          <w:sz w:val="24"/>
          <w:szCs w:val="24"/>
          <w:highlight w:val="none"/>
        </w:rPr>
        <w:t>人对招标文件的充分理解和认可。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sz w:val="20"/>
          <w:highlight w:val="none"/>
        </w:rPr>
        <w:sectPr>
          <w:footerReference r:id="rId3" w:type="default"/>
          <w:pgSz w:w="11910" w:h="16840"/>
          <w:pgMar w:top="1580" w:right="1680" w:bottom="820" w:left="1680" w:header="0" w:footer="626" w:gutter="0"/>
          <w:pgBorders>
            <w:top w:val="none" w:sz="0" w:space="0"/>
            <w:left w:val="none" w:sz="0" w:space="0"/>
            <w:bottom w:val="none" w:sz="0" w:space="0"/>
            <w:right w:val="none" w:sz="0" w:space="0"/>
          </w:pgBorders>
          <w:pgNumType w:fmt="decimal" w:start="1"/>
        </w:sectPr>
      </w:pPr>
    </w:p>
    <w:p>
      <w:pPr>
        <w:keepNext w:val="0"/>
        <w:keepLines w:val="0"/>
        <w:pageBreakBefore w:val="0"/>
        <w:widowControl w:val="0"/>
        <w:tabs>
          <w:tab w:val="left" w:pos="1605"/>
        </w:tabs>
        <w:kinsoku/>
        <w:wordWrap/>
        <w:overflowPunct/>
        <w:topLinePunct w:val="0"/>
        <w:autoSpaceDE w:val="0"/>
        <w:autoSpaceDN w:val="0"/>
        <w:bidi w:val="0"/>
        <w:adjustRightInd/>
        <w:snapToGrid/>
        <w:spacing w:before="0" w:after="0" w:line="395" w:lineRule="exact"/>
        <w:ind w:left="0" w:right="0" w:firstLine="0"/>
        <w:jc w:val="center"/>
        <w:textAlignment w:val="auto"/>
        <w:rPr>
          <w:b/>
          <w:sz w:val="32"/>
          <w:highlight w:val="none"/>
        </w:rPr>
      </w:pPr>
      <w:bookmarkStart w:id="0" w:name="第一部分  竞争性磋商公告"/>
      <w:bookmarkEnd w:id="0"/>
      <w:r>
        <w:rPr>
          <w:b/>
          <w:sz w:val="32"/>
          <w:highlight w:val="none"/>
        </w:rPr>
        <w:t>第一</w:t>
      </w:r>
      <w:r>
        <w:rPr>
          <w:rFonts w:hint="eastAsia"/>
          <w:b/>
          <w:sz w:val="32"/>
          <w:highlight w:val="none"/>
          <w:lang w:eastAsia="zh-CN"/>
        </w:rPr>
        <w:t>章</w:t>
      </w:r>
      <w:r>
        <w:rPr>
          <w:rFonts w:hint="eastAsia"/>
          <w:b/>
          <w:sz w:val="32"/>
          <w:highlight w:val="none"/>
          <w:lang w:val="en-US" w:eastAsia="zh-CN"/>
        </w:rPr>
        <w:t xml:space="preserve"> </w:t>
      </w:r>
      <w:r>
        <w:rPr>
          <w:b/>
          <w:w w:val="95"/>
          <w:sz w:val="32"/>
          <w:highlight w:val="none"/>
        </w:rPr>
        <w:t>竞争性磋商公告</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1</w:t>
      </w:r>
      <w:r>
        <w:rPr>
          <w:spacing w:val="-6"/>
          <w:highlight w:val="none"/>
        </w:rPr>
        <w:t>、项目名称：</w:t>
      </w:r>
      <w:r>
        <w:rPr>
          <w:rFonts w:hint="eastAsia"/>
          <w:spacing w:val="-6"/>
          <w:highlight w:val="none"/>
        </w:rPr>
        <w:t>江口县德旺乡净河村地表径流污水净化利用示范项目工程量清单采购</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default" w:eastAsia="宋体"/>
          <w:highlight w:val="none"/>
          <w:lang w:val="en-US" w:eastAsia="zh-CN"/>
        </w:rPr>
      </w:pPr>
      <w:r>
        <w:rPr>
          <w:highlight w:val="none"/>
        </w:rPr>
        <w:t>2、项目编号：</w:t>
      </w:r>
      <w:r>
        <w:rPr>
          <w:rFonts w:hint="eastAsia"/>
          <w:highlight w:val="none"/>
          <w:lang w:val="en-US" w:eastAsia="zh-CN"/>
        </w:rPr>
        <w:t>GZJL-ZBCG-CG-20003(V)</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eastAsia"/>
          <w:highlight w:val="none"/>
          <w:lang w:val="en-US" w:eastAsia="zh-CN"/>
        </w:rPr>
      </w:pPr>
      <w:r>
        <w:rPr>
          <w:highlight w:val="none"/>
        </w:rPr>
        <w:t xml:space="preserve">3、项目序列号: </w:t>
      </w:r>
      <w:r>
        <w:rPr>
          <w:rFonts w:hint="eastAsia"/>
          <w:highlight w:val="none"/>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default" w:eastAsia="宋体"/>
          <w:highlight w:val="none"/>
          <w:lang w:val="en-US" w:eastAsia="zh-CN"/>
        </w:rPr>
      </w:pPr>
      <w:r>
        <w:rPr>
          <w:highlight w:val="none"/>
        </w:rPr>
        <w:t>4、联系人：</w:t>
      </w:r>
      <w:r>
        <w:rPr>
          <w:rFonts w:hint="eastAsia"/>
          <w:highlight w:val="none"/>
          <w:lang w:val="en-US" w:eastAsia="zh-CN"/>
        </w:rPr>
        <w:t>卫康辉</w:t>
      </w:r>
    </w:p>
    <w:p>
      <w:pPr>
        <w:pStyle w:val="9"/>
        <w:keepNext w:val="0"/>
        <w:keepLines w:val="0"/>
        <w:pageBreakBefore w:val="0"/>
        <w:widowControl w:val="0"/>
        <w:tabs>
          <w:tab w:val="left" w:pos="957"/>
        </w:tabs>
        <w:kinsoku/>
        <w:wordWrap/>
        <w:overflowPunct/>
        <w:topLinePunct w:val="0"/>
        <w:autoSpaceDE w:val="0"/>
        <w:autoSpaceDN w:val="0"/>
        <w:bidi w:val="0"/>
        <w:adjustRightInd/>
        <w:snapToGrid/>
        <w:spacing w:before="0" w:after="0" w:line="500" w:lineRule="exact"/>
        <w:ind w:left="0" w:right="0"/>
        <w:jc w:val="both"/>
        <w:textAlignment w:val="auto"/>
        <w:rPr>
          <w:rFonts w:hint="default" w:eastAsia="宋体"/>
          <w:highlight w:val="none"/>
          <w:lang w:val="en-US" w:eastAsia="zh-CN"/>
        </w:rPr>
      </w:pPr>
      <w:r>
        <w:rPr>
          <w:highlight w:val="none"/>
        </w:rPr>
        <w:t>5、电</w:t>
      </w:r>
      <w:r>
        <w:rPr>
          <w:highlight w:val="none"/>
        </w:rPr>
        <w:tab/>
      </w:r>
      <w:r>
        <w:rPr>
          <w:highlight w:val="none"/>
        </w:rPr>
        <w:t>话：</w:t>
      </w:r>
      <w:r>
        <w:rPr>
          <w:rFonts w:hint="eastAsia"/>
          <w:highlight w:val="none"/>
          <w:lang w:val="en-US" w:eastAsia="zh-CN"/>
        </w:rPr>
        <w:t>18785696227</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6、招标方式: 竞争性磋商</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7、采购货物或服务情况：</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default" w:eastAsia="宋体"/>
          <w:highlight w:val="none"/>
          <w:lang w:val="en-US" w:eastAsia="zh-CN"/>
        </w:rPr>
      </w:pPr>
      <w:r>
        <w:rPr>
          <w:highlight w:val="none"/>
        </w:rPr>
        <w:t xml:space="preserve">（1）采购主要内容: </w:t>
      </w:r>
      <w:r>
        <w:rPr>
          <w:rFonts w:hint="eastAsia"/>
          <w:highlight w:val="none"/>
          <w:lang w:val="en-US" w:eastAsia="zh-CN"/>
        </w:rPr>
        <w:t>1.管网铺设分为DN200的HDPE双壁波纹管主管（共1500m）、DV160的HDPE双壁波纹管干管（共1350m）、DN110PVC管（2700m）以及检查井95座；2.终端部分为：隔油格栅池（12.5</w:t>
      </w:r>
      <w:r>
        <w:rPr>
          <w:rFonts w:hint="eastAsia"/>
          <w:sz w:val="32"/>
          <w:szCs w:val="32"/>
          <w:highlight w:val="none"/>
          <w:lang w:val="en-US" w:eastAsia="zh-CN"/>
        </w:rPr>
        <w:t>m</w:t>
      </w:r>
      <w:r>
        <w:rPr>
          <w:rFonts w:hint="eastAsia"/>
          <w:sz w:val="32"/>
          <w:szCs w:val="32"/>
          <w:highlight w:val="none"/>
          <w:vertAlign w:val="superscript"/>
          <w:lang w:val="en-US" w:eastAsia="zh-CN"/>
        </w:rPr>
        <w:t>3</w:t>
      </w:r>
      <w:r>
        <w:rPr>
          <w:rFonts w:hint="eastAsia"/>
          <w:highlight w:val="none"/>
          <w:lang w:val="en-US" w:eastAsia="zh-CN"/>
        </w:rPr>
        <w:t>）、水解池（30</w:t>
      </w:r>
      <w:r>
        <w:rPr>
          <w:rFonts w:hint="eastAsia"/>
          <w:sz w:val="32"/>
          <w:szCs w:val="32"/>
          <w:highlight w:val="none"/>
          <w:lang w:val="en-US" w:eastAsia="zh-CN"/>
        </w:rPr>
        <w:t>m</w:t>
      </w:r>
      <w:r>
        <w:rPr>
          <w:rFonts w:hint="eastAsia"/>
          <w:sz w:val="32"/>
          <w:szCs w:val="32"/>
          <w:highlight w:val="none"/>
          <w:vertAlign w:val="superscript"/>
          <w:lang w:val="en-US" w:eastAsia="zh-CN"/>
        </w:rPr>
        <w:t>3</w:t>
      </w:r>
      <w:r>
        <w:rPr>
          <w:rFonts w:hint="eastAsia"/>
          <w:highlight w:val="none"/>
          <w:lang w:val="en-US" w:eastAsia="zh-CN"/>
        </w:rPr>
        <w:t>）、一级厌氧池（30</w:t>
      </w:r>
      <w:r>
        <w:rPr>
          <w:rFonts w:hint="eastAsia"/>
          <w:sz w:val="32"/>
          <w:szCs w:val="32"/>
          <w:highlight w:val="none"/>
          <w:lang w:val="en-US" w:eastAsia="zh-CN"/>
        </w:rPr>
        <w:t>m</w:t>
      </w:r>
      <w:r>
        <w:rPr>
          <w:rFonts w:hint="eastAsia"/>
          <w:sz w:val="32"/>
          <w:szCs w:val="32"/>
          <w:highlight w:val="none"/>
          <w:vertAlign w:val="superscript"/>
          <w:lang w:val="en-US" w:eastAsia="zh-CN"/>
        </w:rPr>
        <w:t>3</w:t>
      </w:r>
      <w:r>
        <w:rPr>
          <w:rFonts w:hint="eastAsia"/>
          <w:highlight w:val="none"/>
          <w:lang w:val="en-US" w:eastAsia="zh-CN"/>
        </w:rPr>
        <w:t>）、二级厌氧池（30</w:t>
      </w:r>
      <w:r>
        <w:rPr>
          <w:rFonts w:hint="eastAsia"/>
          <w:sz w:val="32"/>
          <w:szCs w:val="32"/>
          <w:highlight w:val="none"/>
          <w:lang w:val="en-US" w:eastAsia="zh-CN"/>
        </w:rPr>
        <w:t>m</w:t>
      </w:r>
      <w:r>
        <w:rPr>
          <w:rFonts w:hint="eastAsia"/>
          <w:sz w:val="32"/>
          <w:szCs w:val="32"/>
          <w:highlight w:val="none"/>
          <w:vertAlign w:val="superscript"/>
          <w:lang w:val="en-US" w:eastAsia="zh-CN"/>
        </w:rPr>
        <w:t>3</w:t>
      </w:r>
      <w:r>
        <w:rPr>
          <w:rFonts w:hint="eastAsia"/>
          <w:highlight w:val="none"/>
          <w:lang w:val="en-US" w:eastAsia="zh-CN"/>
        </w:rPr>
        <w:t>）、人工湿地（400</w:t>
      </w:r>
      <w:r>
        <w:rPr>
          <w:rFonts w:hint="eastAsia"/>
          <w:sz w:val="32"/>
          <w:szCs w:val="32"/>
          <w:highlight w:val="none"/>
          <w:lang w:val="en-US" w:eastAsia="zh-CN"/>
        </w:rPr>
        <w:t>m</w:t>
      </w:r>
      <w:r>
        <w:rPr>
          <w:rFonts w:hint="eastAsia"/>
          <w:sz w:val="32"/>
          <w:szCs w:val="32"/>
          <w:highlight w:val="none"/>
          <w:vertAlign w:val="superscript"/>
          <w:lang w:val="en-US" w:eastAsia="zh-CN"/>
        </w:rPr>
        <w:t>3</w:t>
      </w:r>
      <w:r>
        <w:rPr>
          <w:rFonts w:hint="eastAsia"/>
          <w:highlight w:val="none"/>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（2）采购数量:</w:t>
      </w:r>
      <w:r>
        <w:rPr>
          <w:rFonts w:hint="eastAsia"/>
          <w:highlight w:val="none"/>
          <w:lang w:val="en-US" w:eastAsia="zh-CN"/>
        </w:rPr>
        <w:t>一批</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（3）简要技术要求、服务和安全要求:详见采购文件</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（4）采购预算:</w:t>
      </w:r>
      <w:r>
        <w:rPr>
          <w:rFonts w:hint="eastAsia"/>
          <w:highlight w:val="none"/>
          <w:lang w:val="en-US" w:eastAsia="zh-CN"/>
        </w:rPr>
        <w:t>1500000.00元</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（5）最高限价:</w:t>
      </w:r>
      <w:r>
        <w:rPr>
          <w:rFonts w:hint="eastAsia"/>
          <w:highlight w:val="none"/>
          <w:lang w:val="en-US" w:eastAsia="zh-CN"/>
        </w:rPr>
        <w:t>1500000.00元</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default" w:eastAsia="宋体"/>
          <w:highlight w:val="none"/>
          <w:lang w:val="en-US" w:eastAsia="zh-CN"/>
        </w:rPr>
      </w:pPr>
      <w:r>
        <w:rPr>
          <w:highlight w:val="none"/>
        </w:rPr>
        <w:t xml:space="preserve">（6）交货时间或服务时间: </w:t>
      </w:r>
      <w:r>
        <w:rPr>
          <w:rFonts w:hint="eastAsia"/>
          <w:color w:val="auto"/>
          <w:highlight w:val="none"/>
          <w:lang w:val="en-US" w:eastAsia="zh-CN"/>
        </w:rPr>
        <w:t>12个月。</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（7）交货地点或服务地点:</w:t>
      </w:r>
      <w:r>
        <w:rPr>
          <w:rFonts w:hint="eastAsia"/>
          <w:highlight w:val="none"/>
          <w:lang w:val="en-US" w:eastAsia="zh-CN"/>
        </w:rPr>
        <w:t>江口县德旺乡净河村</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（8）其他事项（如样品提交、现场踏勘等）: 无。</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8、投标人资格要求</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hanging="240"/>
        <w:jc w:val="both"/>
        <w:textAlignment w:val="auto"/>
        <w:rPr>
          <w:color w:val="333333"/>
          <w:highlight w:val="none"/>
        </w:rPr>
      </w:pPr>
      <w:r>
        <w:rPr>
          <w:color w:val="333333"/>
          <w:highlight w:val="none"/>
        </w:rPr>
        <w:t>（1）一般资格要求：</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highlight w:val="none"/>
        </w:rPr>
      </w:pPr>
      <w:r>
        <w:rPr>
          <w:color w:val="333333"/>
          <w:highlight w:val="none"/>
        </w:rPr>
        <w:t>1</w:t>
      </w:r>
      <w:r>
        <w:rPr>
          <w:rFonts w:hint="eastAsia"/>
          <w:color w:val="333333"/>
          <w:highlight w:val="none"/>
          <w:lang w:val="en-US" w:eastAsia="zh-CN"/>
        </w:rPr>
        <w:t>.</w:t>
      </w:r>
      <w:r>
        <w:rPr>
          <w:color w:val="333333"/>
          <w:spacing w:val="-4"/>
          <w:highlight w:val="none"/>
        </w:rPr>
        <w:t xml:space="preserve">符合《中华人民共和国政府采购法》第 </w:t>
      </w:r>
      <w:r>
        <w:rPr>
          <w:color w:val="333333"/>
          <w:highlight w:val="none"/>
        </w:rPr>
        <w:t>22</w:t>
      </w:r>
      <w:r>
        <w:rPr>
          <w:color w:val="333333"/>
          <w:spacing w:val="-10"/>
          <w:highlight w:val="none"/>
        </w:rPr>
        <w:t xml:space="preserve"> 条的条件；</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hint="eastAsia"/>
          <w:color w:val="333333"/>
          <w:highlight w:val="none"/>
        </w:rPr>
      </w:pPr>
      <w:r>
        <w:rPr>
          <w:rFonts w:hint="eastAsia"/>
          <w:color w:val="333333"/>
          <w:highlight w:val="none"/>
          <w:lang w:val="en-US" w:eastAsia="zh-CN"/>
        </w:rPr>
        <w:t>1</w:t>
      </w:r>
      <w:r>
        <w:rPr>
          <w:color w:val="333333"/>
          <w:highlight w:val="none"/>
        </w:rPr>
        <w:t>）</w:t>
      </w:r>
      <w:r>
        <w:rPr>
          <w:rFonts w:hint="eastAsia"/>
          <w:color w:val="333333"/>
          <w:highlight w:val="none"/>
        </w:rPr>
        <w:t>具有独立承担民事责任的能力；具备有效的工商营业执照副本（三证合一）复印件加盖鲜章（或营业执照、税务登记证、组织机构代码证）；</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highlight w:val="none"/>
        </w:rPr>
      </w:pPr>
      <w:r>
        <w:rPr>
          <w:color w:val="333333"/>
          <w:highlight w:val="none"/>
        </w:rPr>
        <w:t>2）具有良好的商业信誉和健全的财务会计制度：提供2018年度经审计的财务</w:t>
      </w:r>
      <w:r>
        <w:rPr>
          <w:color w:val="333333"/>
          <w:spacing w:val="-6"/>
          <w:highlight w:val="none"/>
        </w:rPr>
        <w:t>状况报告材料或提供</w:t>
      </w:r>
      <w:r>
        <w:rPr>
          <w:color w:val="333333"/>
          <w:highlight w:val="none"/>
        </w:rPr>
        <w:t>2019</w:t>
      </w:r>
      <w:r>
        <w:rPr>
          <w:color w:val="333333"/>
          <w:spacing w:val="-8"/>
          <w:highlight w:val="none"/>
        </w:rPr>
        <w:t>年任意一个月份的财务报表</w:t>
      </w:r>
      <w:r>
        <w:rPr>
          <w:color w:val="333333"/>
          <w:highlight w:val="none"/>
        </w:rPr>
        <w:t>（新成立企业可根据自身情况酌情递交相关材料）；</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color w:val="333333"/>
          <w:highlight w:val="none"/>
        </w:rPr>
      </w:pPr>
      <w:r>
        <w:rPr>
          <w:color w:val="333333"/>
          <w:highlight w:val="none"/>
        </w:rPr>
        <w:t>3)具有依法缴纳税收和社会保障资金的良好记录：提供201</w:t>
      </w:r>
      <w:r>
        <w:rPr>
          <w:rFonts w:hint="eastAsia"/>
          <w:color w:val="333333"/>
          <w:highlight w:val="none"/>
          <w:lang w:val="en-US" w:eastAsia="zh-CN"/>
        </w:rPr>
        <w:t>9</w:t>
      </w:r>
      <w:r>
        <w:rPr>
          <w:color w:val="333333"/>
          <w:highlight w:val="none"/>
        </w:rPr>
        <w:t>年度连续三个月依法缴纳税收和201</w:t>
      </w:r>
      <w:r>
        <w:rPr>
          <w:rFonts w:hint="eastAsia"/>
          <w:color w:val="333333"/>
          <w:highlight w:val="none"/>
          <w:lang w:val="en-US" w:eastAsia="zh-CN"/>
        </w:rPr>
        <w:t>9</w:t>
      </w:r>
      <w:r>
        <w:rPr>
          <w:color w:val="333333"/>
          <w:highlight w:val="none"/>
        </w:rPr>
        <w:t>年</w:t>
      </w:r>
      <w:r>
        <w:rPr>
          <w:rFonts w:hint="eastAsia"/>
          <w:color w:val="333333"/>
          <w:highlight w:val="none"/>
          <w:lang w:val="en-US" w:eastAsia="zh-CN"/>
        </w:rPr>
        <w:t>任意3个月</w:t>
      </w:r>
      <w:r>
        <w:rPr>
          <w:color w:val="333333"/>
          <w:highlight w:val="none"/>
        </w:rPr>
        <w:t>社会保障资金的有效证明材料。（不需要缴纳社保资金的供应商以自已提供的承诺作为证明材料）</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color w:val="333333"/>
          <w:highlight w:val="none"/>
        </w:rPr>
      </w:pPr>
      <w:r>
        <w:rPr>
          <w:color w:val="333333"/>
          <w:highlight w:val="none"/>
        </w:rPr>
        <w:t>4)参加本次政府采购活动前三年内，在经营活动中没有违法违规记录：提供参加政府采购活动前 3 年内在经营活动中没有重大违法记录的书面声明；</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color w:val="333333"/>
          <w:spacing w:val="2"/>
          <w:highlight w:val="none"/>
        </w:rPr>
      </w:pPr>
      <w:r>
        <w:rPr>
          <w:color w:val="333333"/>
          <w:highlight w:val="none"/>
        </w:rPr>
        <w:t>5)法律、行政法规规定的其他条件：提供诚信资格证明材料：对列入失信被执行人、重大税收违法案件当事人名单、政府采购严重违法失信行为记录名单及其他不符合《中华人民共和国政府采购法》第二十二条规定</w:t>
      </w:r>
      <w:r>
        <w:rPr>
          <w:color w:val="333333"/>
          <w:spacing w:val="-12"/>
          <w:highlight w:val="none"/>
        </w:rPr>
        <w:t>条件的供应商，拒绝其</w:t>
      </w:r>
      <w:r>
        <w:rPr>
          <w:color w:val="333333"/>
          <w:spacing w:val="2"/>
          <w:highlight w:val="none"/>
        </w:rPr>
        <w:t>参与投标。在</w:t>
      </w:r>
      <w:r>
        <w:rPr>
          <w:rFonts w:hint="eastAsia"/>
          <w:color w:val="333333"/>
          <w:spacing w:val="2"/>
          <w:highlight w:val="none"/>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color w:val="333333"/>
          <w:highlight w:val="none"/>
        </w:rPr>
        <w:t>（2）本项目不接受联合体；</w:t>
      </w:r>
    </w:p>
    <w:p>
      <w:pPr>
        <w:autoSpaceDE w:val="0"/>
        <w:autoSpaceDN w:val="0"/>
        <w:adjustRightInd w:val="0"/>
        <w:spacing w:line="400" w:lineRule="exact"/>
        <w:ind w:right="-158"/>
        <w:rPr>
          <w:rFonts w:hint="default" w:eastAsia="宋体"/>
          <w:kern w:val="0"/>
          <w:sz w:val="24"/>
          <w:highlight w:val="none"/>
          <w:lang w:val="en-US" w:eastAsia="zh-CN"/>
        </w:rPr>
      </w:pPr>
      <w:r>
        <w:rPr>
          <w:color w:val="333333"/>
          <w:highlight w:val="none"/>
        </w:rPr>
        <w:t>（3）</w:t>
      </w:r>
      <w:r>
        <w:rPr>
          <w:b/>
          <w:color w:val="333333"/>
          <w:highlight w:val="none"/>
        </w:rPr>
        <w:t>特殊资格要求：</w:t>
      </w:r>
      <w:r>
        <w:rPr>
          <w:rFonts w:hint="eastAsia" w:ascii="Calibri" w:hAnsi="Calibri" w:cs="宋体"/>
          <w:kern w:val="0"/>
          <w:sz w:val="24"/>
          <w:highlight w:val="none"/>
          <w:lang w:val="en-US" w:eastAsia="zh-CN"/>
        </w:rPr>
        <w:t>市政公用</w:t>
      </w:r>
      <w:r>
        <w:rPr>
          <w:rFonts w:hint="eastAsia" w:ascii="Calibri" w:hAnsi="Calibri" w:eastAsia="宋体" w:cs="宋体"/>
          <w:kern w:val="0"/>
          <w:sz w:val="24"/>
          <w:highlight w:val="none"/>
        </w:rPr>
        <w:t>工程施工</w:t>
      </w:r>
      <w:r>
        <w:rPr>
          <w:rFonts w:hint="eastAsia" w:ascii="Calibri" w:hAnsi="Calibri" w:cs="宋体"/>
          <w:kern w:val="0"/>
          <w:sz w:val="24"/>
          <w:highlight w:val="none"/>
          <w:lang w:eastAsia="zh-CN"/>
        </w:rPr>
        <w:t>总承包</w:t>
      </w:r>
      <w:r>
        <w:rPr>
          <w:rFonts w:hint="eastAsia" w:ascii="Calibri" w:hAnsi="Calibri" w:eastAsia="宋体" w:cs="宋体"/>
          <w:kern w:val="0"/>
          <w:sz w:val="24"/>
          <w:highlight w:val="none"/>
        </w:rPr>
        <w:t>三级及以上资质</w:t>
      </w:r>
      <w:r>
        <w:rPr>
          <w:rFonts w:hint="eastAsia" w:ascii="Calibri" w:hAnsi="Calibri" w:cs="宋体"/>
          <w:kern w:val="0"/>
          <w:sz w:val="24"/>
          <w:highlight w:val="none"/>
          <w:lang w:eastAsia="zh-CN"/>
        </w:rPr>
        <w:t>、</w:t>
      </w:r>
      <w:r>
        <w:rPr>
          <w:rFonts w:hint="eastAsia" w:ascii="Calibri" w:hAnsi="Calibri" w:eastAsia="宋体" w:cs="宋体"/>
          <w:kern w:val="0"/>
          <w:sz w:val="24"/>
          <w:highlight w:val="none"/>
        </w:rPr>
        <w:t>有效期内的安全生产许可证；</w:t>
      </w:r>
      <w:r>
        <w:rPr>
          <w:rFonts w:hint="eastAsia" w:ascii="Calibri" w:hAnsi="Calibri" w:cs="宋体"/>
          <w:kern w:val="0"/>
          <w:sz w:val="24"/>
          <w:highlight w:val="none"/>
          <w:lang w:val="en-US" w:eastAsia="zh-CN"/>
        </w:rPr>
        <w:t>项目经理需具备市政工程专业二级及以上注册建造师，并在人员、设备、资金上等方面具备相应的能力。</w:t>
      </w:r>
    </w:p>
    <w:p>
      <w:pPr>
        <w:autoSpaceDE w:val="0"/>
        <w:autoSpaceDN w:val="0"/>
        <w:adjustRightInd w:val="0"/>
        <w:spacing w:line="400" w:lineRule="exact"/>
        <w:ind w:right="-158"/>
        <w:rPr>
          <w:rFonts w:hint="default" w:eastAsia="宋体"/>
          <w:kern w:val="0"/>
          <w:sz w:val="24"/>
          <w:highlight w:val="none"/>
          <w:lang w:val="en-US" w:eastAsia="zh-CN"/>
        </w:rPr>
      </w:pPr>
    </w:p>
    <w:p>
      <w:pPr>
        <w:pStyle w:val="10"/>
        <w:spacing w:line="400" w:lineRule="exact"/>
        <w:jc w:val="left"/>
        <w:rPr>
          <w:rFonts w:asciiTheme="minorEastAsia" w:hAnsiTheme="minorEastAsia"/>
          <w:b/>
          <w:bCs/>
          <w:color w:val="000000" w:themeColor="text1"/>
          <w:sz w:val="24"/>
          <w:szCs w:val="24"/>
          <w:highlight w:val="none"/>
        </w:rPr>
      </w:pPr>
      <w:r>
        <w:rPr>
          <w:rFonts w:hint="eastAsia" w:asciiTheme="minorEastAsia" w:hAnsiTheme="minorEastAsia"/>
          <w:b/>
          <w:bCs/>
          <w:color w:val="000000" w:themeColor="text1"/>
          <w:sz w:val="24"/>
          <w:szCs w:val="24"/>
          <w:highlight w:val="none"/>
        </w:rPr>
        <w:t>开标评标时，投标供应商需提供以下资料(复印件须加盖公章现场提交) ：</w:t>
      </w:r>
    </w:p>
    <w:p>
      <w:pPr>
        <w:pStyle w:val="10"/>
        <w:spacing w:line="400" w:lineRule="exact"/>
        <w:ind w:firstLine="240" w:firstLineChars="1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 、具备有效的工商营业执照副本（三证合一）复印件加盖鲜章（或营业执照、税务登记证、组织机构代码证）；</w:t>
      </w:r>
    </w:p>
    <w:p>
      <w:pPr>
        <w:pStyle w:val="10"/>
        <w:spacing w:line="400" w:lineRule="exact"/>
        <w:ind w:left="251" w:leftChars="114"/>
        <w:jc w:val="both"/>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 、法定代表人</w:t>
      </w:r>
      <w:r>
        <w:rPr>
          <w:rFonts w:hint="eastAsia" w:asciiTheme="minorEastAsia" w:hAnsiTheme="minorEastAsia"/>
          <w:color w:val="000000" w:themeColor="text1"/>
          <w:sz w:val="24"/>
          <w:szCs w:val="24"/>
          <w:highlight w:val="none"/>
          <w:lang w:val="en-US" w:eastAsia="zh-CN"/>
        </w:rPr>
        <w:t>持</w:t>
      </w:r>
      <w:r>
        <w:rPr>
          <w:rFonts w:hint="eastAsia" w:asciiTheme="minorEastAsia" w:hAnsiTheme="minorEastAsia"/>
          <w:color w:val="000000" w:themeColor="text1"/>
          <w:sz w:val="24"/>
          <w:szCs w:val="24"/>
          <w:highlight w:val="none"/>
        </w:rPr>
        <w:t>身份证或委托代理人持授权委托书及代理人身份证</w:t>
      </w:r>
      <w:r>
        <w:rPr>
          <w:rFonts w:hint="eastAsia" w:asciiTheme="minorEastAsia" w:hAnsiTheme="minorEastAsia"/>
          <w:color w:val="000000" w:themeColor="text1"/>
          <w:sz w:val="24"/>
          <w:szCs w:val="24"/>
          <w:highlight w:val="none"/>
          <w:lang w:val="en-US" w:eastAsia="zh-CN"/>
        </w:rPr>
        <w:t>原</w:t>
      </w:r>
      <w:r>
        <w:rPr>
          <w:rFonts w:hint="eastAsia" w:asciiTheme="minorEastAsia" w:hAnsiTheme="minorEastAsia"/>
          <w:color w:val="000000" w:themeColor="text1"/>
          <w:sz w:val="24"/>
          <w:szCs w:val="24"/>
          <w:highlight w:val="none"/>
        </w:rPr>
        <w:t xml:space="preserve">件； </w:t>
      </w:r>
    </w:p>
    <w:p>
      <w:pPr>
        <w:autoSpaceDE w:val="0"/>
        <w:autoSpaceDN w:val="0"/>
        <w:adjustRightInd w:val="0"/>
        <w:spacing w:line="400" w:lineRule="exact"/>
        <w:ind w:right="-158" w:firstLine="240" w:firstLineChars="100"/>
        <w:jc w:val="both"/>
        <w:rPr>
          <w:kern w:val="0"/>
          <w:sz w:val="24"/>
          <w:highlight w:val="none"/>
        </w:rPr>
      </w:pPr>
      <w:r>
        <w:rPr>
          <w:rFonts w:hint="eastAsia" w:eastAsia="宋体" w:cs="宋体" w:asciiTheme="minorEastAsia" w:hAnsiTheme="minorEastAsia"/>
          <w:color w:val="000000" w:themeColor="text1"/>
          <w:sz w:val="24"/>
          <w:szCs w:val="24"/>
          <w:highlight w:val="none"/>
          <w:lang w:val="en-US" w:eastAsia="zh-CN" w:bidi="ar-SA"/>
        </w:rPr>
        <w:t>3</w:t>
      </w:r>
      <w:r>
        <w:rPr>
          <w:rFonts w:hint="eastAsia" w:eastAsia="宋体" w:cs="宋体" w:asciiTheme="minorEastAsia" w:hAnsiTheme="minorEastAsia"/>
          <w:color w:val="000000" w:themeColor="text1"/>
          <w:sz w:val="24"/>
          <w:szCs w:val="24"/>
          <w:highlight w:val="none"/>
          <w:lang w:val="en-US" w:eastAsia="en-US" w:bidi="ar-SA"/>
        </w:rPr>
        <w:t>、</w:t>
      </w:r>
      <w:r>
        <w:rPr>
          <w:rFonts w:hint="eastAsia" w:ascii="Calibri" w:hAnsi="Calibri" w:eastAsia="宋体" w:cs="宋体"/>
          <w:kern w:val="0"/>
          <w:sz w:val="24"/>
          <w:highlight w:val="none"/>
        </w:rPr>
        <w:t>保证金缴纳凭证；（</w:t>
      </w:r>
      <w:r>
        <w:rPr>
          <w:rFonts w:hint="eastAsia" w:ascii="Calibri" w:hAnsi="Calibri" w:eastAsia="宋体" w:cs="宋体"/>
          <w:sz w:val="24"/>
          <w:highlight w:val="none"/>
        </w:rPr>
        <w:t>在电子交易系统中缴纳凭证</w:t>
      </w:r>
      <w:r>
        <w:rPr>
          <w:rFonts w:hint="eastAsia" w:ascii="Calibri" w:hAnsi="Calibri" w:eastAsia="宋体" w:cs="宋体"/>
          <w:kern w:val="0"/>
          <w:sz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9、获取招标文件信息:</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eastAsia"/>
          <w:highlight w:val="none"/>
          <w:lang w:val="en-US" w:eastAsia="zh-CN"/>
        </w:rPr>
      </w:pPr>
      <w:r>
        <w:rPr>
          <w:highlight w:val="none"/>
        </w:rPr>
        <w:t>（1）购买采购文件时间:</w:t>
      </w:r>
      <w:r>
        <w:rPr>
          <w:rFonts w:hint="eastAsia"/>
          <w:highlight w:val="none"/>
          <w:lang w:val="en-US" w:eastAsia="zh-CN"/>
        </w:rPr>
        <w:t>2020</w:t>
      </w:r>
      <w:r>
        <w:rPr>
          <w:spacing w:val="-41"/>
          <w:highlight w:val="none"/>
        </w:rPr>
        <w:t xml:space="preserve">年 </w:t>
      </w:r>
      <w:r>
        <w:rPr>
          <w:rFonts w:hint="eastAsia"/>
          <w:highlight w:val="none"/>
          <w:lang w:val="en-US" w:eastAsia="zh-CN"/>
        </w:rPr>
        <w:t>01</w:t>
      </w:r>
      <w:r>
        <w:rPr>
          <w:spacing w:val="-41"/>
          <w:highlight w:val="none"/>
        </w:rPr>
        <w:t xml:space="preserve">月 </w:t>
      </w:r>
      <w:r>
        <w:rPr>
          <w:rFonts w:hint="eastAsia"/>
          <w:highlight w:val="none"/>
          <w:lang w:val="en-US" w:eastAsia="zh-CN"/>
        </w:rPr>
        <w:t>20</w:t>
      </w:r>
      <w:r>
        <w:rPr>
          <w:highlight w:val="none"/>
        </w:rPr>
        <w:t>日</w:t>
      </w:r>
      <w:r>
        <w:rPr>
          <w:rFonts w:hint="eastAsia"/>
          <w:highlight w:val="none"/>
          <w:lang w:val="en-US" w:eastAsia="zh-CN"/>
        </w:rPr>
        <w:t>09:00时至2020年01月31日17:00时</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（2）采购文件发售截止时间：</w:t>
      </w:r>
      <w:r>
        <w:rPr>
          <w:rFonts w:hint="eastAsia"/>
          <w:highlight w:val="none"/>
          <w:lang w:val="en-US" w:eastAsia="zh-CN"/>
        </w:rPr>
        <w:t>2020</w:t>
      </w:r>
      <w:r>
        <w:rPr>
          <w:highlight w:val="none"/>
        </w:rPr>
        <w:t>年</w:t>
      </w:r>
      <w:r>
        <w:rPr>
          <w:rFonts w:hint="eastAsia"/>
          <w:highlight w:val="none"/>
          <w:lang w:val="en-US" w:eastAsia="zh-CN"/>
        </w:rPr>
        <w:t>01</w:t>
      </w:r>
      <w:r>
        <w:rPr>
          <w:highlight w:val="none"/>
        </w:rPr>
        <w:t>月</w:t>
      </w:r>
      <w:r>
        <w:rPr>
          <w:rFonts w:hint="eastAsia"/>
          <w:highlight w:val="none"/>
          <w:lang w:val="en-US" w:eastAsia="zh-CN"/>
        </w:rPr>
        <w:t>31</w:t>
      </w:r>
      <w:r>
        <w:rPr>
          <w:highlight w:val="none"/>
        </w:rPr>
        <w:t>日17:00时</w:t>
      </w:r>
    </w:p>
    <w:p>
      <w:pPr>
        <w:pStyle w:val="9"/>
        <w:keepNext w:val="0"/>
        <w:keepLines w:val="0"/>
        <w:pageBreakBefore w:val="0"/>
        <w:widowControl w:val="0"/>
        <w:tabs>
          <w:tab w:val="left" w:pos="3007"/>
        </w:tabs>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color w:val="333333"/>
          <w:highlight w:val="none"/>
        </w:rPr>
        <w:t>（3）购买采购文件地点:全国公共资源交易平台（贵州省.铜仁市）网站（</w:t>
      </w:r>
      <w:r>
        <w:rPr>
          <w:rFonts w:hint="eastAsia"/>
          <w:color w:val="333333"/>
          <w:highlight w:val="none"/>
        </w:rPr>
        <w:t>http://jyzx.trs.gov.cn/index.shtml</w:t>
      </w:r>
      <w:r>
        <w:rPr>
          <w:color w:val="333333"/>
          <w:highlight w:val="none"/>
        </w:rPr>
        <w:t>）</w:t>
      </w:r>
    </w:p>
    <w:p>
      <w:pPr>
        <w:pStyle w:val="9"/>
        <w:keepNext w:val="0"/>
        <w:keepLines w:val="0"/>
        <w:pageBreakBefore w:val="0"/>
        <w:widowControl w:val="0"/>
        <w:tabs>
          <w:tab w:val="left" w:pos="2997"/>
        </w:tabs>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color w:val="333333"/>
          <w:highlight w:val="none"/>
        </w:rPr>
        <w:t>（4）招标采购获取方式:网上购买</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color w:val="333333"/>
          <w:highlight w:val="none"/>
        </w:rPr>
        <w:t>（5）采购文件售价:人民币300.00元/套</w:t>
      </w:r>
      <w:bookmarkStart w:id="2" w:name="_GoBack"/>
      <w:bookmarkEnd w:id="2"/>
    </w:p>
    <w:p>
      <w:pPr>
        <w:pStyle w:val="9"/>
        <w:keepNext w:val="0"/>
        <w:keepLines w:val="0"/>
        <w:pageBreakBefore w:val="0"/>
        <w:widowControl w:val="0"/>
        <w:tabs>
          <w:tab w:val="left" w:pos="6117"/>
          <w:tab w:val="left" w:pos="6957"/>
        </w:tabs>
        <w:kinsoku/>
        <w:wordWrap/>
        <w:overflowPunct/>
        <w:topLinePunct w:val="0"/>
        <w:autoSpaceDE w:val="0"/>
        <w:autoSpaceDN w:val="0"/>
        <w:bidi w:val="0"/>
        <w:adjustRightInd/>
        <w:snapToGrid/>
        <w:spacing w:before="0" w:after="0" w:line="500" w:lineRule="exact"/>
        <w:ind w:left="0" w:right="0"/>
        <w:jc w:val="both"/>
        <w:textAlignment w:val="auto"/>
        <w:rPr>
          <w:color w:val="333333"/>
          <w:highlight w:val="none"/>
        </w:rPr>
      </w:pPr>
      <w:r>
        <w:rPr>
          <w:color w:val="333333"/>
          <w:highlight w:val="none"/>
        </w:rPr>
        <w:t>10.投标截止时间（北京时间</w:t>
      </w:r>
      <w:r>
        <w:rPr>
          <w:highlight w:val="none"/>
        </w:rPr>
        <w:t>）:</w:t>
      </w:r>
      <w:r>
        <w:rPr>
          <w:rFonts w:hint="eastAsia"/>
          <w:highlight w:val="none"/>
          <w:lang w:val="en-US" w:eastAsia="zh-CN"/>
        </w:rPr>
        <w:t>2</w:t>
      </w:r>
      <w:r>
        <w:rPr>
          <w:rFonts w:hint="eastAsia"/>
          <w:color w:val="333333"/>
          <w:highlight w:val="none"/>
          <w:lang w:val="en-US" w:eastAsia="zh-CN"/>
        </w:rPr>
        <w:t>020</w:t>
      </w:r>
      <w:r>
        <w:rPr>
          <w:color w:val="333333"/>
          <w:highlight w:val="none"/>
        </w:rPr>
        <w:t>年</w:t>
      </w:r>
      <w:r>
        <w:rPr>
          <w:rFonts w:hint="eastAsia"/>
          <w:color w:val="333333"/>
          <w:highlight w:val="none"/>
          <w:lang w:val="en-US" w:eastAsia="zh-CN"/>
        </w:rPr>
        <w:t>02</w:t>
      </w:r>
      <w:r>
        <w:rPr>
          <w:color w:val="333333"/>
          <w:highlight w:val="none"/>
        </w:rPr>
        <w:t>月</w:t>
      </w:r>
      <w:r>
        <w:rPr>
          <w:rFonts w:hint="eastAsia"/>
          <w:color w:val="333333"/>
          <w:highlight w:val="none"/>
          <w:lang w:val="en-US" w:eastAsia="zh-CN"/>
        </w:rPr>
        <w:t>04</w:t>
      </w:r>
      <w:r>
        <w:rPr>
          <w:color w:val="333333"/>
          <w:highlight w:val="none"/>
        </w:rPr>
        <w:t>日</w:t>
      </w:r>
      <w:r>
        <w:rPr>
          <w:rFonts w:hint="eastAsia"/>
          <w:color w:val="333333"/>
          <w:highlight w:val="none"/>
          <w:lang w:val="en-US" w:eastAsia="zh-CN"/>
        </w:rPr>
        <w:t>09</w:t>
      </w:r>
      <w:r>
        <w:rPr>
          <w:color w:val="333333"/>
          <w:highlight w:val="none"/>
        </w:rPr>
        <w:t>时</w:t>
      </w:r>
      <w:r>
        <w:rPr>
          <w:rFonts w:hint="eastAsia"/>
          <w:color w:val="333333"/>
          <w:highlight w:val="none"/>
          <w:lang w:val="en-US" w:eastAsia="zh-CN"/>
        </w:rPr>
        <w:t>30</w:t>
      </w:r>
      <w:r>
        <w:rPr>
          <w:color w:val="333333"/>
          <w:highlight w:val="none"/>
        </w:rPr>
        <w:t>分</w:t>
      </w:r>
    </w:p>
    <w:p>
      <w:pPr>
        <w:pStyle w:val="9"/>
        <w:keepNext w:val="0"/>
        <w:keepLines w:val="0"/>
        <w:pageBreakBefore w:val="0"/>
        <w:widowControl w:val="0"/>
        <w:tabs>
          <w:tab w:val="left" w:pos="6117"/>
          <w:tab w:val="left" w:pos="6957"/>
        </w:tabs>
        <w:kinsoku/>
        <w:wordWrap/>
        <w:overflowPunct/>
        <w:topLinePunct w:val="0"/>
        <w:autoSpaceDE w:val="0"/>
        <w:autoSpaceDN w:val="0"/>
        <w:bidi w:val="0"/>
        <w:adjustRightInd/>
        <w:snapToGrid/>
        <w:spacing w:before="0" w:after="0" w:line="500" w:lineRule="exact"/>
        <w:ind w:left="0" w:right="0"/>
        <w:jc w:val="both"/>
        <w:textAlignment w:val="auto"/>
        <w:rPr>
          <w:color w:val="333333"/>
          <w:highlight w:val="none"/>
        </w:rPr>
      </w:pPr>
      <w:r>
        <w:rPr>
          <w:highlight w:val="none"/>
        </w:rPr>
        <w:t>11.开标时间（北京时间）:</w:t>
      </w:r>
      <w:r>
        <w:rPr>
          <w:rFonts w:hint="eastAsia"/>
          <w:highlight w:val="none"/>
          <w:lang w:val="en-US" w:eastAsia="zh-CN"/>
        </w:rPr>
        <w:t>2</w:t>
      </w:r>
      <w:r>
        <w:rPr>
          <w:rFonts w:hint="eastAsia"/>
          <w:color w:val="333333"/>
          <w:highlight w:val="none"/>
          <w:lang w:val="en-US" w:eastAsia="zh-CN"/>
        </w:rPr>
        <w:t>020</w:t>
      </w:r>
      <w:r>
        <w:rPr>
          <w:color w:val="333333"/>
          <w:highlight w:val="none"/>
        </w:rPr>
        <w:t>年</w:t>
      </w:r>
      <w:r>
        <w:rPr>
          <w:rFonts w:hint="eastAsia"/>
          <w:color w:val="333333"/>
          <w:highlight w:val="none"/>
          <w:lang w:val="en-US" w:eastAsia="zh-CN"/>
        </w:rPr>
        <w:t>02</w:t>
      </w:r>
      <w:r>
        <w:rPr>
          <w:color w:val="333333"/>
          <w:highlight w:val="none"/>
        </w:rPr>
        <w:t>月</w:t>
      </w:r>
      <w:r>
        <w:rPr>
          <w:rFonts w:hint="eastAsia"/>
          <w:color w:val="333333"/>
          <w:highlight w:val="none"/>
          <w:lang w:val="en-US" w:eastAsia="zh-CN"/>
        </w:rPr>
        <w:t>04</w:t>
      </w:r>
      <w:r>
        <w:rPr>
          <w:color w:val="333333"/>
          <w:highlight w:val="none"/>
        </w:rPr>
        <w:t>日</w:t>
      </w:r>
      <w:r>
        <w:rPr>
          <w:rFonts w:hint="eastAsia"/>
          <w:color w:val="333333"/>
          <w:highlight w:val="none"/>
          <w:lang w:val="en-US" w:eastAsia="zh-CN"/>
        </w:rPr>
        <w:t>09</w:t>
      </w:r>
      <w:r>
        <w:rPr>
          <w:color w:val="333333"/>
          <w:highlight w:val="none"/>
        </w:rPr>
        <w:t>时</w:t>
      </w:r>
      <w:r>
        <w:rPr>
          <w:rFonts w:hint="eastAsia"/>
          <w:color w:val="333333"/>
          <w:highlight w:val="none"/>
          <w:lang w:val="en-US" w:eastAsia="zh-CN"/>
        </w:rPr>
        <w:t>30</w:t>
      </w:r>
      <w:r>
        <w:rPr>
          <w:color w:val="333333"/>
          <w:highlight w:val="none"/>
        </w:rPr>
        <w:t>分</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color w:val="333333"/>
          <w:highlight w:val="none"/>
        </w:rPr>
      </w:pPr>
      <w:r>
        <w:rPr>
          <w:color w:val="333333"/>
          <w:highlight w:val="none"/>
        </w:rPr>
        <w:t>12.开标地点:</w:t>
      </w:r>
      <w:r>
        <w:rPr>
          <w:rFonts w:hint="eastAsia"/>
          <w:color w:val="333333"/>
          <w:highlight w:val="none"/>
        </w:rPr>
        <w:t xml:space="preserve">全国公共资源交易平台（贵州省.铜仁市）江口分中心 </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eastAsia"/>
          <w:color w:val="333333"/>
          <w:highlight w:val="none"/>
          <w:lang w:val="en-US" w:eastAsia="zh-CN"/>
        </w:rPr>
      </w:pPr>
      <w:r>
        <w:rPr>
          <w:color w:val="333333"/>
          <w:highlight w:val="none"/>
        </w:rPr>
        <w:t>13.投标保证金情况</w:t>
      </w:r>
      <w:r>
        <w:rPr>
          <w:rFonts w:hint="eastAsia"/>
          <w:color w:val="333333"/>
          <w:highlight w:val="none"/>
          <w:lang w:val="en-US" w:eastAsia="zh-CN"/>
        </w:rPr>
        <w:t>:具体缴退流程见全国公共资源交易平台（贵州省•铜仁市）官方网址（http://jyzx.trs.gov.cn/TPFront_TR/index.htm），点击首页--办事指南--保证金缴退，按步骤自行缴纳保证金。</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color w:val="333333"/>
          <w:highlight w:val="none"/>
        </w:rPr>
        <w:t>（1）磋商保证金额:</w:t>
      </w:r>
      <w:r>
        <w:rPr>
          <w:rFonts w:hint="eastAsia"/>
          <w:color w:val="333333"/>
          <w:highlight w:val="none"/>
          <w:lang w:val="en-US" w:eastAsia="zh-CN"/>
        </w:rPr>
        <w:t>10000</w:t>
      </w:r>
      <w:r>
        <w:rPr>
          <w:color w:val="333333"/>
          <w:highlight w:val="none"/>
        </w:rPr>
        <w:t>.00元</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color w:val="333333"/>
          <w:highlight w:val="none"/>
        </w:rPr>
        <w:t>（2）竞争性磋商保证金交纳时间:投标截止时间前</w:t>
      </w:r>
    </w:p>
    <w:p>
      <w:pPr>
        <w:spacing w:line="400" w:lineRule="exact"/>
        <w:rPr>
          <w:highlight w:val="none"/>
        </w:rPr>
      </w:pPr>
      <w:r>
        <w:rPr>
          <w:color w:val="333333"/>
          <w:highlight w:val="none"/>
        </w:rPr>
        <w:t>（3）竞争性磋商保证金交纳方式:</w:t>
      </w:r>
      <w:r>
        <w:rPr>
          <w:rFonts w:hint="eastAsia" w:cs="宋体" w:asciiTheme="minorEastAsia" w:hAnsiTheme="minorEastAsia"/>
          <w:color w:val="000000" w:themeColor="text1"/>
          <w:sz w:val="24"/>
          <w:highlight w:val="none"/>
          <w:shd w:val="clear" w:color="auto" w:fill="FFFFFF"/>
        </w:rPr>
        <w:t>公对公转账</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color w:val="333333"/>
          <w:highlight w:val="none"/>
        </w:rPr>
        <w:t>（4）开户银行及帐号：</w:t>
      </w:r>
    </w:p>
    <w:p>
      <w:pPr>
        <w:pStyle w:val="9"/>
        <w:keepNext w:val="0"/>
        <w:keepLines w:val="0"/>
        <w:pageBreakBefore w:val="0"/>
        <w:widowControl w:val="0"/>
        <w:tabs>
          <w:tab w:val="left" w:pos="2159"/>
        </w:tabs>
        <w:kinsoku/>
        <w:wordWrap/>
        <w:overflowPunct/>
        <w:topLinePunct w:val="0"/>
        <w:autoSpaceDE w:val="0"/>
        <w:autoSpaceDN w:val="0"/>
        <w:bidi w:val="0"/>
        <w:adjustRightInd/>
        <w:snapToGrid/>
        <w:spacing w:before="0" w:after="0" w:line="500" w:lineRule="exact"/>
        <w:ind w:left="0" w:right="0" w:firstLine="480" w:firstLineChars="200"/>
        <w:jc w:val="both"/>
        <w:textAlignment w:val="auto"/>
        <w:rPr>
          <w:color w:val="333333"/>
          <w:highlight w:val="none"/>
        </w:rPr>
      </w:pPr>
      <w:r>
        <w:rPr>
          <w:color w:val="333333"/>
          <w:highlight w:val="none"/>
        </w:rPr>
        <w:t>单位名称:铜仁市公共资源交易中心</w:t>
      </w:r>
      <w:r>
        <w:rPr>
          <w:rFonts w:hint="eastAsia"/>
          <w:color w:val="333333"/>
          <w:highlight w:val="none"/>
          <w:lang w:eastAsia="zh-CN"/>
        </w:rPr>
        <w:t>江口</w:t>
      </w:r>
      <w:r>
        <w:rPr>
          <w:color w:val="333333"/>
          <w:highlight w:val="none"/>
        </w:rPr>
        <w:t>分中心</w:t>
      </w:r>
    </w:p>
    <w:p>
      <w:pPr>
        <w:pStyle w:val="9"/>
        <w:keepNext w:val="0"/>
        <w:keepLines w:val="0"/>
        <w:pageBreakBefore w:val="0"/>
        <w:widowControl w:val="0"/>
        <w:tabs>
          <w:tab w:val="left" w:pos="2159"/>
        </w:tabs>
        <w:kinsoku/>
        <w:wordWrap/>
        <w:overflowPunct/>
        <w:topLinePunct w:val="0"/>
        <w:autoSpaceDE w:val="0"/>
        <w:autoSpaceDN w:val="0"/>
        <w:bidi w:val="0"/>
        <w:adjustRightInd/>
        <w:snapToGrid/>
        <w:spacing w:before="0" w:after="0" w:line="500" w:lineRule="exact"/>
        <w:ind w:left="0" w:right="0" w:firstLine="480" w:firstLineChars="200"/>
        <w:jc w:val="both"/>
        <w:textAlignment w:val="auto"/>
        <w:rPr>
          <w:color w:val="333333"/>
          <w:highlight w:val="none"/>
        </w:rPr>
      </w:pPr>
      <w:r>
        <w:rPr>
          <w:color w:val="333333"/>
          <w:highlight w:val="none"/>
        </w:rPr>
        <w:t>开户银行:</w:t>
      </w:r>
      <w:r>
        <w:rPr>
          <w:rFonts w:hint="eastAsia"/>
          <w:color w:val="333333"/>
          <w:highlight w:val="none"/>
        </w:rPr>
        <w:t>贵州银行股份有限公司江口支行</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highlight w:val="none"/>
        </w:rPr>
      </w:pPr>
      <w:r>
        <w:rPr>
          <w:color w:val="333333"/>
          <w:highlight w:val="none"/>
        </w:rPr>
        <w:t>帐</w:t>
      </w:r>
      <w:r>
        <w:rPr>
          <w:rFonts w:hint="eastAsia"/>
          <w:color w:val="333333"/>
          <w:highlight w:val="none"/>
          <w:lang w:val="en-US" w:eastAsia="zh-CN"/>
        </w:rPr>
        <w:t xml:space="preserve"> </w:t>
      </w:r>
      <w:r>
        <w:rPr>
          <w:color w:val="333333"/>
          <w:highlight w:val="none"/>
        </w:rPr>
        <w:t xml:space="preserve">号: </w:t>
      </w:r>
      <w:r>
        <w:rPr>
          <w:rFonts w:hint="eastAsia"/>
          <w:color w:val="333333"/>
          <w:highlight w:val="none"/>
        </w:rPr>
        <w:t xml:space="preserve"> 0614 0016 0000 0057</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sz w:val="23"/>
          <w:highlight w:val="none"/>
        </w:rPr>
      </w:pPr>
      <w:r>
        <w:rPr>
          <w:highlight w:val="none"/>
        </w:rPr>
        <w:t>14、PPP 项目:否</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default" w:eastAsia="宋体"/>
          <w:highlight w:val="none"/>
          <w:lang w:val="en-US" w:eastAsia="zh-CN"/>
        </w:rPr>
      </w:pPr>
      <w:r>
        <w:rPr>
          <w:highlight w:val="none"/>
        </w:rPr>
        <w:t>15、招标人名称:</w:t>
      </w:r>
      <w:r>
        <w:rPr>
          <w:rFonts w:hint="eastAsia"/>
          <w:highlight w:val="none"/>
          <w:lang w:val="en-US" w:eastAsia="zh-CN"/>
        </w:rPr>
        <w:t>江口县农业农村局</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hint="default"/>
          <w:highlight w:val="none"/>
          <w:lang w:val="en-US" w:eastAsia="zh-CN"/>
        </w:rPr>
      </w:pPr>
      <w:r>
        <w:rPr>
          <w:highlight w:val="none"/>
        </w:rPr>
        <w:t xml:space="preserve">联系地址: </w:t>
      </w:r>
      <w:r>
        <w:rPr>
          <w:rFonts w:hint="eastAsia"/>
          <w:highlight w:val="none"/>
          <w:lang w:val="en-US" w:eastAsia="zh-CN"/>
        </w:rPr>
        <w:t>贵州省铜仁市江口县农业农村局</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hint="eastAsia" w:eastAsia="宋体"/>
          <w:highlight w:val="none"/>
          <w:lang w:val="en-US" w:eastAsia="zh-CN"/>
        </w:rPr>
      </w:pPr>
      <w:r>
        <w:rPr>
          <w:highlight w:val="none"/>
        </w:rPr>
        <w:t>联系人：</w:t>
      </w:r>
      <w:r>
        <w:rPr>
          <w:rFonts w:hint="eastAsia"/>
          <w:highlight w:val="none"/>
          <w:lang w:val="en-US" w:eastAsia="zh-CN"/>
        </w:rPr>
        <w:t>卫康辉</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hint="default" w:eastAsia="宋体"/>
          <w:sz w:val="23"/>
          <w:highlight w:val="none"/>
          <w:lang w:val="en-US" w:eastAsia="zh-CN"/>
        </w:rPr>
      </w:pPr>
      <w:r>
        <w:rPr>
          <w:highlight w:val="none"/>
        </w:rPr>
        <w:t>电 话 ：</w:t>
      </w:r>
      <w:r>
        <w:rPr>
          <w:rFonts w:hint="eastAsia"/>
          <w:highlight w:val="none"/>
          <w:lang w:val="en-US" w:eastAsia="zh-CN"/>
        </w:rPr>
        <w:t>18785696227</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16、采购项目需要落实的政府采购政策:已落实</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rFonts w:hint="eastAsia"/>
          <w:highlight w:val="none"/>
          <w:lang w:eastAsia="zh-CN"/>
        </w:rPr>
      </w:pPr>
      <w:r>
        <w:rPr>
          <w:highlight w:val="none"/>
        </w:rPr>
        <w:t>17、采购代理机构全称: 贵州</w:t>
      </w:r>
      <w:r>
        <w:rPr>
          <w:rFonts w:hint="eastAsia"/>
          <w:highlight w:val="none"/>
          <w:lang w:eastAsia="zh-CN"/>
        </w:rPr>
        <w:t>聚力项目管理咨询有限公司</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highlight w:val="none"/>
        </w:rPr>
      </w:pPr>
      <w:r>
        <w:rPr>
          <w:highlight w:val="none"/>
        </w:rPr>
        <w:t>联系地址:</w:t>
      </w:r>
      <w:r>
        <w:rPr>
          <w:rFonts w:hint="eastAsia"/>
          <w:highlight w:val="none"/>
        </w:rPr>
        <w:t xml:space="preserve">贵州省铜仁市麒龙国际会展城D1栋23层3号（铜仁办事处） </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hint="eastAsia" w:eastAsia="宋体"/>
          <w:highlight w:val="none"/>
          <w:lang w:eastAsia="zh-CN"/>
        </w:rPr>
      </w:pPr>
      <w:r>
        <w:rPr>
          <w:highlight w:val="none"/>
        </w:rPr>
        <w:t>联系人:</w:t>
      </w:r>
      <w:r>
        <w:rPr>
          <w:rFonts w:hint="eastAsia"/>
          <w:highlight w:val="none"/>
          <w:lang w:eastAsia="zh-CN"/>
        </w:rPr>
        <w:t>刘伟</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highlight w:val="none"/>
        </w:rPr>
        <w:sectPr>
          <w:pgSz w:w="11910" w:h="16840"/>
          <w:pgMar w:top="1540" w:right="1680" w:bottom="880" w:left="1680" w:header="0" w:footer="1077" w:gutter="0"/>
          <w:pgBorders>
            <w:top w:val="none" w:sz="0" w:space="0"/>
            <w:left w:val="none" w:sz="0" w:space="0"/>
            <w:bottom w:val="none" w:sz="0" w:space="0"/>
            <w:right w:val="none" w:sz="0" w:space="0"/>
          </w:pgBorders>
          <w:pgNumType w:fmt="decimal"/>
        </w:sectPr>
      </w:pPr>
      <w:r>
        <w:rPr>
          <w:highlight w:val="none"/>
        </w:rPr>
        <w:t>电</w:t>
      </w:r>
      <w:r>
        <w:rPr>
          <w:rFonts w:hint="eastAsia"/>
          <w:highlight w:val="none"/>
          <w:lang w:val="en-US" w:eastAsia="zh-CN"/>
        </w:rPr>
        <w:t xml:space="preserve">  </w:t>
      </w:r>
      <w:r>
        <w:rPr>
          <w:highlight w:val="none"/>
        </w:rPr>
        <w:t xml:space="preserve">话: </w:t>
      </w:r>
      <w:r>
        <w:rPr>
          <w:rFonts w:hint="eastAsia"/>
          <w:highlight w:val="none"/>
          <w:lang w:val="en-US" w:eastAsia="zh-CN"/>
        </w:rPr>
        <w:t>15902557552</w:t>
      </w:r>
    </w:p>
    <w:p>
      <w:pPr>
        <w:pStyle w:val="4"/>
        <w:keepNext w:val="0"/>
        <w:keepLines w:val="0"/>
        <w:pageBreakBefore w:val="0"/>
        <w:widowControl w:val="0"/>
        <w:kinsoku/>
        <w:wordWrap/>
        <w:overflowPunct/>
        <w:topLinePunct w:val="0"/>
        <w:autoSpaceDE w:val="0"/>
        <w:autoSpaceDN w:val="0"/>
        <w:bidi w:val="0"/>
        <w:adjustRightInd/>
        <w:snapToGrid/>
        <w:spacing w:before="0" w:after="0" w:line="433" w:lineRule="exact"/>
        <w:ind w:left="0" w:right="0"/>
        <w:jc w:val="center"/>
        <w:textAlignment w:val="auto"/>
        <w:rPr>
          <w:highlight w:val="none"/>
        </w:rPr>
      </w:pPr>
      <w:r>
        <w:rPr>
          <w:highlight w:val="none"/>
        </w:rPr>
        <w:t>第二章 磋商供应商须知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8"/>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磋商供应商须知前附表 1</w:t>
      </w:r>
    </w:p>
    <w:p>
      <w:pPr>
        <w:pStyle w:val="9"/>
        <w:keepNext w:val="0"/>
        <w:keepLines w:val="0"/>
        <w:pageBreakBefore w:val="0"/>
        <w:widowControl w:val="0"/>
        <w:kinsoku/>
        <w:wordWrap/>
        <w:overflowPunct/>
        <w:topLinePunct w:val="0"/>
        <w:autoSpaceDE w:val="0"/>
        <w:autoSpaceDN w:val="0"/>
        <w:bidi w:val="0"/>
        <w:adjustRightInd/>
        <w:snapToGrid/>
        <w:spacing w:before="0" w:after="0" w:line="237" w:lineRule="auto"/>
        <w:ind w:left="0" w:right="0" w:firstLine="480"/>
        <w:jc w:val="both"/>
        <w:textAlignment w:val="auto"/>
        <w:rPr>
          <w:highlight w:val="none"/>
        </w:rPr>
      </w:pPr>
      <w:r>
        <w:rPr>
          <w:highlight w:val="none"/>
        </w:rPr>
        <w:t>本须知前附表的条款号是与《磋商供应商须知》中条款的项号相对应的。如果有矛盾的话，应以本附表为准。</w:t>
      </w:r>
    </w:p>
    <w:tbl>
      <w:tblPr>
        <w:tblStyle w:val="13"/>
        <w:tblW w:w="8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7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bCs/>
                <w:sz w:val="24"/>
                <w:highlight w:val="none"/>
              </w:rPr>
            </w:pPr>
            <w:r>
              <w:rPr>
                <w:b/>
                <w:bCs/>
                <w:sz w:val="24"/>
                <w:highlight w:val="none"/>
              </w:rPr>
              <w:t>序号</w:t>
            </w:r>
          </w:p>
        </w:tc>
        <w:tc>
          <w:tcPr>
            <w:tcW w:w="787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bCs/>
                <w:sz w:val="21"/>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bCs/>
                <w:sz w:val="24"/>
                <w:highlight w:val="none"/>
              </w:rPr>
            </w:pPr>
            <w:r>
              <w:rPr>
                <w:b/>
                <w:bCs/>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0"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1</w:t>
            </w:r>
          </w:p>
        </w:tc>
        <w:tc>
          <w:tcPr>
            <w:tcW w:w="787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pacing w:val="-12"/>
                <w:sz w:val="24"/>
                <w:highlight w:val="none"/>
              </w:rPr>
              <w:t>项目名称：</w:t>
            </w:r>
            <w:r>
              <w:rPr>
                <w:rFonts w:hint="eastAsia"/>
                <w:spacing w:val="-12"/>
                <w:sz w:val="24"/>
                <w:highlight w:val="none"/>
              </w:rPr>
              <w:t>江口县德旺乡净河村地表径流污水净化利用示范项目工程量清单采购</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采购人名称:</w:t>
            </w:r>
            <w:r>
              <w:rPr>
                <w:rFonts w:hint="eastAsia"/>
                <w:sz w:val="24"/>
                <w:highlight w:val="none"/>
                <w:lang w:val="en-US" w:eastAsia="zh-CN"/>
              </w:rPr>
              <w:t>江口县农业农村局</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采购人地址:</w:t>
            </w:r>
            <w:r>
              <w:rPr>
                <w:rFonts w:hint="eastAsia"/>
                <w:sz w:val="24"/>
                <w:highlight w:val="none"/>
                <w:lang w:val="en-US" w:eastAsia="zh-CN"/>
              </w:rPr>
              <w:t>贵州省铜仁市江口县农业农村局</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default"/>
                <w:sz w:val="24"/>
                <w:highlight w:val="none"/>
                <w:lang w:val="en-US" w:eastAsia="zh-CN"/>
              </w:rPr>
            </w:pPr>
            <w:r>
              <w:rPr>
                <w:sz w:val="24"/>
                <w:highlight w:val="none"/>
              </w:rPr>
              <w:t>项目内容：</w:t>
            </w:r>
            <w:r>
              <w:rPr>
                <w:rFonts w:hint="eastAsia"/>
                <w:sz w:val="24"/>
                <w:highlight w:val="none"/>
                <w:lang w:val="en-US" w:eastAsia="zh-CN"/>
              </w:rPr>
              <w:t>1.管网铺设分为DN200的HDPE双壁波纹管主管（共1500m）、DV160的HDPE双壁波纹管干管（共1350m）、DN110PVC管（2700m）以及检查井95座；2.终端部分为：隔油格栅池（12.5m</w:t>
            </w:r>
            <w:r>
              <w:rPr>
                <w:rFonts w:hint="eastAsia"/>
                <w:sz w:val="24"/>
                <w:highlight w:val="none"/>
                <w:vertAlign w:val="superscript"/>
                <w:lang w:val="en-US" w:eastAsia="zh-CN"/>
              </w:rPr>
              <w:t>3</w:t>
            </w:r>
            <w:r>
              <w:rPr>
                <w:rFonts w:hint="eastAsia"/>
                <w:sz w:val="24"/>
                <w:highlight w:val="none"/>
                <w:lang w:val="en-US" w:eastAsia="zh-CN"/>
              </w:rPr>
              <w:t>）、水解池（30m</w:t>
            </w:r>
            <w:r>
              <w:rPr>
                <w:rFonts w:hint="eastAsia"/>
                <w:sz w:val="24"/>
                <w:highlight w:val="none"/>
                <w:vertAlign w:val="superscript"/>
                <w:lang w:val="en-US" w:eastAsia="zh-CN"/>
              </w:rPr>
              <w:t>3</w:t>
            </w:r>
            <w:r>
              <w:rPr>
                <w:rFonts w:hint="eastAsia"/>
                <w:sz w:val="24"/>
                <w:highlight w:val="none"/>
                <w:lang w:val="en-US" w:eastAsia="zh-CN"/>
              </w:rPr>
              <w:t>）、一级厌氧池（30m</w:t>
            </w:r>
            <w:r>
              <w:rPr>
                <w:rFonts w:hint="eastAsia"/>
                <w:sz w:val="24"/>
                <w:highlight w:val="none"/>
                <w:vertAlign w:val="superscript"/>
                <w:lang w:val="en-US" w:eastAsia="zh-CN"/>
              </w:rPr>
              <w:t>3</w:t>
            </w:r>
            <w:r>
              <w:rPr>
                <w:rFonts w:hint="eastAsia"/>
                <w:sz w:val="24"/>
                <w:highlight w:val="none"/>
                <w:lang w:val="en-US" w:eastAsia="zh-CN"/>
              </w:rPr>
              <w:t>）、二级厌氧池（30m</w:t>
            </w:r>
            <w:r>
              <w:rPr>
                <w:rFonts w:hint="eastAsia"/>
                <w:sz w:val="24"/>
                <w:highlight w:val="none"/>
                <w:vertAlign w:val="superscript"/>
                <w:lang w:val="en-US" w:eastAsia="zh-CN"/>
              </w:rPr>
              <w:t>3</w:t>
            </w:r>
            <w:r>
              <w:rPr>
                <w:rFonts w:hint="eastAsia"/>
                <w:sz w:val="24"/>
                <w:highlight w:val="none"/>
                <w:lang w:val="en-US" w:eastAsia="zh-CN"/>
              </w:rPr>
              <w:t>）、人工湿地（400m</w:t>
            </w:r>
            <w:r>
              <w:rPr>
                <w:rFonts w:hint="eastAsia"/>
                <w:sz w:val="24"/>
                <w:highlight w:val="none"/>
                <w:vertAlign w:val="superscript"/>
                <w:lang w:val="en-US" w:eastAsia="zh-CN"/>
              </w:rPr>
              <w:t>3</w:t>
            </w:r>
            <w:r>
              <w:rPr>
                <w:rFonts w:hint="eastAsia"/>
                <w:sz w:val="24"/>
                <w:highlight w:val="none"/>
                <w:lang w:val="en-US" w:eastAsia="zh-CN"/>
              </w:rPr>
              <w:t>）。</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eastAsia="宋体"/>
                <w:sz w:val="24"/>
                <w:highlight w:val="none"/>
                <w:lang w:val="en-US" w:eastAsia="zh-CN"/>
              </w:rPr>
            </w:pPr>
            <w:r>
              <w:rPr>
                <w:sz w:val="24"/>
                <w:highlight w:val="none"/>
              </w:rPr>
              <w:t xml:space="preserve">项目编号： </w:t>
            </w:r>
            <w:r>
              <w:rPr>
                <w:rFonts w:hint="eastAsia"/>
                <w:sz w:val="24"/>
                <w:highlight w:val="none"/>
                <w:lang w:val="en-US" w:eastAsia="zh-CN"/>
              </w:rPr>
              <w:t>/</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财政审核控制价（预算价）：</w:t>
            </w:r>
            <w:r>
              <w:rPr>
                <w:rFonts w:hint="eastAsia"/>
                <w:sz w:val="24"/>
                <w:highlight w:val="none"/>
                <w:lang w:val="en-US" w:eastAsia="zh-CN"/>
              </w:rPr>
              <w:t>150</w:t>
            </w:r>
            <w:r>
              <w:rPr>
                <w:sz w:val="24"/>
                <w:highlight w:val="none"/>
              </w:rPr>
              <w:t>万元（磋商首次报价不能超过财政审核预算价）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2</w:t>
            </w:r>
          </w:p>
        </w:tc>
        <w:tc>
          <w:tcPr>
            <w:tcW w:w="787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是否允许中国境外供应商参加本采购项目：</w:t>
            </w:r>
            <w:r>
              <w:rPr>
                <w:rFonts w:hint="eastAsia"/>
                <w:b/>
                <w:sz w:val="24"/>
                <w:highlight w:val="none"/>
                <w:lang w:eastAsia="zh-CN"/>
              </w:rPr>
              <w:t>□</w:t>
            </w:r>
            <w:r>
              <w:rPr>
                <w:sz w:val="24"/>
                <w:highlight w:val="none"/>
              </w:rPr>
              <w:t xml:space="preserve">是/ </w:t>
            </w:r>
            <w:r>
              <w:rPr>
                <w:rFonts w:ascii="Arial" w:hAnsi="Arial" w:eastAsia="Arial"/>
                <w:sz w:val="24"/>
                <w:highlight w:val="none"/>
              </w:rPr>
              <w:t>√</w:t>
            </w:r>
            <w:r>
              <w:rPr>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1"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3</w:t>
            </w:r>
          </w:p>
        </w:tc>
        <w:tc>
          <w:tcPr>
            <w:tcW w:w="7872" w:type="dxa"/>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sz w:val="24"/>
                <w:highlight w:val="none"/>
              </w:rPr>
              <w:t>资格标准：</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spacing w:val="-7"/>
                <w:sz w:val="24"/>
                <w:highlight w:val="none"/>
              </w:rPr>
              <w:t xml:space="preserve">详见第二章《磋商响应供应商须知》第 </w:t>
            </w:r>
            <w:r>
              <w:rPr>
                <w:sz w:val="24"/>
                <w:highlight w:val="none"/>
              </w:rPr>
              <w:t>3</w:t>
            </w:r>
            <w:r>
              <w:rPr>
                <w:spacing w:val="-8"/>
                <w:sz w:val="24"/>
                <w:highlight w:val="none"/>
              </w:rPr>
              <w:t xml:space="preserve"> 条，以及第三章《采购内容 及要求》有关内容。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4</w:t>
            </w:r>
          </w:p>
        </w:tc>
        <w:tc>
          <w:tcPr>
            <w:tcW w:w="787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sz w:val="24"/>
                <w:highlight w:val="none"/>
              </w:rPr>
              <w:t>响应文件递交地址：铜仁市公共服务中心</w:t>
            </w:r>
            <w:r>
              <w:rPr>
                <w:rFonts w:hint="eastAsia"/>
                <w:sz w:val="24"/>
                <w:highlight w:val="none"/>
                <w:lang w:val="en-US" w:eastAsia="zh-CN"/>
              </w:rPr>
              <w:t>江口</w:t>
            </w:r>
            <w:r>
              <w:rPr>
                <w:sz w:val="24"/>
                <w:highlight w:val="none"/>
              </w:rPr>
              <w:t>分中心</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sz w:val="24"/>
                <w:highlight w:val="none"/>
              </w:rPr>
              <w:t>响应文件提交截止时间：详见磋商公告。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5"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5</w:t>
            </w:r>
          </w:p>
        </w:tc>
        <w:tc>
          <w:tcPr>
            <w:tcW w:w="787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pacing w:val="-4"/>
                <w:sz w:val="24"/>
                <w:highlight w:val="none"/>
              </w:rPr>
              <w:t xml:space="preserve">磋商保证金：响应文件应附有人民币 </w:t>
            </w:r>
            <w:r>
              <w:rPr>
                <w:rFonts w:hint="eastAsia"/>
                <w:sz w:val="24"/>
                <w:highlight w:val="none"/>
                <w:lang w:val="en-US" w:eastAsia="zh-CN"/>
              </w:rPr>
              <w:t>10000.00</w:t>
            </w:r>
            <w:r>
              <w:rPr>
                <w:spacing w:val="-8"/>
                <w:sz w:val="24"/>
                <w:highlight w:val="none"/>
              </w:rPr>
              <w:t>元整的磋商保证金，保证金必须从供应商账户支付且在响应文件提交截止时间前到账，非现金形式交纳。为方便磋商保证金的收、退结算，请在银行汇款凭证上标注项目随机码，磋商保证金缴交凭证请随同响应文件同时送达。（保</w:t>
            </w:r>
            <w:r>
              <w:rPr>
                <w:spacing w:val="-12"/>
                <w:sz w:val="24"/>
                <w:highlight w:val="none"/>
              </w:rPr>
              <w:t>证金不得超过采购项目预算金额的</w:t>
            </w:r>
            <w:r>
              <w:rPr>
                <w:rFonts w:hint="eastAsia"/>
                <w:spacing w:val="-12"/>
                <w:sz w:val="24"/>
                <w:highlight w:val="none"/>
                <w:lang w:val="en-US" w:eastAsia="zh-CN"/>
              </w:rPr>
              <w:t xml:space="preserve"> </w:t>
            </w:r>
            <w:r>
              <w:rPr>
                <w:sz w:val="24"/>
                <w:highlight w:val="none"/>
              </w:rPr>
              <w:t>2%）</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注：磋商保证金必须在提交响应文件截止时间前到帐，否则视为无效响应。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5" w:hRule="atLeast"/>
        </w:trPr>
        <w:tc>
          <w:tcPr>
            <w:tcW w:w="90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z w:val="24"/>
                <w:highlight w:val="none"/>
                <w:lang w:val="en-US" w:eastAsia="zh-CN"/>
              </w:rPr>
            </w:pPr>
            <w:r>
              <w:rPr>
                <w:rFonts w:hint="eastAsia"/>
                <w:sz w:val="24"/>
                <w:highlight w:val="none"/>
                <w:lang w:val="en-US" w:eastAsia="zh-CN"/>
              </w:rPr>
              <w:t>6</w:t>
            </w:r>
          </w:p>
        </w:tc>
        <w:tc>
          <w:tcPr>
            <w:tcW w:w="787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default" w:eastAsia="宋体"/>
                <w:sz w:val="24"/>
                <w:highlight w:val="none"/>
                <w:lang w:val="en-US" w:eastAsia="zh-CN"/>
              </w:rPr>
            </w:pPr>
            <w:r>
              <w:rPr>
                <w:rFonts w:hint="eastAsia"/>
                <w:sz w:val="24"/>
                <w:highlight w:val="none"/>
                <w:lang w:eastAsia="zh-CN"/>
              </w:rPr>
              <w:t>付款方式：工程进度款按月支付，按照完成签证工程量的</w:t>
            </w:r>
            <w:r>
              <w:rPr>
                <w:rFonts w:hint="eastAsia"/>
                <w:sz w:val="24"/>
                <w:highlight w:val="none"/>
                <w:lang w:val="en-US" w:eastAsia="zh-CN"/>
              </w:rPr>
              <w:t>80%支付进度款。工程竣工付至合同总价的90%，验收合格经第三方审计完成，并且承包人提交完成工程项目廉政档案盒工程序管理档案的资料后，支付结算总价的97%，预留3%为项目质量保证金，一年后无质量问题，一次性付清（最终以中标后签订合同付款方式为准。）</w:t>
            </w:r>
          </w:p>
        </w:tc>
      </w:tr>
    </w:tbl>
    <w:p>
      <w:pPr>
        <w:pStyle w:val="5"/>
        <w:keepNext w:val="0"/>
        <w:keepLines w:val="0"/>
        <w:pageBreakBefore w:val="0"/>
        <w:widowControl w:val="0"/>
        <w:kinsoku/>
        <w:wordWrap/>
        <w:overflowPunct/>
        <w:topLinePunct w:val="0"/>
        <w:autoSpaceDE w:val="0"/>
        <w:autoSpaceDN w:val="0"/>
        <w:bidi w:val="0"/>
        <w:adjustRightInd/>
        <w:snapToGrid/>
        <w:spacing w:before="0" w:after="0" w:line="395" w:lineRule="exact"/>
        <w:ind w:left="0" w:right="0"/>
        <w:jc w:val="center"/>
        <w:textAlignment w:val="auto"/>
        <w:rPr>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395" w:lineRule="exact"/>
        <w:ind w:left="0" w:right="0"/>
        <w:jc w:val="center"/>
        <w:textAlignment w:val="auto"/>
        <w:rPr>
          <w:highlight w:val="none"/>
        </w:rPr>
      </w:pPr>
      <w:r>
        <w:rPr>
          <w:highlight w:val="none"/>
        </w:rPr>
        <w:t>磋商供应商须知前附表 2:资格性、符合性检查表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2"/>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237" w:lineRule="auto"/>
        <w:ind w:left="0" w:right="0" w:firstLine="480" w:firstLineChars="200"/>
        <w:jc w:val="both"/>
        <w:textAlignment w:val="auto"/>
        <w:rPr>
          <w:highlight w:val="none"/>
        </w:rPr>
      </w:pPr>
      <w:r>
        <w:rPr>
          <w:highlight w:val="none"/>
        </w:rPr>
        <w:t>本须知前附表 2 集中列示了资格性、符合性检查的所有条款，其内容是磋商小组判断磋商供应商的报价是否有效的重要依据。</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tbl>
      <w:tblPr>
        <w:tblStyle w:val="13"/>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8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center"/>
              <w:textAlignment w:val="auto"/>
              <w:rPr>
                <w:b/>
                <w:bCs/>
                <w:sz w:val="32"/>
                <w:highlight w:val="none"/>
              </w:rPr>
            </w:pP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b/>
                <w:bCs/>
                <w:sz w:val="32"/>
                <w:highlight w:val="none"/>
              </w:rPr>
            </w:pPr>
            <w:r>
              <w:rPr>
                <w:b/>
                <w:bCs/>
                <w:w w:val="95"/>
                <w:sz w:val="32"/>
                <w:highlight w:val="none"/>
              </w:rPr>
              <w:t>资格性要求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220" w:rightChars="100"/>
              <w:jc w:val="center"/>
              <w:textAlignment w:val="auto"/>
              <w:rPr>
                <w:b/>
                <w:bCs/>
                <w:w w:val="95"/>
                <w:sz w:val="32"/>
                <w:highlight w:val="none"/>
              </w:rPr>
            </w:pPr>
            <w:r>
              <w:rPr>
                <w:b/>
                <w:bCs/>
                <w:w w:val="95"/>
                <w:sz w:val="32"/>
                <w:highlight w:val="none"/>
              </w:rPr>
              <w:t>序号</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b/>
                <w:bCs/>
                <w:w w:val="95"/>
                <w:sz w:val="32"/>
                <w:highlight w:val="none"/>
              </w:rPr>
            </w:pPr>
            <w:r>
              <w:rPr>
                <w:b/>
                <w:bCs/>
                <w:w w:val="95"/>
                <w:sz w:val="32"/>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1</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合格的磋商供应商具体内容详见第二章第 3 条“合格的磋商供应商”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2</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240" w:firstLineChars="100"/>
              <w:jc w:val="both"/>
              <w:textAlignment w:val="auto"/>
              <w:rPr>
                <w:sz w:val="24"/>
                <w:highlight w:val="none"/>
              </w:rPr>
            </w:pPr>
            <w:r>
              <w:rPr>
                <w:sz w:val="24"/>
                <w:highlight w:val="none"/>
              </w:rPr>
              <w:t>磋商代表若不是法定代表人，则必须提供法定代表人对磋商代表的授权书原件及磋商代表的身份证复印件（正反面均需复印）。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31"/>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3</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720" w:firstLineChars="300"/>
              <w:jc w:val="both"/>
              <w:textAlignment w:val="auto"/>
              <w:rPr>
                <w:sz w:val="24"/>
                <w:highlight w:val="none"/>
              </w:rPr>
            </w:pPr>
            <w:r>
              <w:rPr>
                <w:sz w:val="24"/>
                <w:highlight w:val="none"/>
              </w:rPr>
              <w:t>参加政府采购活动的磋商供应商应当具备《中华人民共和国 政府采购法》第二十二条第一款规定的条件，提供下列材料：</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（1）一般资格要求：</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1</w:t>
            </w:r>
            <w:r>
              <w:rPr>
                <w:rFonts w:hint="eastAsia"/>
                <w:color w:val="333333"/>
                <w:sz w:val="24"/>
                <w:highlight w:val="none"/>
                <w:lang w:val="en-US" w:eastAsia="zh-CN"/>
              </w:rPr>
              <w:t>.</w:t>
            </w:r>
            <w:r>
              <w:rPr>
                <w:color w:val="333333"/>
                <w:sz w:val="24"/>
                <w:highlight w:val="none"/>
              </w:rPr>
              <w:t>符合《中华人民共和国政府采购法》第 22 条的条件；</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rFonts w:hint="eastAsia"/>
                <w:color w:val="333333"/>
                <w:sz w:val="24"/>
                <w:highlight w:val="none"/>
              </w:rPr>
            </w:pPr>
            <w:r>
              <w:rPr>
                <w:rFonts w:hint="eastAsia"/>
                <w:color w:val="333333"/>
                <w:sz w:val="24"/>
                <w:highlight w:val="none"/>
                <w:lang w:val="en-US" w:eastAsia="zh-CN"/>
              </w:rPr>
              <w:t>1</w:t>
            </w:r>
            <w:r>
              <w:rPr>
                <w:color w:val="333333"/>
                <w:sz w:val="24"/>
                <w:highlight w:val="none"/>
              </w:rPr>
              <w:t>）</w:t>
            </w:r>
            <w:r>
              <w:rPr>
                <w:rFonts w:hint="eastAsia"/>
                <w:color w:val="333333"/>
                <w:sz w:val="24"/>
                <w:highlight w:val="none"/>
              </w:rPr>
              <w:t>具有独立承担民事责任的能力；具备有效的工商营业执照副本（三证合一）复印件加盖鲜章（或营业执照、税务登记证、组织机构代码证）；</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2）具有良好的商业信誉和健全的财务会计制度：提供2018年度经审计的财务状况报告材料或提供2019年任意一个月份的财务报表（新成立企业可根据自身情况酌情递交相关材料）；</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3)具有依法缴纳税收和社会保障资金的良好记录：提供201</w:t>
            </w:r>
            <w:r>
              <w:rPr>
                <w:rFonts w:hint="eastAsia"/>
                <w:color w:val="333333"/>
                <w:sz w:val="24"/>
                <w:highlight w:val="none"/>
                <w:lang w:val="en-US" w:eastAsia="zh-CN"/>
              </w:rPr>
              <w:t>9</w:t>
            </w:r>
            <w:r>
              <w:rPr>
                <w:color w:val="333333"/>
                <w:sz w:val="24"/>
                <w:highlight w:val="none"/>
              </w:rPr>
              <w:t>年度连续三个月依法缴纳税收和201</w:t>
            </w:r>
            <w:r>
              <w:rPr>
                <w:rFonts w:hint="eastAsia"/>
                <w:color w:val="333333"/>
                <w:sz w:val="24"/>
                <w:highlight w:val="none"/>
                <w:lang w:val="en-US" w:eastAsia="zh-CN"/>
              </w:rPr>
              <w:t>9</w:t>
            </w:r>
            <w:r>
              <w:rPr>
                <w:color w:val="333333"/>
                <w:sz w:val="24"/>
                <w:highlight w:val="none"/>
              </w:rPr>
              <w:t>年</w:t>
            </w:r>
            <w:r>
              <w:rPr>
                <w:rFonts w:hint="eastAsia"/>
                <w:color w:val="333333"/>
                <w:sz w:val="24"/>
                <w:highlight w:val="none"/>
                <w:lang w:val="en-US" w:eastAsia="zh-CN"/>
              </w:rPr>
              <w:t>任意3个月</w:t>
            </w:r>
            <w:r>
              <w:rPr>
                <w:color w:val="333333"/>
                <w:sz w:val="24"/>
                <w:highlight w:val="none"/>
              </w:rPr>
              <w:t>社会保障资金的有效证明材料。（不需要缴纳社保资金的供应商以自已提供的承诺作为证明材料）</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4)参加本次政府采购活动前三年内，在经营活动中没有违法违规记录：提供参加政府采购活动前 3 年内在经营活动中没有重大违法记录的书面声明；</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5)法律、行政法规规定的其他条件：提供诚信资格证明材料：对列入失信被执行人、重大税收违法案件当事人名单、政府采购严重违法失信行为记录名单及其他不符合《中华人民共和国政府采购法》第二十二条规定条件的供应商，拒绝其参与投标。在</w:t>
            </w:r>
            <w:r>
              <w:rPr>
                <w:rFonts w:hint="eastAsia"/>
                <w:color w:val="333333"/>
                <w:sz w:val="24"/>
                <w:highlight w:val="none"/>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color w:val="333333"/>
                <w:sz w:val="24"/>
                <w:highlight w:val="none"/>
              </w:rPr>
              <w:t>（2）本项目不接受联合体；</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rFonts w:hint="default"/>
                <w:color w:val="333333"/>
                <w:sz w:val="24"/>
                <w:highlight w:val="none"/>
                <w:lang w:val="en-US" w:eastAsia="zh-CN"/>
              </w:rPr>
            </w:pPr>
            <w:r>
              <w:rPr>
                <w:rFonts w:hint="eastAsia"/>
                <w:color w:val="333333"/>
                <w:sz w:val="24"/>
                <w:highlight w:val="none"/>
                <w:lang w:val="en-US" w:eastAsia="en-US"/>
              </w:rPr>
              <w:t>（3）特殊资格要求：</w:t>
            </w:r>
            <w:r>
              <w:rPr>
                <w:rFonts w:hint="eastAsia"/>
                <w:color w:val="333333"/>
                <w:sz w:val="24"/>
                <w:highlight w:val="none"/>
                <w:lang w:val="en-US" w:eastAsia="zh-CN"/>
              </w:rPr>
              <w:t>市政公用</w:t>
            </w:r>
            <w:r>
              <w:rPr>
                <w:rFonts w:hint="eastAsia"/>
                <w:color w:val="333333"/>
                <w:sz w:val="24"/>
                <w:highlight w:val="none"/>
                <w:lang w:val="en-US" w:eastAsia="en-US"/>
              </w:rPr>
              <w:t>工程施工</w:t>
            </w:r>
            <w:r>
              <w:rPr>
                <w:rFonts w:hint="eastAsia"/>
                <w:color w:val="333333"/>
                <w:sz w:val="24"/>
                <w:highlight w:val="none"/>
                <w:lang w:val="en-US" w:eastAsia="zh-CN"/>
              </w:rPr>
              <w:t>总承包</w:t>
            </w:r>
            <w:r>
              <w:rPr>
                <w:rFonts w:hint="eastAsia"/>
                <w:color w:val="333333"/>
                <w:sz w:val="24"/>
                <w:highlight w:val="none"/>
                <w:lang w:val="en-US" w:eastAsia="en-US"/>
              </w:rPr>
              <w:t>三级及以上资质</w:t>
            </w:r>
            <w:r>
              <w:rPr>
                <w:rFonts w:hint="eastAsia"/>
                <w:color w:val="333333"/>
                <w:sz w:val="24"/>
                <w:highlight w:val="none"/>
                <w:lang w:val="en-US" w:eastAsia="zh-CN"/>
              </w:rPr>
              <w:t>、</w:t>
            </w:r>
            <w:r>
              <w:rPr>
                <w:rFonts w:hint="eastAsia"/>
                <w:color w:val="333333"/>
                <w:sz w:val="24"/>
                <w:highlight w:val="none"/>
                <w:lang w:val="en-US" w:eastAsia="en-US"/>
              </w:rPr>
              <w:t>有效期内的安全生产许可证；</w:t>
            </w:r>
            <w:r>
              <w:rPr>
                <w:rFonts w:hint="eastAsia"/>
                <w:color w:val="333333"/>
                <w:sz w:val="24"/>
                <w:highlight w:val="none"/>
                <w:lang w:val="en-US" w:eastAsia="zh-CN"/>
              </w:rPr>
              <w:t>项目经理需具备市政工程专业二级及以上注册建造师，并在人员、设备、资金上等方面具备相应的能力。</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b/>
                <w:bCs/>
                <w:color w:val="333333"/>
                <w:sz w:val="24"/>
                <w:highlight w:val="none"/>
              </w:rPr>
            </w:pPr>
            <w:r>
              <w:rPr>
                <w:rFonts w:hint="eastAsia"/>
                <w:b/>
                <w:bCs/>
                <w:color w:val="333333"/>
                <w:sz w:val="24"/>
                <w:highlight w:val="none"/>
              </w:rPr>
              <w:t>开标评标时，投标供应商需提供以下资料(复印件须加盖公章现场提交) ：</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rFonts w:hint="eastAsia"/>
                <w:color w:val="333333"/>
                <w:sz w:val="24"/>
                <w:highlight w:val="none"/>
              </w:rPr>
              <w:t>1 、具备有效的工商营业执照副本（三证合一）复印件加盖鲜章（或营业执照、税务登记证、组织机构代码证）；</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color w:val="333333"/>
                <w:sz w:val="24"/>
                <w:highlight w:val="none"/>
              </w:rPr>
            </w:pPr>
            <w:r>
              <w:rPr>
                <w:rFonts w:hint="eastAsia"/>
                <w:color w:val="333333"/>
                <w:sz w:val="24"/>
                <w:highlight w:val="none"/>
              </w:rPr>
              <w:t>2 、法定代表人</w:t>
            </w:r>
            <w:r>
              <w:rPr>
                <w:rFonts w:hint="eastAsia"/>
                <w:color w:val="333333"/>
                <w:sz w:val="24"/>
                <w:highlight w:val="none"/>
                <w:lang w:val="en-US" w:eastAsia="zh-CN"/>
              </w:rPr>
              <w:t>持</w:t>
            </w:r>
            <w:r>
              <w:rPr>
                <w:rFonts w:hint="eastAsia"/>
                <w:color w:val="333333"/>
                <w:sz w:val="24"/>
                <w:highlight w:val="none"/>
              </w:rPr>
              <w:t>身份证或委托代理人持授权委托书及代理人身份证</w:t>
            </w:r>
            <w:r>
              <w:rPr>
                <w:rFonts w:hint="eastAsia"/>
                <w:color w:val="333333"/>
                <w:sz w:val="24"/>
                <w:highlight w:val="none"/>
                <w:lang w:val="en-US" w:eastAsia="zh-CN"/>
              </w:rPr>
              <w:t>原</w:t>
            </w:r>
            <w:r>
              <w:rPr>
                <w:rFonts w:hint="eastAsia"/>
                <w:color w:val="333333"/>
                <w:sz w:val="24"/>
                <w:highlight w:val="none"/>
              </w:rPr>
              <w:t xml:space="preserve">件； </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rFonts w:hint="eastAsia"/>
                <w:color w:val="333333"/>
                <w:sz w:val="24"/>
                <w:highlight w:val="none"/>
                <w:lang w:val="en-US" w:eastAsia="zh-CN"/>
              </w:rPr>
              <w:t>3</w:t>
            </w:r>
            <w:r>
              <w:rPr>
                <w:rFonts w:hint="eastAsia"/>
                <w:color w:val="333333"/>
                <w:sz w:val="24"/>
                <w:highlight w:val="none"/>
                <w:lang w:val="en-US" w:eastAsia="en-US"/>
              </w:rPr>
              <w:t>、</w:t>
            </w:r>
            <w:r>
              <w:rPr>
                <w:rFonts w:hint="eastAsia"/>
                <w:color w:val="333333"/>
                <w:sz w:val="24"/>
                <w:highlight w:val="none"/>
              </w:rPr>
              <w:t>保证金缴纳凭证；（在电子交易系统中缴纳凭证）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ascii="Times New Roman"/>
                <w:sz w:val="24"/>
                <w:highlight w:val="none"/>
              </w:rPr>
            </w:pP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b/>
                <w:sz w:val="24"/>
                <w:highlight w:val="none"/>
              </w:rPr>
            </w:pPr>
            <w:r>
              <w:rPr>
                <w:b/>
                <w:w w:val="95"/>
                <w:sz w:val="24"/>
                <w:highlight w:val="none"/>
              </w:rPr>
              <w:t>符合性要求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8"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序号</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1</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56" w:firstLineChars="200"/>
              <w:jc w:val="both"/>
              <w:textAlignment w:val="auto"/>
              <w:rPr>
                <w:sz w:val="24"/>
                <w:highlight w:val="none"/>
              </w:rPr>
            </w:pPr>
            <w:r>
              <w:rPr>
                <w:spacing w:val="-6"/>
                <w:sz w:val="24"/>
                <w:highlight w:val="none"/>
              </w:rPr>
              <w:t>磋商响应供应商存在下列情形之一的，将被认定为串通响应行为并作无效响应，</w:t>
            </w:r>
            <w:r>
              <w:rPr>
                <w:sz w:val="24"/>
                <w:highlight w:val="none"/>
              </w:rPr>
              <w:t>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eastAsia="宋体"/>
                <w:sz w:val="24"/>
                <w:highlight w:val="none"/>
                <w:lang w:val="en-US" w:eastAsia="zh-CN"/>
              </w:rPr>
            </w:pPr>
            <w:r>
              <w:rPr>
                <w:rFonts w:hint="eastAsia"/>
                <w:sz w:val="24"/>
                <w:highlight w:val="none"/>
                <w:lang w:val="en-US" w:eastAsia="zh-CN"/>
              </w:rPr>
              <w:t>2</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磋商响应供应商存在下列情形之一的，将被认定为串通响应行为并作无效响应处理：</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磋商响应供应商之间协商磋商报价等磋商文件的实质性内容；</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磋商响应供应商之间约定成交供应商；</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磋商响应供应商之间约定部分磋商响应供应商放弃磋商响应或者成交；</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48" w:firstLineChars="200"/>
              <w:jc w:val="both"/>
              <w:textAlignment w:val="auto"/>
              <w:rPr>
                <w:sz w:val="24"/>
                <w:highlight w:val="none"/>
              </w:rPr>
            </w:pPr>
            <w:r>
              <w:rPr>
                <w:spacing w:val="-8"/>
                <w:sz w:val="24"/>
                <w:highlight w:val="none"/>
              </w:rPr>
              <w:t>属于同一集团、协会、商会等组织成员的磋商响应供应商按照该组织要求协同磋商响应；</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磋商响应供应商之间为谋取成交或者排斥特定磋商响应供应商而采取的其他联合行动；</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不同磋商响应供应商的响应文件由同一单位或者个人编制；</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不同磋商响应供应商委托同一单位或者个人办理磋商响应事宜；</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不同磋商响应供应商的响应文件载明的项目管理成员为同一人；</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不同磋商响应供应商的响应文件异常一致或者报价呈规律性差异；</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不同磋商响应供应商的响应文件相互混装；</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不同磋商响应供应商的磋商保证金从同一单位或者个人的账户转出。</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64" w:firstLineChars="200"/>
              <w:jc w:val="both"/>
              <w:textAlignment w:val="auto"/>
              <w:rPr>
                <w:sz w:val="24"/>
                <w:highlight w:val="none"/>
              </w:rPr>
            </w:pPr>
            <w:r>
              <w:rPr>
                <w:spacing w:val="-4"/>
                <w:sz w:val="24"/>
                <w:highlight w:val="none"/>
              </w:rPr>
              <w:t>不同磋商响应供应商的响应文件错、漏之处一致或雷同， 且不能合理解释的；</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不同的磋商响应供应商的法定代表人、委托代理人等由同一个单位缴纳社会保险的：</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由同一人或分别由几个有利害关系的人携带两个以上（含两个）磋商响应供应商的企业资料参与资格审查、领取采购资料，或代表两个以上（含两个</w:t>
            </w:r>
            <w:r>
              <w:rPr>
                <w:spacing w:val="-34"/>
                <w:sz w:val="24"/>
                <w:highlight w:val="none"/>
              </w:rPr>
              <w:t>）</w:t>
            </w:r>
            <w:r>
              <w:rPr>
                <w:spacing w:val="-5"/>
                <w:sz w:val="24"/>
                <w:highlight w:val="none"/>
              </w:rPr>
              <w:t>磋商响应供应商参加项目答疑会、交纳或退还磋商保证金、参加磋商的；</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有关法律、法规或规章规定的其他串通行为。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default"/>
                <w:sz w:val="24"/>
                <w:highlight w:val="none"/>
                <w:lang w:val="en-US" w:eastAsia="zh-CN"/>
              </w:rPr>
            </w:pPr>
            <w:r>
              <w:rPr>
                <w:rFonts w:hint="eastAsia"/>
                <w:sz w:val="24"/>
                <w:highlight w:val="none"/>
                <w:lang w:val="en-US" w:eastAsia="zh-CN"/>
              </w:rPr>
              <w:t>3</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 xml:space="preserve">响应文件有效期：响应文件提交截止之日起 </w:t>
            </w:r>
            <w:r>
              <w:rPr>
                <w:rFonts w:ascii="Times New Roman" w:eastAsia="Times New Roman"/>
                <w:sz w:val="24"/>
                <w:highlight w:val="none"/>
              </w:rPr>
              <w:t xml:space="preserve">60 </w:t>
            </w:r>
            <w:r>
              <w:rPr>
                <w:sz w:val="24"/>
                <w:highlight w:val="none"/>
              </w:rPr>
              <w:t>日历天。有效期不足将导致其响应文件被拒绝。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4</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未按规定提交磋商保证金，将被视为未响应磋商文件要求，取消其磋商资格。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5</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实质性偏离是指：</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（1）实质性影响合同的范围、质量和履行；</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pacing w:val="-16"/>
                <w:sz w:val="24"/>
                <w:highlight w:val="none"/>
              </w:rPr>
              <w:t>（2）</w:t>
            </w:r>
            <w:r>
              <w:rPr>
                <w:spacing w:val="-6"/>
                <w:sz w:val="24"/>
                <w:highlight w:val="none"/>
              </w:rPr>
              <w:t>实质性违背磋商文件，限制了采购人的权利和成交供应商合同项下的义务；</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（3）不公正地影响了其他作出实质性响应的磋商供应商的竞 争地位。对没有实质性响应的磋商文件将不进行评审，其报价将被拒绝。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6</w:t>
            </w:r>
          </w:p>
        </w:tc>
        <w:tc>
          <w:tcPr>
            <w:tcW w:w="83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凡有下列情况之一者，响应文件也将被视为未实质性响应磋商文件要求：</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（1）响应文件未按照本须知规定进行密封、标记的；</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(2)</w:t>
            </w:r>
            <w:r>
              <w:rPr>
                <w:spacing w:val="-4"/>
                <w:sz w:val="24"/>
                <w:highlight w:val="none"/>
              </w:rPr>
              <w:t>未按规定由磋商响应供应商的法定代表人或其授权代表签字；或未加盖公章的；或授权代表未提供法定代表人有效授权委托书的；</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(3)磋商保证金未在磋商响应截止时间前到账的；</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(4)响应文件有效期不满足磋商文件要求的；</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(5)响应文件内容与采购内容及要求有重大偏离或保留的；</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(6)响应供应商提交的是可选择的报价；</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(7)响应供应商未按磋商文件要求进行分项报价；</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(8)响应文件中提供虚假或失实资料的；</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(9)不符合磋商文件中规定的其它实质性条款。</w:t>
            </w:r>
          </w:p>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磋商小组决定磋商响应供应商的响应性只根据响应文件本身的内容，而不寻求其他的外部证据。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ascii="Times New Roman"/>
                <w:sz w:val="21"/>
                <w:highlight w:val="none"/>
              </w:rPr>
            </w:pPr>
            <w:r>
              <w:rPr>
                <w:rFonts w:ascii="Times New Roman"/>
                <w:w w:val="99"/>
                <w:sz w:val="21"/>
                <w:highlight w:val="none"/>
              </w:rPr>
              <w:t>7</w:t>
            </w:r>
          </w:p>
        </w:tc>
        <w:tc>
          <w:tcPr>
            <w:tcW w:w="8398" w:type="dxa"/>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80"/>
              <w:jc w:val="both"/>
              <w:textAlignment w:val="auto"/>
              <w:rPr>
                <w:sz w:val="24"/>
                <w:highlight w:val="none"/>
              </w:rPr>
            </w:pPr>
            <w:r>
              <w:rPr>
                <w:sz w:val="24"/>
                <w:highlight w:val="none"/>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 可作无效报价处理。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ascii="Times New Roman"/>
                <w:sz w:val="21"/>
                <w:highlight w:val="none"/>
              </w:rPr>
            </w:pPr>
            <w:r>
              <w:rPr>
                <w:rFonts w:ascii="Times New Roman"/>
                <w:w w:val="99"/>
                <w:sz w:val="21"/>
                <w:highlight w:val="none"/>
              </w:rPr>
              <w:t>8</w:t>
            </w:r>
          </w:p>
        </w:tc>
        <w:tc>
          <w:tcPr>
            <w:tcW w:w="8398" w:type="dxa"/>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80"/>
              <w:jc w:val="both"/>
              <w:textAlignment w:val="auto"/>
              <w:rPr>
                <w:sz w:val="24"/>
                <w:highlight w:val="none"/>
              </w:rPr>
            </w:pPr>
            <w:r>
              <w:rPr>
                <w:sz w:val="24"/>
                <w:highlight w:val="none"/>
              </w:rPr>
              <w:t>磋商小组将对磋商文件中列明的合格磋商方应符合“资格性要求”部分做资格审查，没有提供相关证明文件或文件未按规定签署盖章者以无效磋商论。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ascii="Times New Roman"/>
                <w:sz w:val="21"/>
                <w:highlight w:val="none"/>
              </w:rPr>
            </w:pPr>
            <w:r>
              <w:rPr>
                <w:rFonts w:ascii="Times New Roman"/>
                <w:w w:val="99"/>
                <w:sz w:val="21"/>
                <w:highlight w:val="none"/>
              </w:rPr>
              <w:t>9</w:t>
            </w:r>
          </w:p>
        </w:tc>
        <w:tc>
          <w:tcPr>
            <w:tcW w:w="8398" w:type="dxa"/>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58" w:firstLineChars="200"/>
              <w:jc w:val="both"/>
              <w:textAlignment w:val="auto"/>
              <w:rPr>
                <w:b/>
                <w:sz w:val="24"/>
                <w:highlight w:val="none"/>
              </w:rPr>
            </w:pPr>
            <w:r>
              <w:rPr>
                <w:b/>
                <w:w w:val="95"/>
                <w:sz w:val="24"/>
                <w:highlight w:val="none"/>
              </w:rPr>
              <w:t>全文中带有“</w:t>
            </w:r>
            <w:r>
              <w:rPr>
                <w:rFonts w:ascii="Segoe Print" w:hAnsi="Segoe Print" w:eastAsia="Segoe Print"/>
                <w:b/>
                <w:w w:val="95"/>
                <w:sz w:val="24"/>
                <w:highlight w:val="none"/>
              </w:rPr>
              <w:t>*</w:t>
            </w:r>
            <w:r>
              <w:rPr>
                <w:b/>
                <w:w w:val="95"/>
                <w:sz w:val="24"/>
                <w:highlight w:val="none"/>
              </w:rPr>
              <w:t>”的条款为关键性条款，如磋商供应商对这些关键性条款还存在任何负偏离或不满足将导致报价无效。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0" w:hRule="atLeast"/>
        </w:trPr>
        <w:tc>
          <w:tcPr>
            <w:tcW w:w="94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ascii="Times New Roman"/>
                <w:sz w:val="21"/>
                <w:highlight w:val="none"/>
              </w:rPr>
            </w:pPr>
            <w:r>
              <w:rPr>
                <w:rFonts w:ascii="Times New Roman"/>
                <w:sz w:val="21"/>
                <w:highlight w:val="none"/>
              </w:rPr>
              <w:t>10</w:t>
            </w:r>
          </w:p>
        </w:tc>
        <w:tc>
          <w:tcPr>
            <w:tcW w:w="8398" w:type="dxa"/>
          </w:tcPr>
          <w:p>
            <w:pPr>
              <w:pStyle w:val="18"/>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80"/>
              <w:jc w:val="both"/>
              <w:textAlignment w:val="auto"/>
              <w:rPr>
                <w:sz w:val="24"/>
                <w:highlight w:val="none"/>
              </w:rPr>
            </w:pPr>
            <w:r>
              <w:rPr>
                <w:b/>
                <w:bCs/>
                <w:sz w:val="24"/>
                <w:highlight w:val="none"/>
              </w:rPr>
              <w:t>供应商应响应文件份数：正本壹份、副本叁份</w:t>
            </w:r>
            <w:r>
              <w:rPr>
                <w:b w:val="0"/>
                <w:bCs w:val="0"/>
                <w:sz w:val="24"/>
                <w:highlight w:val="none"/>
              </w:rPr>
              <w:t>；</w:t>
            </w:r>
            <w:r>
              <w:rPr>
                <w:b/>
                <w:bCs/>
                <w:sz w:val="24"/>
                <w:highlight w:val="none"/>
              </w:rPr>
              <w:t>响应文件包装、密封、盖章：正本和副本用一个密封袋包装，</w:t>
            </w:r>
            <w:r>
              <w:rPr>
                <w:rFonts w:hint="eastAsia"/>
                <w:b/>
                <w:bCs/>
                <w:sz w:val="24"/>
                <w:highlight w:val="none"/>
                <w:lang w:eastAsia="zh-CN"/>
              </w:rPr>
              <w:t>按</w:t>
            </w:r>
            <w:r>
              <w:rPr>
                <w:b/>
                <w:bCs/>
                <w:sz w:val="24"/>
                <w:highlight w:val="none"/>
              </w:rPr>
              <w:t>第</w:t>
            </w:r>
            <w:r>
              <w:rPr>
                <w:rFonts w:hint="eastAsia"/>
                <w:b/>
                <w:bCs/>
                <w:sz w:val="24"/>
                <w:highlight w:val="none"/>
                <w:lang w:val="en-US" w:eastAsia="zh-CN"/>
              </w:rPr>
              <w:t xml:space="preserve">六章 </w:t>
            </w:r>
            <w:r>
              <w:rPr>
                <w:b/>
                <w:bCs/>
                <w:sz w:val="24"/>
                <w:highlight w:val="none"/>
              </w:rPr>
              <w:t>投标文件（格式）包装；封口处加盖供应商单位公章及法定代表人印章，响应文件未按要求提供的可导致其磋商文件被拒绝。</w:t>
            </w: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磋商供应商须知前附表 3：磋商规则、评审标准</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tbl>
      <w:tblPr>
        <w:tblStyle w:val="14"/>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tcPr>
          <w:p>
            <w:pPr>
              <w:keepNext w:val="0"/>
              <w:keepLines w:val="0"/>
              <w:pageBreakBefore w:val="0"/>
              <w:widowControl w:val="0"/>
              <w:kinsoku/>
              <w:wordWrap/>
              <w:overflowPunct/>
              <w:topLinePunct w:val="0"/>
              <w:autoSpaceDE w:val="0"/>
              <w:autoSpaceDN w:val="0"/>
              <w:bidi w:val="0"/>
              <w:adjustRightInd/>
              <w:snapToGrid/>
              <w:spacing w:before="0" w:line="500" w:lineRule="exact"/>
              <w:ind w:left="103" w:right="0" w:firstLine="0"/>
              <w:jc w:val="left"/>
              <w:textAlignment w:val="auto"/>
              <w:rPr>
                <w:b/>
                <w:sz w:val="24"/>
                <w:highlight w:val="none"/>
              </w:rPr>
            </w:pPr>
            <w:r>
              <w:rPr>
                <w:b/>
                <w:w w:val="95"/>
                <w:sz w:val="24"/>
                <w:highlight w:val="none"/>
              </w:rPr>
              <w:t>一、磋商规则（参考）</w:t>
            </w:r>
          </w:p>
          <w:p>
            <w:pPr>
              <w:pStyle w:val="9"/>
              <w:keepNext w:val="0"/>
              <w:keepLines w:val="0"/>
              <w:pageBreakBefore w:val="0"/>
              <w:widowControl w:val="0"/>
              <w:kinsoku/>
              <w:wordWrap/>
              <w:overflowPunct/>
              <w:topLinePunct w:val="0"/>
              <w:autoSpaceDE w:val="0"/>
              <w:autoSpaceDN w:val="0"/>
              <w:bidi w:val="0"/>
              <w:adjustRightInd/>
              <w:snapToGrid/>
              <w:spacing w:before="2" w:line="500" w:lineRule="exact"/>
              <w:ind w:left="103" w:right="101" w:firstLine="480"/>
              <w:jc w:val="both"/>
              <w:textAlignment w:val="auto"/>
              <w:rPr>
                <w:highlight w:val="none"/>
              </w:rPr>
            </w:pPr>
            <w:r>
              <w:rPr>
                <w:highlight w:val="none"/>
              </w:rPr>
              <w:t>1.</w:t>
            </w:r>
            <w:r>
              <w:rPr>
                <w:spacing w:val="-5"/>
                <w:highlight w:val="none"/>
              </w:rPr>
              <w:t>采购代理机构按有关规定编制磋商文件，组建磋商小组。供应商按照磋商文件规定提交响应文件。</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right="101" w:firstLine="480"/>
              <w:jc w:val="both"/>
              <w:textAlignment w:val="auto"/>
              <w:rPr>
                <w:highlight w:val="none"/>
              </w:rPr>
            </w:pPr>
            <w:r>
              <w:rPr>
                <w:highlight w:val="none"/>
              </w:rPr>
              <w:t>2.</w:t>
            </w:r>
            <w:r>
              <w:rPr>
                <w:spacing w:val="-4"/>
                <w:highlight w:val="none"/>
              </w:rPr>
              <w:t>磋商小组审对磋商响应供应商进行资格性和符合性审查，磋商响应供应商不符合资格性及符合性条款和“*”条款要求，不进入磋商程序；磋商小组在对</w:t>
            </w:r>
            <w:r>
              <w:rPr>
                <w:spacing w:val="-11"/>
                <w:highlight w:val="none"/>
              </w:rPr>
              <w:t>响应文件的有效性、完整性和响应程度进行审查时，可以要求磋商响应供应商对</w:t>
            </w:r>
            <w:r>
              <w:rPr>
                <w:spacing w:val="-15"/>
                <w:highlight w:val="none"/>
              </w:rPr>
              <w:t>响应文件中含义不明确、同类问题表述不一致或者有明显文字和计算错误的内容等作出必要的澄清、说明或者更正。磋商响应供应商需以书面形式作出澄清、说</w:t>
            </w:r>
            <w:r>
              <w:rPr>
                <w:spacing w:val="-14"/>
                <w:highlight w:val="none"/>
              </w:rPr>
              <w:t>明或者更正，但澄清、说明或者更正不得超出响应文件的范围或者改变响应文件的实质性内容，同时也不接受磋商响应供应商主动澄清。符合实质性响应要求的磋商响应供应商进入磋商程序。</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right="132" w:firstLine="480"/>
              <w:jc w:val="both"/>
              <w:textAlignment w:val="auto"/>
              <w:rPr>
                <w:highlight w:val="none"/>
              </w:rPr>
            </w:pPr>
            <w:r>
              <w:rPr>
                <w:highlight w:val="none"/>
              </w:rPr>
              <w:t>3. 磋商小组所有成员应当集中与单一磋商响应供应商分别进行磋商，磋商顺序采用随机抽取的方法确认。</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right="101" w:firstLine="480"/>
              <w:jc w:val="both"/>
              <w:textAlignment w:val="auto"/>
              <w:rPr>
                <w:highlight w:val="none"/>
              </w:rPr>
            </w:pPr>
            <w:r>
              <w:rPr>
                <w:highlight w:val="none"/>
              </w:rPr>
              <w:t>4.</w:t>
            </w:r>
            <w:r>
              <w:rPr>
                <w:spacing w:val="-4"/>
                <w:highlight w:val="none"/>
              </w:rPr>
              <w:t>磋商小组对磋商文件和响应文件提出重点的磋商内容，根据磋商文件及有关规定，磋商小组与进入磋商程序的磋商响应供应商进行一轮或多轮磋商。</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right="101" w:firstLine="480"/>
              <w:jc w:val="both"/>
              <w:textAlignment w:val="auto"/>
              <w:rPr>
                <w:highlight w:val="none"/>
              </w:rPr>
            </w:pPr>
            <w:r>
              <w:rPr>
                <w:highlight w:val="none"/>
              </w:rPr>
              <w:t>5.</w:t>
            </w:r>
            <w:r>
              <w:rPr>
                <w:spacing w:val="-4"/>
                <w:highlight w:val="none"/>
              </w:rPr>
              <w:t>每轮磋商结束前由磋商小组决定是否需要进行下一轮磋商，如需要进行下一轮磋商，采购代理机构提前告知磋商响应供应商下一轮磋商时间。</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right="101" w:firstLine="480"/>
              <w:jc w:val="both"/>
              <w:textAlignment w:val="auto"/>
              <w:rPr>
                <w:rFonts w:ascii="宋体" w:hAnsi="宋体" w:eastAsia="宋体" w:cs="宋体"/>
                <w:spacing w:val="-5"/>
                <w:sz w:val="24"/>
                <w:szCs w:val="22"/>
                <w:highlight w:val="none"/>
                <w:lang w:val="en-US" w:eastAsia="en-US" w:bidi="ar-SA"/>
              </w:rPr>
            </w:pPr>
            <w:r>
              <w:rPr>
                <w:highlight w:val="none"/>
              </w:rPr>
              <w:t>6.</w:t>
            </w:r>
            <w:r>
              <w:rPr>
                <w:spacing w:val="-10"/>
                <w:highlight w:val="none"/>
              </w:rPr>
              <w:t>在磋商过程中，磋商小组可以根据磋商文件明确规定的可能实质性变动内</w:t>
            </w:r>
            <w:r>
              <w:rPr>
                <w:spacing w:val="-14"/>
                <w:highlight w:val="none"/>
              </w:rPr>
              <w:t>容变动磋商文</w:t>
            </w:r>
            <w:r>
              <w:rPr>
                <w:rFonts w:ascii="宋体" w:hAnsi="宋体" w:eastAsia="宋体" w:cs="宋体"/>
                <w:spacing w:val="-5"/>
                <w:sz w:val="24"/>
                <w:szCs w:val="22"/>
                <w:highlight w:val="none"/>
                <w:lang w:val="en-US" w:eastAsia="en-US" w:bidi="ar-SA"/>
              </w:rPr>
              <w:t>件；有实质性变动的，磋商小组应当以书面形式通知所有参加磋商的磋商响应供应商。</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60" w:firstLineChars="200"/>
              <w:jc w:val="both"/>
              <w:textAlignment w:val="auto"/>
              <w:rPr>
                <w:rFonts w:ascii="宋体" w:hAnsi="宋体" w:eastAsia="宋体" w:cs="宋体"/>
                <w:spacing w:val="-5"/>
                <w:sz w:val="24"/>
                <w:szCs w:val="22"/>
                <w:highlight w:val="none"/>
                <w:lang w:val="en-US" w:eastAsia="en-US" w:bidi="ar-SA"/>
              </w:rPr>
            </w:pPr>
            <w:r>
              <w:rPr>
                <w:rFonts w:ascii="宋体" w:hAnsi="宋体" w:eastAsia="宋体" w:cs="宋体"/>
                <w:spacing w:val="-5"/>
                <w:sz w:val="24"/>
                <w:szCs w:val="22"/>
                <w:highlight w:val="none"/>
                <w:lang w:val="en-US" w:eastAsia="en-US" w:bidi="ar-SA"/>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8.</w:t>
            </w:r>
            <w:r>
              <w:rPr>
                <w:spacing w:val="-5"/>
                <w:sz w:val="24"/>
                <w:highlight w:val="none"/>
              </w:rPr>
              <w:t>磋商响应供应商递交的响应文件澄清、更正等文件、最终报价应予密封并</w:t>
            </w:r>
            <w:r>
              <w:rPr>
                <w:spacing w:val="-11"/>
                <w:sz w:val="24"/>
                <w:highlight w:val="none"/>
              </w:rPr>
              <w:t>交至采购代理机构指定人员，报价部分单独密封。采购代理机构工作人员在收齐全部响应供应商材料后，统一送达磋商小组。</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9.</w:t>
            </w:r>
            <w:r>
              <w:rPr>
                <w:spacing w:val="-4"/>
                <w:sz w:val="24"/>
                <w:highlight w:val="none"/>
              </w:rPr>
              <w:t>经磋商确定最终采购需求和提交最后报价的磋商响应供应商后，由磋商小组采用综合评分法对提交最后报价的磋商响应供应商的响应文件和最后报价进行综合评分。</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10.参加磋商并代表磋商响应供应商签署响应文件的应该是磋商文件要求的响应供应商代表，磋商时应出示身份证原件。</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11.在磋商活动中，有关人员不得透露与磋商有关的一切技术资料、价格和其它信息给其他磋商响应供应商。</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sz w:val="24"/>
                <w:highlight w:val="none"/>
              </w:rPr>
            </w:pPr>
            <w:r>
              <w:rPr>
                <w:b/>
                <w:w w:val="95"/>
                <w:sz w:val="24"/>
                <w:highlight w:val="none"/>
              </w:rPr>
              <w:t>确定候选供应商原则</w:t>
            </w:r>
            <w:r>
              <w:rPr>
                <w:w w:val="95"/>
                <w:sz w:val="24"/>
                <w:highlight w:val="none"/>
              </w:rPr>
              <w:t>：</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A. 磋商小组采用综合评分的方法确定成交候选供应商，磋商小组按照：综</w:t>
            </w:r>
            <w:r>
              <w:rPr>
                <w:spacing w:val="-16"/>
                <w:sz w:val="24"/>
                <w:highlight w:val="none"/>
              </w:rPr>
              <w:t>合得分相同的，按照最后报价由低到高的顺序推荐；综合得分且最后报价相同的， 按照技术评分得分高低的顺序推荐；综合得分且最后报价及技术评分得分相同 的，按照商务评分得分优劣顺序推荐。</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pacing w:val="-12"/>
                <w:sz w:val="24"/>
                <w:highlight w:val="none"/>
              </w:rPr>
              <w:t>B.（□</w:t>
            </w:r>
            <w:r>
              <w:rPr>
                <w:sz w:val="24"/>
                <w:highlight w:val="none"/>
              </w:rPr>
              <w:t>是/否</w:t>
            </w:r>
            <w:r>
              <w:rPr>
                <w:spacing w:val="-44"/>
                <w:sz w:val="24"/>
                <w:highlight w:val="none"/>
              </w:rPr>
              <w:t>）</w:t>
            </w:r>
            <w:r>
              <w:rPr>
                <w:sz w:val="24"/>
                <w:highlight w:val="none"/>
              </w:rPr>
              <w:t>属于市场竞争不充分的科研项目以及需要扶持的科成果转化项目，成交候选供应商可以为 2 家；</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480" w:firstLineChars="200"/>
              <w:jc w:val="both"/>
              <w:textAlignment w:val="auto"/>
              <w:rPr>
                <w:sz w:val="24"/>
                <w:highlight w:val="none"/>
              </w:rPr>
            </w:pPr>
            <w:r>
              <w:rPr>
                <w:sz w:val="24"/>
                <w:highlight w:val="none"/>
              </w:rPr>
              <w:t>C.</w:t>
            </w:r>
            <w:r>
              <w:rPr>
                <w:spacing w:val="-5"/>
                <w:sz w:val="24"/>
                <w:highlight w:val="none"/>
              </w:rPr>
              <w:t>采用竞争性磋商采购方式的政府购买服务项目，在采购过程中符合要求的供应商只有2家的，竞争性磋商采购活动可以继续进行。采购过程中符合要</w:t>
            </w:r>
            <w:r>
              <w:rPr>
                <w:sz w:val="24"/>
                <w:highlight w:val="none"/>
              </w:rPr>
              <w:t>求的供应商只有1</w:t>
            </w:r>
            <w:r>
              <w:rPr>
                <w:spacing w:val="-10"/>
                <w:sz w:val="24"/>
                <w:highlight w:val="none"/>
              </w:rPr>
              <w:t>家的，应当终止竞争性采购活动，发布终止公告并说明原因，</w:t>
            </w:r>
            <w:r>
              <w:rPr>
                <w:spacing w:val="-13"/>
                <w:sz w:val="24"/>
                <w:highlight w:val="none"/>
              </w:rPr>
              <w:t>重新开展采购活动。在响应文件提交截止时间后至评审前，代理机构将先行查询</w:t>
            </w:r>
            <w:r>
              <w:rPr>
                <w:spacing w:val="-14"/>
                <w:sz w:val="24"/>
                <w:highlight w:val="none"/>
              </w:rPr>
              <w:t>供应商信用记录。查询渠道包括但不限于：中国政采购网：</w:t>
            </w:r>
            <w:r>
              <w:rPr>
                <w:sz w:val="24"/>
                <w:highlight w:val="none"/>
              </w:rPr>
              <w:t>http:</w:t>
            </w:r>
            <w:r>
              <w:rPr>
                <w:highlight w:val="none"/>
              </w:rPr>
              <w:fldChar w:fldCharType="begin"/>
            </w:r>
            <w:r>
              <w:rPr>
                <w:highlight w:val="none"/>
              </w:rPr>
              <w:instrText xml:space="preserve"> HYPERLINK "http://www.ccgp.gov.cn/" \h </w:instrText>
            </w:r>
            <w:r>
              <w:rPr>
                <w:highlight w:val="none"/>
              </w:rPr>
              <w:fldChar w:fldCharType="separate"/>
            </w:r>
            <w:r>
              <w:rPr>
                <w:sz w:val="24"/>
                <w:highlight w:val="none"/>
              </w:rPr>
              <w:t>//www.ccgp.gov.cn</w:t>
            </w:r>
            <w:r>
              <w:rPr>
                <w:sz w:val="24"/>
                <w:highlight w:val="none"/>
              </w:rPr>
              <w:fldChar w:fldCharType="end"/>
            </w:r>
            <w:r>
              <w:rPr>
                <w:sz w:val="24"/>
                <w:highlight w:val="none"/>
              </w:rPr>
              <w:t xml:space="preserve"> 、信用中国：</w:t>
            </w:r>
            <w:r>
              <w:rPr>
                <w:highlight w:val="none"/>
              </w:rPr>
              <w:fldChar w:fldCharType="begin"/>
            </w:r>
            <w:r>
              <w:rPr>
                <w:highlight w:val="none"/>
              </w:rPr>
              <w:instrText xml:space="preserve"> HYPERLINK "http://www.creditchina.gov.cn/" \h </w:instrText>
            </w:r>
            <w:r>
              <w:rPr>
                <w:highlight w:val="none"/>
              </w:rPr>
              <w:fldChar w:fldCharType="separate"/>
            </w:r>
            <w:r>
              <w:rPr>
                <w:sz w:val="24"/>
                <w:highlight w:val="none"/>
              </w:rPr>
              <w:t>http://www.creditchina.gov.cn/</w:t>
            </w:r>
            <w:r>
              <w:rPr>
                <w:sz w:val="24"/>
                <w:highlight w:val="none"/>
              </w:rPr>
              <w:fldChar w:fldCharType="end"/>
            </w:r>
            <w:r>
              <w:rPr>
                <w:sz w:val="24"/>
                <w:highlight w:val="none"/>
              </w:rPr>
              <w:t>、贵州省政府采购网：</w:t>
            </w:r>
            <w:r>
              <w:rPr>
                <w:highlight w:val="none"/>
              </w:rPr>
              <w:fldChar w:fldCharType="begin"/>
            </w:r>
            <w:r>
              <w:rPr>
                <w:highlight w:val="none"/>
              </w:rPr>
              <w:instrText xml:space="preserve"> HYPERLINK "http://www.ccgp-guizhou.gov.cn/" \h </w:instrText>
            </w:r>
            <w:r>
              <w:rPr>
                <w:highlight w:val="none"/>
              </w:rPr>
              <w:fldChar w:fldCharType="separate"/>
            </w:r>
            <w:r>
              <w:rPr>
                <w:sz w:val="24"/>
                <w:highlight w:val="none"/>
              </w:rPr>
              <w:t>http://www.ccgp-guizhou.gov.cn/</w:t>
            </w:r>
            <w:r>
              <w:rPr>
                <w:sz w:val="24"/>
                <w:highlight w:val="none"/>
              </w:rPr>
              <w:fldChar w:fldCharType="end"/>
            </w:r>
            <w:r>
              <w:rPr>
                <w:spacing w:val="-10"/>
                <w:sz w:val="24"/>
                <w:highlight w:val="none"/>
              </w:rPr>
              <w:t xml:space="preserve"> 等。对参加政府采购活动</w:t>
            </w:r>
            <w:r>
              <w:rPr>
                <w:spacing w:val="-15"/>
                <w:sz w:val="24"/>
                <w:highlight w:val="none"/>
              </w:rPr>
              <w:t>前三年内被列入失信被执行人、重大税收违法案件当事人名单、政府采购严重违</w:t>
            </w:r>
            <w:r>
              <w:rPr>
                <w:spacing w:val="-16"/>
                <w:sz w:val="24"/>
                <w:highlight w:val="none"/>
              </w:rPr>
              <w:t>法失信行为记录名单、“信用中国”警示警告名单，受到政府采购行政处罚或者</w:t>
            </w:r>
            <w:r>
              <w:rPr>
                <w:spacing w:val="-15"/>
                <w:sz w:val="24"/>
                <w:highlight w:val="none"/>
              </w:rPr>
              <w:t>存在行贿犯罪记录，且相关信用惩戒期限未满，以及其他不符合《中华人民共和</w:t>
            </w:r>
            <w:r>
              <w:rPr>
                <w:spacing w:val="-14"/>
                <w:sz w:val="24"/>
                <w:highlight w:val="none"/>
              </w:rPr>
              <w:t>国政府采购法》第二十二条规定条件的供应商，将查询结果提供给磋商小组，磋商小组将拒绝邀请该供应商进行磋商和报价。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both"/>
              <w:textAlignment w:val="auto"/>
              <w:rPr>
                <w:b/>
                <w:sz w:val="24"/>
                <w:highlight w:val="none"/>
              </w:rPr>
            </w:pPr>
            <w:r>
              <w:rPr>
                <w:b/>
                <w:w w:val="95"/>
                <w:sz w:val="24"/>
                <w:highlight w:val="none"/>
              </w:rPr>
              <w:t>二、磋商可能实质性变动的内容：</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both"/>
              <w:textAlignment w:val="auto"/>
              <w:rPr>
                <w:rFonts w:hint="eastAsia" w:eastAsia="宋体"/>
                <w:sz w:val="24"/>
                <w:highlight w:val="none"/>
                <w:lang w:val="en-US" w:eastAsia="zh-CN"/>
              </w:rPr>
            </w:pPr>
            <w:r>
              <w:rPr>
                <w:sz w:val="24"/>
                <w:highlight w:val="none"/>
              </w:rPr>
              <w:t>1.采购需求技术内容：</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both"/>
              <w:textAlignment w:val="auto"/>
              <w:rPr>
                <w:rFonts w:hint="eastAsia" w:eastAsia="宋体"/>
                <w:sz w:val="24"/>
                <w:highlight w:val="none"/>
                <w:lang w:val="en-US" w:eastAsia="zh-CN"/>
              </w:rPr>
            </w:pPr>
            <w:r>
              <w:rPr>
                <w:sz w:val="24"/>
                <w:highlight w:val="none"/>
              </w:rPr>
              <w:t>2.采购需求服务内容：</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both"/>
              <w:textAlignment w:val="auto"/>
              <w:rPr>
                <w:sz w:val="24"/>
                <w:highlight w:val="none"/>
              </w:rPr>
            </w:pPr>
            <w:r>
              <w:rPr>
                <w:sz w:val="24"/>
                <w:highlight w:val="none"/>
              </w:rPr>
              <w:t>3. 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b/>
                <w:sz w:val="24"/>
                <w:highlight w:val="none"/>
              </w:rPr>
            </w:pPr>
            <w:r>
              <w:rPr>
                <w:b/>
                <w:w w:val="95"/>
                <w:sz w:val="24"/>
                <w:highlight w:val="none"/>
              </w:rPr>
              <w:t>三、磋商评审标准</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b/>
                <w:sz w:val="24"/>
                <w:highlight w:val="none"/>
              </w:rPr>
              <w:t>综合评分法：</w:t>
            </w:r>
            <w:r>
              <w:rPr>
                <w:sz w:val="24"/>
                <w:highlight w:val="none"/>
              </w:rPr>
              <w:t>本项目采用综合评分法进行评审。</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sz w:val="24"/>
                <w:highlight w:val="none"/>
              </w:rPr>
              <w:t>（一）每位评委独立逐栏打分，每栏分值不得超出本栏规定的分值范围。</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pacing w:val="-8"/>
                <w:sz w:val="24"/>
                <w:highlight w:val="none"/>
              </w:rPr>
            </w:pPr>
            <w:r>
              <w:rPr>
                <w:sz w:val="24"/>
                <w:highlight w:val="none"/>
              </w:rPr>
              <w:t>（二）在贵州省发改委《贵州省综合评标专家库》中抽取相关专业专家 2</w:t>
            </w:r>
            <w:r>
              <w:rPr>
                <w:spacing w:val="-4"/>
                <w:sz w:val="24"/>
                <w:highlight w:val="none"/>
              </w:rPr>
              <w:t xml:space="preserve">人、采购人委派熟悉相关业务的代表 </w:t>
            </w:r>
            <w:r>
              <w:rPr>
                <w:sz w:val="24"/>
                <w:highlight w:val="none"/>
              </w:rPr>
              <w:t>1</w:t>
            </w:r>
            <w:r>
              <w:rPr>
                <w:spacing w:val="-24"/>
                <w:sz w:val="24"/>
                <w:highlight w:val="none"/>
              </w:rPr>
              <w:t xml:space="preserve"> 人，共 </w:t>
            </w:r>
            <w:r>
              <w:rPr>
                <w:sz w:val="24"/>
                <w:highlight w:val="none"/>
              </w:rPr>
              <w:t>3</w:t>
            </w:r>
            <w:r>
              <w:rPr>
                <w:spacing w:val="-8"/>
                <w:sz w:val="24"/>
                <w:highlight w:val="none"/>
              </w:rPr>
              <w:t>人组成磋商小组。</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pacing w:val="-8"/>
                <w:sz w:val="24"/>
                <w:highlight w:val="none"/>
              </w:rPr>
            </w:pPr>
            <w:r>
              <w:rPr>
                <w:spacing w:val="-8"/>
                <w:sz w:val="24"/>
                <w:highlight w:val="none"/>
              </w:rPr>
              <w:t>一、磋商小组</w:t>
            </w: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rFonts w:hint="eastAsia"/>
                <w:sz w:val="24"/>
                <w:highlight w:val="none"/>
                <w:lang w:val="en-US" w:eastAsia="zh-CN"/>
              </w:rPr>
              <w:t>1.</w:t>
            </w:r>
            <w:r>
              <w:rPr>
                <w:sz w:val="24"/>
                <w:highlight w:val="none"/>
              </w:rPr>
              <w:t>评标由磋商小组负责，与投标人有利害关系的人不得进入磋商小组。</w:t>
            </w:r>
          </w:p>
          <w:p>
            <w:pPr>
              <w:pStyle w:val="18"/>
              <w:keepNext w:val="0"/>
              <w:keepLines w:val="0"/>
              <w:pageBreakBefore w:val="0"/>
              <w:widowControl w:val="0"/>
              <w:numPr>
                <w:ilvl w:val="0"/>
                <w:numId w:val="0"/>
              </w:numPr>
              <w:tabs>
                <w:tab w:val="left" w:pos="824"/>
              </w:tabs>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rFonts w:hint="eastAsia"/>
                <w:sz w:val="24"/>
                <w:highlight w:val="none"/>
                <w:lang w:val="en-US" w:eastAsia="zh-CN"/>
              </w:rPr>
              <w:t>2.</w:t>
            </w:r>
            <w:r>
              <w:rPr>
                <w:sz w:val="24"/>
                <w:highlight w:val="none"/>
              </w:rPr>
              <w:t>磋商小组成员名单在成交结果确定前保密。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firstLine="482"/>
              <w:jc w:val="both"/>
              <w:textAlignment w:val="auto"/>
              <w:rPr>
                <w:highlight w:val="none"/>
              </w:rPr>
            </w:pPr>
            <w:r>
              <w:rPr>
                <w:sz w:val="24"/>
                <w:highlight w:val="none"/>
              </w:rPr>
              <w:t>磋商方法 ：</w:t>
            </w:r>
            <w:r>
              <w:rPr>
                <w:spacing w:val="-6"/>
                <w:highlight w:val="none"/>
              </w:rPr>
              <w:t>磋商小组在对响应文件的有效性、完整性和响应程度进行审查时，可以要求投标人对响应文件中含义不明确、同类问题表述不一致或者有明显文字和计算</w:t>
            </w:r>
            <w:r>
              <w:rPr>
                <w:spacing w:val="-10"/>
                <w:highlight w:val="none"/>
              </w:rPr>
              <w:t>错误的内容等作出必要的澄清、说明或者更正。磋商小组要求投标人澄清、说明</w:t>
            </w:r>
            <w:r>
              <w:rPr>
                <w:spacing w:val="-14"/>
                <w:highlight w:val="none"/>
              </w:rPr>
              <w:t>或者更正响应文件应当以书面形式作出。投标人的澄清、说明或者更正应当由法</w:t>
            </w:r>
            <w:r>
              <w:rPr>
                <w:spacing w:val="-17"/>
                <w:highlight w:val="none"/>
              </w:rPr>
              <w:t>定代表人或其授权代表签字或者加盖公章。由授权代表签字的，应当附法定代表</w:t>
            </w:r>
            <w:r>
              <w:rPr>
                <w:spacing w:val="-14"/>
                <w:highlight w:val="none"/>
              </w:rPr>
              <w:t>人授权书。投标人为自然人的，应当由本人签字并附身份证明。磋商小组所有成</w:t>
            </w:r>
            <w:r>
              <w:rPr>
                <w:spacing w:val="-18"/>
                <w:highlight w:val="none"/>
              </w:rPr>
              <w:t>员应当集中与单一投标人分别进行磋商，并给予所有参加磋商的投标人平等的磋</w:t>
            </w:r>
            <w:r>
              <w:rPr>
                <w:spacing w:val="-13"/>
                <w:highlight w:val="none"/>
              </w:rPr>
              <w:t>商机会。在磋商过程中，磋商小组可以根据磋商文件和磋商情况实质性变动采购</w:t>
            </w:r>
            <w:r>
              <w:rPr>
                <w:spacing w:val="-20"/>
                <w:highlight w:val="none"/>
              </w:rPr>
              <w:t>需求中的技术、服务要求以及合同草案条款，但不得变动磋商文件中的其他内容。</w:t>
            </w:r>
            <w:r>
              <w:rPr>
                <w:spacing w:val="-23"/>
                <w:highlight w:val="none"/>
              </w:rPr>
              <w:t>对磋商文件作出的实质性变动是磋商文件的有效组成部分，磋商小组应当及时以书面形式同时通知所有参加磋商的投标人。 投标人应当按照磋商文件的变动情</w:t>
            </w:r>
            <w:r>
              <w:rPr>
                <w:spacing w:val="-22"/>
                <w:highlight w:val="none"/>
              </w:rPr>
              <w:t>况和磋商小组的要求重新提交响应文件，并由其法定代表人或授权代表签字或者加盖公章。 磋商结束后，实质性响应的投标人须提交最后报价（以书面形式确</w:t>
            </w:r>
            <w:r>
              <w:rPr>
                <w:spacing w:val="-8"/>
                <w:highlight w:val="none"/>
              </w:rPr>
              <w:t>认，并由磋商投标人授权代表签署</w:t>
            </w:r>
            <w:r>
              <w:rPr>
                <w:spacing w:val="-29"/>
                <w:highlight w:val="none"/>
              </w:rPr>
              <w:t>）</w:t>
            </w:r>
            <w:r>
              <w:rPr>
                <w:spacing w:val="-6"/>
                <w:highlight w:val="none"/>
              </w:rPr>
              <w:t>。被磋商小组认定为未实质性响应磋商文件</w:t>
            </w:r>
            <w:r>
              <w:rPr>
                <w:spacing w:val="-11"/>
                <w:highlight w:val="none"/>
              </w:rPr>
              <w:t>的响应文件，投标人不再进入下一轮磋商报价。磋商确定最终采购需求和提交最</w:t>
            </w:r>
            <w:r>
              <w:rPr>
                <w:spacing w:val="-14"/>
                <w:highlight w:val="none"/>
              </w:rPr>
              <w:t>后报价的投标人后，由磋商小组采用综合评分法对提交最后报价的投标人的响应</w:t>
            </w:r>
            <w:r>
              <w:rPr>
                <w:spacing w:val="-16"/>
                <w:highlight w:val="none"/>
              </w:rPr>
              <w:t>文件和最后报价进行综合评分。磋商小组应当根据综合评分情况，按照评审得分由高到低顺序推荐 3 名成交候选投标人，并编写评审报告。评审得分且最后报价相同的，按照技术指标优劣顺序推荐。</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三、评分因素</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460" w:leftChars="100" w:right="220" w:rightChars="100" w:hanging="240"/>
              <w:jc w:val="both"/>
              <w:textAlignment w:val="auto"/>
              <w:rPr>
                <w:highlight w:val="none"/>
              </w:rPr>
            </w:pPr>
            <w:r>
              <w:rPr>
                <w:rFonts w:hint="eastAsia"/>
                <w:highlight w:val="none"/>
                <w:lang w:val="en-US" w:eastAsia="zh-CN"/>
              </w:rPr>
              <w:t>（一</w:t>
            </w:r>
            <w:r>
              <w:rPr>
                <w:highlight w:val="none"/>
              </w:rPr>
              <w:t>）评分细则及各项评标因素分值如下：详见《评分标准》。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注：计算最终得分保留小数两位。</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firstLine="480"/>
              <w:jc w:val="both"/>
              <w:textAlignment w:val="auto"/>
              <w:rPr>
                <w:highlight w:val="none"/>
              </w:rPr>
            </w:pPr>
            <w:r>
              <w:rPr>
                <w:highlight w:val="none"/>
              </w:rPr>
              <w:t>（二</w:t>
            </w:r>
            <w:r>
              <w:rPr>
                <w:spacing w:val="-22"/>
                <w:highlight w:val="none"/>
              </w:rPr>
              <w:t>）</w:t>
            </w:r>
            <w:r>
              <w:rPr>
                <w:spacing w:val="-7"/>
                <w:highlight w:val="none"/>
              </w:rPr>
              <w:t>排序原则：按评审得分由高到低顺序排序。得分相同的，按投标报价由低到高顺序排列。得分且投标报价相同的，按技术指标优劣顺序排列。</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三、评分标准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1、评分因素</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firstLine="480"/>
              <w:jc w:val="both"/>
              <w:textAlignment w:val="auto"/>
              <w:rPr>
                <w:highlight w:val="none"/>
              </w:rPr>
            </w:pPr>
            <w:r>
              <w:rPr>
                <w:spacing w:val="-4"/>
                <w:highlight w:val="none"/>
              </w:rPr>
              <w:t>评分的主要因素分为价格因素、技术因素</w:t>
            </w:r>
            <w:r>
              <w:rPr>
                <w:highlight w:val="none"/>
              </w:rPr>
              <w:t>（</w:t>
            </w:r>
            <w:r>
              <w:rPr>
                <w:spacing w:val="-6"/>
                <w:highlight w:val="none"/>
              </w:rPr>
              <w:t>如技术参数、备品备件要求、产品质量等）和商务因素（如信誉、业绩、服务期、质保期、优惠条件等）。评</w:t>
            </w:r>
            <w:r>
              <w:rPr>
                <w:spacing w:val="-11"/>
                <w:highlight w:val="none"/>
              </w:rPr>
              <w:t>分因素详见评分表。评标分值保留至两位小数。评标时，评标专家依照评分表对每个有效供应商的投标文件进行独立评价、打分。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（见评分表）</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firstLine="480"/>
              <w:jc w:val="both"/>
              <w:textAlignment w:val="auto"/>
              <w:rPr>
                <w:highlight w:val="none"/>
              </w:rPr>
            </w:pPr>
            <w:r>
              <w:rPr>
                <w:spacing w:val="-5"/>
                <w:highlight w:val="none"/>
              </w:rPr>
              <w:t>采购人在收到评审报告后五个工作日内，根据成交候选供应商排列顺序确定第一名成交候选供应商为成交供应商。</w:t>
            </w:r>
          </w:p>
          <w:p>
            <w:pPr>
              <w:pStyle w:val="18"/>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both"/>
              <w:textAlignment w:val="auto"/>
              <w:rPr>
                <w:sz w:val="24"/>
                <w:highlight w:val="none"/>
              </w:rPr>
            </w:pPr>
            <w:r>
              <w:rPr>
                <w:spacing w:val="-6"/>
                <w:highlight w:val="none"/>
              </w:rPr>
              <w:t>成交供应商拒绝签订政府采购合同的，采购人可以按照成交候选供应商的排序顺序由高到低原则确定其他候选供应商作为成交供应商并签订政府采购合同，</w:t>
            </w:r>
            <w:r>
              <w:rPr>
                <w:spacing w:val="-12"/>
                <w:highlight w:val="none"/>
              </w:rPr>
              <w:t>也可以重新开展采购活动。无正当理由拒绝签订政府采购合同的成交供应商不得</w:t>
            </w:r>
            <w:r>
              <w:rPr>
                <w:spacing w:val="-17"/>
                <w:highlight w:val="none"/>
              </w:rPr>
              <w:t>参加对该项目重新开展的采购活动，将被没收磋商保证金，依法追究并承担相应的法律责任。</w:t>
            </w: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237" w:lineRule="auto"/>
        <w:ind w:left="0" w:right="0"/>
        <w:jc w:val="both"/>
        <w:textAlignment w:val="auto"/>
        <w:rPr>
          <w:highlight w:val="none"/>
        </w:rPr>
        <w:sectPr>
          <w:footerReference r:id="rId4" w:type="default"/>
          <w:pgSz w:w="11910" w:h="16840"/>
          <w:pgMar w:top="1380" w:right="1560" w:bottom="820" w:left="1560" w:header="0" w:footer="964"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tbl>
      <w:tblPr>
        <w:tblStyle w:val="13"/>
        <w:tblW w:w="1400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545"/>
        <w:gridCol w:w="6150"/>
        <w:gridCol w:w="1350"/>
        <w:gridCol w:w="1365"/>
        <w:gridCol w:w="133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blHeader/>
        </w:trPr>
        <w:tc>
          <w:tcPr>
            <w:tcW w:w="14000" w:type="dxa"/>
            <w:gridSpan w:val="7"/>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31"/>
                <w:highlight w:val="none"/>
              </w:rPr>
            </w:pPr>
            <w:r>
              <w:rPr>
                <w:b/>
                <w:w w:val="95"/>
                <w:sz w:val="31"/>
                <w:highlight w:val="none"/>
              </w:rPr>
              <w:t>资格、符合性审查表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blHeader/>
        </w:trPr>
        <w:tc>
          <w:tcPr>
            <w:tcW w:w="14000" w:type="dxa"/>
            <w:gridSpan w:val="7"/>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4"/>
                <w:highlight w:val="none"/>
              </w:rPr>
            </w:pPr>
            <w:r>
              <w:rPr>
                <w:sz w:val="24"/>
                <w:highlight w:val="none"/>
              </w:rPr>
              <w:t>项目名称：</w:t>
            </w:r>
            <w:r>
              <w:rPr>
                <w:rFonts w:hint="eastAsia"/>
                <w:sz w:val="24"/>
                <w:highlight w:val="none"/>
              </w:rPr>
              <w:t>江口县德旺乡净河村地表径流污水净化利用示范项目工程量清单采购</w:t>
            </w: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项目编号：</w:t>
            </w:r>
            <w:r>
              <w:rPr>
                <w:rFonts w:hint="eastAsia"/>
                <w:sz w:val="24"/>
                <w:highlight w:val="none"/>
                <w:lang w:val="en-US" w:eastAsia="zh-CN"/>
              </w:rPr>
              <w:t>GZJL-ZBCG-CG-20003(V)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blHeader/>
        </w:trPr>
        <w:tc>
          <w:tcPr>
            <w:tcW w:w="14000" w:type="dxa"/>
            <w:gridSpan w:val="7"/>
            <w:tcBorders>
              <w:bottom w:val="single" w:color="000000" w:sz="6"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4"/>
                <w:highlight w:val="none"/>
              </w:rPr>
            </w:pPr>
            <w:r>
              <w:rPr>
                <w:sz w:val="24"/>
                <w:highlight w:val="none"/>
              </w:rPr>
              <w:t>评标地点：铜仁市公共资源交易中心</w:t>
            </w:r>
            <w:r>
              <w:rPr>
                <w:rFonts w:hint="eastAsia"/>
                <w:sz w:val="24"/>
                <w:highlight w:val="none"/>
                <w:lang w:eastAsia="zh-CN"/>
              </w:rPr>
              <w:t>江口</w:t>
            </w:r>
            <w:r>
              <w:rPr>
                <w:sz w:val="24"/>
                <w:highlight w:val="none"/>
              </w:rPr>
              <w:t>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blHeader/>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序号</w:t>
            </w:r>
          </w:p>
        </w:tc>
        <w:tc>
          <w:tcPr>
            <w:tcW w:w="7695" w:type="dxa"/>
            <w:gridSpan w:val="2"/>
            <w:tcBorders>
              <w:tl2br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sz w:val="24"/>
                <w:highlight w:val="none"/>
                <w:lang w:eastAsia="zh-CN"/>
              </w:rPr>
            </w:pPr>
            <w:r>
              <w:rPr>
                <w:rFonts w:hint="eastAsia"/>
                <w:sz w:val="24"/>
                <w:highlight w:val="none"/>
                <w:lang w:val="en-US" w:eastAsia="zh-CN"/>
              </w:rPr>
              <w:t xml:space="preserve">           </w:t>
            </w:r>
            <w:r>
              <w:rPr>
                <w:rFonts w:hint="eastAsia"/>
                <w:sz w:val="24"/>
                <w:highlight w:val="none"/>
                <w:lang w:eastAsia="zh-CN"/>
              </w:rPr>
              <w:t>供应商名称</w:t>
            </w: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firstLine="960" w:firstLineChars="400"/>
              <w:jc w:val="both"/>
              <w:textAlignment w:val="auto"/>
              <w:rPr>
                <w:rFonts w:hint="eastAsia"/>
                <w:sz w:val="24"/>
                <w:highlight w:val="none"/>
                <w:lang w:eastAsia="zh-CN"/>
              </w:rPr>
            </w:pPr>
            <w:r>
              <w:rPr>
                <w:rFonts w:hint="eastAsia"/>
                <w:sz w:val="24"/>
                <w:highlight w:val="none"/>
                <w:lang w:eastAsia="zh-CN"/>
              </w:rPr>
              <w:t>资格审查项目</w:t>
            </w:r>
          </w:p>
        </w:tc>
        <w:tc>
          <w:tcPr>
            <w:tcW w:w="135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1</w:t>
            </w:r>
          </w:p>
        </w:tc>
        <w:tc>
          <w:tcPr>
            <w:tcW w:w="136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2</w:t>
            </w:r>
          </w:p>
        </w:tc>
        <w:tc>
          <w:tcPr>
            <w:tcW w:w="133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3</w:t>
            </w:r>
          </w:p>
        </w:tc>
        <w:tc>
          <w:tcPr>
            <w:tcW w:w="125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1</w:t>
            </w:r>
          </w:p>
        </w:tc>
        <w:tc>
          <w:tcPr>
            <w:tcW w:w="154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资格性要求</w:t>
            </w:r>
          </w:p>
        </w:tc>
        <w:tc>
          <w:tcPr>
            <w:tcW w:w="6150" w:type="dxa"/>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1"/>
                <w:szCs w:val="21"/>
                <w:highlight w:val="none"/>
              </w:rPr>
            </w:pPr>
            <w:r>
              <w:rPr>
                <w:sz w:val="21"/>
                <w:szCs w:val="21"/>
                <w:highlight w:val="none"/>
              </w:rPr>
              <w:t>合格的磋商供应商一般资格要求：</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jc w:val="both"/>
              <w:textAlignment w:val="auto"/>
              <w:rPr>
                <w:sz w:val="21"/>
                <w:szCs w:val="21"/>
                <w:highlight w:val="none"/>
              </w:rPr>
            </w:pPr>
            <w:r>
              <w:rPr>
                <w:sz w:val="21"/>
                <w:szCs w:val="21"/>
                <w:highlight w:val="none"/>
              </w:rPr>
              <w:t>（一</w:t>
            </w:r>
            <w:r>
              <w:rPr>
                <w:spacing w:val="-32"/>
                <w:sz w:val="21"/>
                <w:szCs w:val="21"/>
                <w:highlight w:val="none"/>
              </w:rPr>
              <w:t>）</w:t>
            </w:r>
            <w:r>
              <w:rPr>
                <w:spacing w:val="-3"/>
                <w:sz w:val="21"/>
                <w:szCs w:val="21"/>
                <w:highlight w:val="none"/>
              </w:rPr>
              <w:t>符合政府采购法第二十二条规定，提供政府采购法实施条例第十七条规定资料。</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jc w:val="both"/>
              <w:textAlignment w:val="auto"/>
              <w:rPr>
                <w:sz w:val="21"/>
                <w:szCs w:val="21"/>
                <w:highlight w:val="none"/>
              </w:rPr>
            </w:pPr>
            <w:r>
              <w:rPr>
                <w:sz w:val="21"/>
                <w:szCs w:val="21"/>
                <w:highlight w:val="none"/>
              </w:rPr>
              <w:t>1.</w:t>
            </w:r>
            <w:r>
              <w:rPr>
                <w:spacing w:val="-5"/>
                <w:sz w:val="21"/>
                <w:szCs w:val="21"/>
                <w:highlight w:val="none"/>
              </w:rPr>
              <w:t>具有独立承担民事责任的能力：</w:t>
            </w:r>
            <w:r>
              <w:rPr>
                <w:rFonts w:hint="eastAsia"/>
                <w:spacing w:val="-5"/>
                <w:sz w:val="21"/>
                <w:szCs w:val="21"/>
                <w:highlight w:val="none"/>
              </w:rPr>
              <w:t>具备有效的工商营业执照副本（三证合一）复印件加盖鲜章（或营业执照、税务登记证、组织机构代码证）</w:t>
            </w:r>
            <w:r>
              <w:rPr>
                <w:sz w:val="21"/>
                <w:szCs w:val="21"/>
                <w:highlight w:val="none"/>
              </w:rPr>
              <w:t>；</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sz w:val="21"/>
                <w:szCs w:val="21"/>
                <w:highlight w:val="none"/>
              </w:rPr>
            </w:pPr>
            <w:r>
              <w:rPr>
                <w:sz w:val="21"/>
                <w:szCs w:val="21"/>
                <w:highlight w:val="none"/>
              </w:rPr>
              <w:t>2.具有良好的商业信誉和健全的财务会计制度：提供2018年度经审计的财务状况报告材料或提供2019年任意一个月份的财务报表（新成立企业可根据自身情况酌情递交相关材料）；</w:t>
            </w:r>
          </w:p>
          <w:p>
            <w:pPr>
              <w:pStyle w:val="18"/>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exact"/>
              <w:ind w:left="0" w:right="0" w:firstLine="480"/>
              <w:jc w:val="both"/>
              <w:textAlignment w:val="auto"/>
              <w:rPr>
                <w:spacing w:val="-4"/>
                <w:sz w:val="21"/>
                <w:szCs w:val="21"/>
                <w:highlight w:val="none"/>
              </w:rPr>
            </w:pPr>
            <w:r>
              <w:rPr>
                <w:spacing w:val="-4"/>
                <w:sz w:val="21"/>
                <w:szCs w:val="21"/>
                <w:highlight w:val="none"/>
              </w:rPr>
              <w:t>具有依法缴纳税收和社会保障资金的良好记录：提供201</w:t>
            </w:r>
            <w:r>
              <w:rPr>
                <w:rFonts w:hint="eastAsia"/>
                <w:spacing w:val="-4"/>
                <w:sz w:val="21"/>
                <w:szCs w:val="21"/>
                <w:highlight w:val="none"/>
                <w:lang w:val="en-US" w:eastAsia="zh-CN"/>
              </w:rPr>
              <w:t>9</w:t>
            </w:r>
            <w:r>
              <w:rPr>
                <w:spacing w:val="-4"/>
                <w:sz w:val="21"/>
                <w:szCs w:val="21"/>
                <w:highlight w:val="none"/>
              </w:rPr>
              <w:t>年度连续三个月依法缴纳税收和201</w:t>
            </w:r>
            <w:r>
              <w:rPr>
                <w:rFonts w:hint="eastAsia"/>
                <w:spacing w:val="-4"/>
                <w:sz w:val="21"/>
                <w:szCs w:val="21"/>
                <w:highlight w:val="none"/>
                <w:lang w:val="en-US" w:eastAsia="zh-CN"/>
              </w:rPr>
              <w:t>9</w:t>
            </w:r>
            <w:r>
              <w:rPr>
                <w:spacing w:val="-4"/>
                <w:sz w:val="21"/>
                <w:szCs w:val="21"/>
                <w:highlight w:val="none"/>
              </w:rPr>
              <w:t>年</w:t>
            </w:r>
            <w:r>
              <w:rPr>
                <w:rFonts w:hint="eastAsia"/>
                <w:spacing w:val="-4"/>
                <w:sz w:val="21"/>
                <w:szCs w:val="21"/>
                <w:highlight w:val="none"/>
                <w:lang w:val="en-US" w:eastAsia="zh-CN"/>
              </w:rPr>
              <w:t>任意3个月</w:t>
            </w:r>
            <w:r>
              <w:rPr>
                <w:spacing w:val="-4"/>
                <w:sz w:val="21"/>
                <w:szCs w:val="21"/>
                <w:highlight w:val="none"/>
              </w:rPr>
              <w:t>社会保障资金的有效证明材料。（不需要缴纳社保资金的供应商以自已提供的承诺作为证明材料）</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jc w:val="both"/>
              <w:textAlignment w:val="auto"/>
              <w:rPr>
                <w:sz w:val="21"/>
                <w:szCs w:val="21"/>
                <w:highlight w:val="none"/>
              </w:rPr>
            </w:pPr>
            <w:r>
              <w:rPr>
                <w:sz w:val="21"/>
                <w:szCs w:val="21"/>
                <w:highlight w:val="none"/>
              </w:rPr>
              <w:t>4.参加本次政府采购活动前三年内，在经营活动中没有违法违规记录：提供参加政府采购活动前</w:t>
            </w:r>
            <w:r>
              <w:rPr>
                <w:rFonts w:hint="eastAsia"/>
                <w:sz w:val="21"/>
                <w:szCs w:val="21"/>
                <w:highlight w:val="none"/>
                <w:lang w:val="en-US" w:eastAsia="zh-CN"/>
              </w:rPr>
              <w:t xml:space="preserve"> </w:t>
            </w:r>
            <w:r>
              <w:rPr>
                <w:sz w:val="21"/>
                <w:szCs w:val="21"/>
                <w:highlight w:val="none"/>
              </w:rPr>
              <w:t>3</w:t>
            </w:r>
            <w:r>
              <w:rPr>
                <w:rFonts w:hint="eastAsia"/>
                <w:sz w:val="21"/>
                <w:szCs w:val="21"/>
                <w:highlight w:val="none"/>
                <w:lang w:val="en-US" w:eastAsia="zh-CN"/>
              </w:rPr>
              <w:t xml:space="preserve"> </w:t>
            </w:r>
            <w:r>
              <w:rPr>
                <w:sz w:val="21"/>
                <w:szCs w:val="21"/>
                <w:highlight w:val="none"/>
              </w:rPr>
              <w:t>年内在经营活动中没有重大违法记录的书面声明；</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jc w:val="both"/>
              <w:textAlignment w:val="auto"/>
              <w:rPr>
                <w:spacing w:val="-7"/>
                <w:sz w:val="21"/>
                <w:szCs w:val="21"/>
                <w:highlight w:val="none"/>
              </w:rPr>
            </w:pPr>
            <w:r>
              <w:rPr>
                <w:sz w:val="21"/>
                <w:szCs w:val="21"/>
                <w:highlight w:val="none"/>
              </w:rPr>
              <w:t>5.法律、行政法规规定的其他条件：提供诚信资格证明材料：对列入失信被执行人、重大税收违法案件当事人名单、政府采购严重违法失信行为记录名单及其他不符合《中华人民共和国政府采购法》第二十二条规定条件的供应商，拒绝其参与投标。在</w:t>
            </w:r>
            <w:r>
              <w:rPr>
                <w:rFonts w:hint="eastAsia"/>
                <w:sz w:val="21"/>
                <w:szCs w:val="21"/>
                <w:highlight w:val="none"/>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autoSpaceDE w:val="0"/>
              <w:autoSpaceDN w:val="0"/>
              <w:adjustRightInd w:val="0"/>
              <w:spacing w:line="400" w:lineRule="exact"/>
              <w:ind w:right="-158"/>
              <w:rPr>
                <w:rFonts w:hint="default" w:eastAsia="宋体"/>
                <w:kern w:val="0"/>
                <w:sz w:val="24"/>
                <w:highlight w:val="none"/>
                <w:lang w:val="en-US" w:eastAsia="zh-CN"/>
              </w:rPr>
            </w:pPr>
            <w:r>
              <w:rPr>
                <w:spacing w:val="-7"/>
                <w:sz w:val="21"/>
                <w:szCs w:val="21"/>
                <w:highlight w:val="none"/>
              </w:rPr>
              <w:t>（二）特殊资格要求：</w:t>
            </w:r>
            <w:r>
              <w:rPr>
                <w:rFonts w:hint="eastAsia"/>
                <w:spacing w:val="-7"/>
                <w:sz w:val="21"/>
                <w:szCs w:val="21"/>
                <w:highlight w:val="none"/>
                <w:lang w:val="en-US" w:eastAsia="zh-CN"/>
              </w:rPr>
              <w:t>市政公用</w:t>
            </w:r>
            <w:r>
              <w:rPr>
                <w:rFonts w:hint="eastAsia"/>
                <w:spacing w:val="-7"/>
                <w:sz w:val="21"/>
                <w:szCs w:val="21"/>
                <w:highlight w:val="none"/>
              </w:rPr>
              <w:t>工程施工</w:t>
            </w:r>
            <w:r>
              <w:rPr>
                <w:rFonts w:hint="eastAsia"/>
                <w:spacing w:val="-7"/>
                <w:sz w:val="21"/>
                <w:szCs w:val="21"/>
                <w:highlight w:val="none"/>
                <w:lang w:eastAsia="zh-CN"/>
              </w:rPr>
              <w:t>总承包</w:t>
            </w:r>
            <w:r>
              <w:rPr>
                <w:rFonts w:hint="eastAsia"/>
                <w:spacing w:val="-7"/>
                <w:sz w:val="21"/>
                <w:szCs w:val="21"/>
                <w:highlight w:val="none"/>
              </w:rPr>
              <w:t>三级及以上资质</w:t>
            </w:r>
            <w:r>
              <w:rPr>
                <w:rFonts w:hint="eastAsia"/>
                <w:spacing w:val="-7"/>
                <w:sz w:val="21"/>
                <w:szCs w:val="21"/>
                <w:highlight w:val="none"/>
                <w:lang w:eastAsia="zh-CN"/>
              </w:rPr>
              <w:t>、</w:t>
            </w:r>
            <w:r>
              <w:rPr>
                <w:rFonts w:hint="eastAsia"/>
                <w:spacing w:val="-7"/>
                <w:sz w:val="21"/>
                <w:szCs w:val="21"/>
                <w:highlight w:val="none"/>
              </w:rPr>
              <w:t>有效期内的安全生产许可证；</w:t>
            </w:r>
            <w:r>
              <w:rPr>
                <w:rFonts w:hint="eastAsia"/>
                <w:spacing w:val="-7"/>
                <w:sz w:val="21"/>
                <w:szCs w:val="21"/>
                <w:highlight w:val="none"/>
                <w:lang w:val="en-US" w:eastAsia="zh-CN"/>
              </w:rPr>
              <w:t>项目经理需具备市政工程专业二级及以上注册建造师，</w:t>
            </w:r>
            <w:r>
              <w:rPr>
                <w:rFonts w:hint="eastAsia" w:ascii="Calibri" w:hAnsi="Calibri" w:cs="宋体"/>
                <w:kern w:val="0"/>
                <w:sz w:val="24"/>
                <w:highlight w:val="none"/>
                <w:lang w:val="en-US" w:eastAsia="zh-CN"/>
              </w:rPr>
              <w:t>并在人员、设备、资金上等方面具备相应的能力。</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firstLineChars="200"/>
              <w:jc w:val="both"/>
              <w:textAlignment w:val="auto"/>
              <w:rPr>
                <w:sz w:val="24"/>
                <w:highlight w:val="none"/>
              </w:rPr>
            </w:pP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2</w:t>
            </w:r>
          </w:p>
        </w:tc>
        <w:tc>
          <w:tcPr>
            <w:tcW w:w="1545"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3"/>
                <w:highlight w:val="none"/>
              </w:rPr>
            </w:pPr>
            <w:r>
              <w:rPr>
                <w:sz w:val="23"/>
                <w:highlight w:val="none"/>
              </w:rPr>
              <w:t>符合性要求</w:t>
            </w:r>
          </w:p>
        </w:tc>
        <w:tc>
          <w:tcPr>
            <w:tcW w:w="615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leftChars="0" w:right="0" w:rightChars="0"/>
              <w:jc w:val="both"/>
              <w:textAlignment w:val="auto"/>
              <w:rPr>
                <w:spacing w:val="-7"/>
                <w:sz w:val="21"/>
                <w:szCs w:val="21"/>
                <w:highlight w:val="none"/>
              </w:rPr>
            </w:pPr>
            <w:r>
              <w:rPr>
                <w:sz w:val="24"/>
                <w:highlight w:val="none"/>
              </w:rPr>
              <w:t>磋商代表若不是法定代表人，则必须提供法定代表人对磋商代表的授权书原件及磋商代表的身份证复印件（正反面均需复印）。</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rFonts w:hint="eastAsia"/>
                <w:sz w:val="24"/>
                <w:highlight w:val="none"/>
                <w:lang w:val="en-US" w:eastAsia="zh-CN"/>
              </w:rPr>
              <w:t>3</w:t>
            </w:r>
          </w:p>
        </w:tc>
        <w:tc>
          <w:tcPr>
            <w:tcW w:w="1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both"/>
              <w:textAlignment w:val="auto"/>
              <w:rPr>
                <w:spacing w:val="-7"/>
                <w:sz w:val="21"/>
                <w:szCs w:val="21"/>
                <w:highlight w:val="none"/>
              </w:rPr>
            </w:pPr>
            <w:r>
              <w:rPr>
                <w:sz w:val="24"/>
                <w:highlight w:val="none"/>
              </w:rPr>
              <w:t>参加政府采购活动的磋商供应商应当具备《中华人民共和国政府采购法》。</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rFonts w:hint="eastAsia"/>
                <w:sz w:val="24"/>
                <w:highlight w:val="none"/>
                <w:lang w:val="en-US" w:eastAsia="zh-CN"/>
              </w:rPr>
              <w:t>4</w:t>
            </w:r>
          </w:p>
        </w:tc>
        <w:tc>
          <w:tcPr>
            <w:tcW w:w="1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leftChars="0" w:right="0" w:rightChars="0"/>
              <w:jc w:val="both"/>
              <w:textAlignment w:val="auto"/>
              <w:rPr>
                <w:spacing w:val="-7"/>
                <w:sz w:val="21"/>
                <w:szCs w:val="21"/>
                <w:highlight w:val="none"/>
              </w:rPr>
            </w:pPr>
            <w:r>
              <w:rPr>
                <w:sz w:val="24"/>
                <w:highlight w:val="none"/>
              </w:rPr>
              <w:t>磋商供应商的响应文件未按规定的响应截止时间之前提交的，其响应将被拒绝。</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rFonts w:hint="eastAsia"/>
                <w:sz w:val="24"/>
                <w:highlight w:val="none"/>
                <w:lang w:val="en-US" w:eastAsia="zh-CN"/>
              </w:rPr>
            </w:pPr>
            <w:r>
              <w:rPr>
                <w:sz w:val="24"/>
                <w:highlight w:val="none"/>
              </w:rPr>
              <w:t>5</w:t>
            </w:r>
          </w:p>
        </w:tc>
        <w:tc>
          <w:tcPr>
            <w:tcW w:w="1545" w:type="dxa"/>
            <w:vMerge w:val="continue"/>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76" w:lineRule="exact"/>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磋商供应商存在下列情形之一的，将被认定为串通响应行</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为并作无效响应处理：</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（1）磋商响应供应商之间协商磋商报价等磋商响应文件的实质性内容；</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（2）磋商响应供应商之间约定成交供应商；</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（3）磋商响应供应商之间约定部分磋商响应供应商放弃磋商响应或者成交；</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240"/>
              <w:jc w:val="both"/>
              <w:textAlignment w:val="auto"/>
              <w:rPr>
                <w:sz w:val="24"/>
                <w:highlight w:val="none"/>
              </w:rPr>
            </w:pPr>
            <w:r>
              <w:rPr>
                <w:sz w:val="24"/>
                <w:highlight w:val="none"/>
              </w:rPr>
              <w:t>（4）属于同一集团、协会、商会等组织成员的磋商响应商按照该组织要求协同磋商响应；</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240"/>
              <w:jc w:val="both"/>
              <w:textAlignment w:val="auto"/>
              <w:rPr>
                <w:sz w:val="24"/>
                <w:highlight w:val="none"/>
              </w:rPr>
            </w:pPr>
            <w:r>
              <w:rPr>
                <w:sz w:val="24"/>
                <w:highlight w:val="none"/>
              </w:rPr>
              <w:t>（5）磋商响应供应商之间为谋取成交或者排斥特定磋商响应供应商而采取的其他联合行动；</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240"/>
              <w:jc w:val="both"/>
              <w:textAlignment w:val="auto"/>
              <w:rPr>
                <w:sz w:val="24"/>
                <w:highlight w:val="none"/>
              </w:rPr>
            </w:pPr>
            <w:r>
              <w:rPr>
                <w:sz w:val="24"/>
                <w:highlight w:val="none"/>
              </w:rPr>
              <w:t>（6）不同磋商响应供应商的响应文件由同一单位或者个人编制；</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240"/>
              <w:jc w:val="both"/>
              <w:textAlignment w:val="auto"/>
              <w:rPr>
                <w:sz w:val="24"/>
                <w:highlight w:val="none"/>
              </w:rPr>
            </w:pPr>
            <w:r>
              <w:rPr>
                <w:sz w:val="24"/>
                <w:highlight w:val="none"/>
              </w:rPr>
              <w:t>（7）不同磋商响应供应商委托同一单位或者个人办理磋商响应事宜；</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（8）不同磋商响应供应商的响应文件载明的项目管理成员为同一人；</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（9）不同磋商响应供应商的响应文件异常一致或者报</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价呈规律性差异；</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（10）不同磋商响应供应商的响应文件相互混装；</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（11）不同磋商响应供应商的磋商保证金从同一单位或者个人的账户转出。</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（12）不同磋商响应供应商的响应文件错、漏之处一致或雷同，且不能合理解释的；</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（13）不同的磋商响应供应商的法定代表人、委托代理人等由同一个单位缴纳社会保险的；</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240"/>
              <w:jc w:val="both"/>
              <w:textAlignment w:val="auto"/>
              <w:rPr>
                <w:sz w:val="24"/>
                <w:highlight w:val="none"/>
              </w:rPr>
            </w:pPr>
            <w:r>
              <w:rPr>
                <w:sz w:val="24"/>
                <w:highlight w:val="none"/>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（15）有关法律、法规或规章规定的其他串通行为。</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6</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响应文件有效期：响应文件提交截止之日起60日历天。有效期不足将导致其响应文件被拒绝。</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7</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未按规定提交磋商保证金，将被视为未响应磋商文件要求，取消其磋商资格。</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8</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实质性偏离是指：</w:t>
            </w:r>
          </w:p>
          <w:p>
            <w:pPr>
              <w:pStyle w:val="18"/>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实质性影响合同的范围、质量和履行；</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pacing w:val="-19"/>
                <w:sz w:val="24"/>
                <w:highlight w:val="none"/>
              </w:rPr>
              <w:t>（2）</w:t>
            </w:r>
            <w:r>
              <w:rPr>
                <w:spacing w:val="-6"/>
                <w:sz w:val="24"/>
                <w:highlight w:val="none"/>
              </w:rPr>
              <w:t>实质性违背磋商文件，限制了采购人的权利和成交</w:t>
            </w:r>
          </w:p>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供应商合同项下的义务；</w:t>
            </w:r>
          </w:p>
          <w:p>
            <w:pPr>
              <w:pStyle w:val="18"/>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不公正地影响了其他作出实质性响应的磋商供应商的竞争地位。对没有实质性响应的磋商文件将不进行评审， 其报价将被拒绝。</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rFonts w:hint="eastAsia" w:eastAsia="宋体"/>
                <w:sz w:val="24"/>
                <w:highlight w:val="none"/>
                <w:lang w:val="en-US" w:eastAsia="zh-CN"/>
              </w:rPr>
            </w:pPr>
            <w:r>
              <w:rPr>
                <w:rFonts w:hint="eastAsia"/>
                <w:sz w:val="24"/>
                <w:highlight w:val="none"/>
                <w:lang w:val="en-US" w:eastAsia="zh-CN"/>
              </w:rPr>
              <w:t>9</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76" w:lineRule="exact"/>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凡有下列情况之一者，响应文件也将被视为未实质性响应磋商文件要求：</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r>
              <w:rPr>
                <w:sz w:val="24"/>
                <w:highlight w:val="none"/>
              </w:rPr>
              <w:t>响应文件未按照本须知规定进行密封、标记的；</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）未</w:t>
            </w:r>
            <w:r>
              <w:rPr>
                <w:sz w:val="24"/>
                <w:highlight w:val="none"/>
              </w:rPr>
              <w:t>按规定由磋商响应供应商的法定代表人或其授权代表签章；或未加盖公章的；或授权代表未提供法定代表人有效授权委托书的；</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sz w:val="24"/>
                <w:highlight w:val="none"/>
              </w:rPr>
              <w:t>磋商保证金未在磋商响应截止时间前到账的；</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4</w:t>
            </w:r>
            <w:r>
              <w:rPr>
                <w:rFonts w:hint="eastAsia"/>
                <w:sz w:val="24"/>
                <w:highlight w:val="none"/>
                <w:lang w:eastAsia="zh-CN"/>
              </w:rPr>
              <w:t>）</w:t>
            </w:r>
            <w:r>
              <w:rPr>
                <w:sz w:val="24"/>
                <w:highlight w:val="none"/>
              </w:rPr>
              <w:t>响应文件有效期不满足磋商文件要求的；</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5</w:t>
            </w:r>
            <w:r>
              <w:rPr>
                <w:rFonts w:hint="eastAsia"/>
                <w:sz w:val="24"/>
                <w:highlight w:val="none"/>
                <w:lang w:eastAsia="zh-CN"/>
              </w:rPr>
              <w:t>）</w:t>
            </w:r>
            <w:r>
              <w:rPr>
                <w:sz w:val="24"/>
                <w:highlight w:val="none"/>
              </w:rPr>
              <w:t>响应文件内容与采购内容及要求有重大偏离或保留的；</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6</w:t>
            </w:r>
            <w:r>
              <w:rPr>
                <w:rFonts w:hint="eastAsia"/>
                <w:sz w:val="24"/>
                <w:highlight w:val="none"/>
                <w:lang w:eastAsia="zh-CN"/>
              </w:rPr>
              <w:t>）</w:t>
            </w:r>
            <w:r>
              <w:rPr>
                <w:sz w:val="24"/>
                <w:highlight w:val="none"/>
              </w:rPr>
              <w:t>响应供应商提交的是可选择的报价；</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7</w:t>
            </w:r>
            <w:r>
              <w:rPr>
                <w:rFonts w:hint="eastAsia"/>
                <w:sz w:val="24"/>
                <w:highlight w:val="none"/>
                <w:lang w:eastAsia="zh-CN"/>
              </w:rPr>
              <w:t>）</w:t>
            </w:r>
            <w:r>
              <w:rPr>
                <w:sz w:val="24"/>
                <w:highlight w:val="none"/>
              </w:rPr>
              <w:t>响应供应商未按磋商文件要求进行分项报价；</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8</w:t>
            </w:r>
            <w:r>
              <w:rPr>
                <w:rFonts w:hint="eastAsia"/>
                <w:sz w:val="24"/>
                <w:highlight w:val="none"/>
                <w:lang w:eastAsia="zh-CN"/>
              </w:rPr>
              <w:t>）</w:t>
            </w:r>
            <w:r>
              <w:rPr>
                <w:sz w:val="24"/>
                <w:highlight w:val="none"/>
              </w:rPr>
              <w:t>响应文件中提供虚假或失实资料的；</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9</w:t>
            </w:r>
            <w:r>
              <w:rPr>
                <w:rFonts w:hint="eastAsia"/>
                <w:sz w:val="24"/>
                <w:highlight w:val="none"/>
                <w:lang w:eastAsia="zh-CN"/>
              </w:rPr>
              <w:t>）</w:t>
            </w:r>
            <w:r>
              <w:rPr>
                <w:sz w:val="24"/>
                <w:highlight w:val="none"/>
              </w:rPr>
              <w:t>不符合磋商文件中规定的其它实质性条款。磋商小组决定磋商响应供应商的响应性只根据响应文件本身的内容，而不寻求其他的外部证据。</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rFonts w:hint="default"/>
                <w:sz w:val="24"/>
                <w:highlight w:val="none"/>
                <w:lang w:val="en-US" w:eastAsia="zh-CN"/>
              </w:rPr>
            </w:pPr>
            <w:r>
              <w:rPr>
                <w:rFonts w:hint="eastAsia"/>
                <w:sz w:val="24"/>
                <w:highlight w:val="none"/>
                <w:lang w:val="en-US" w:eastAsia="zh-CN"/>
              </w:rPr>
              <w:t>10</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76" w:lineRule="exact"/>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jc w:val="both"/>
              <w:textAlignment w:val="auto"/>
              <w:rPr>
                <w:rFonts w:hint="eastAsia"/>
                <w:sz w:val="24"/>
                <w:highlight w:val="none"/>
                <w:lang w:eastAsia="zh-CN"/>
              </w:rPr>
            </w:pPr>
            <w:r>
              <w:rPr>
                <w:sz w:val="24"/>
                <w:highlight w:val="none"/>
              </w:rPr>
              <w:t>若磋商供应商的报价明显低于其他报价，使得其报价可</w:t>
            </w:r>
            <w:r>
              <w:rPr>
                <w:spacing w:val="-11"/>
                <w:sz w:val="24"/>
                <w:highlight w:val="none"/>
              </w:rPr>
              <w:t>能低于其个别成本的，有可能影响商品质量或不能诚信履约</w:t>
            </w:r>
            <w:r>
              <w:rPr>
                <w:spacing w:val="-12"/>
                <w:sz w:val="24"/>
                <w:highlight w:val="none"/>
              </w:rPr>
              <w:t>的，磋商供应商应按磋商小组要求作出书面说明并提供相关</w:t>
            </w:r>
            <w:r>
              <w:rPr>
                <w:spacing w:val="-14"/>
                <w:sz w:val="24"/>
                <w:highlight w:val="none"/>
              </w:rPr>
              <w:t>证明材料，不能合理说明或不能提供相关证明材料的，可作无效报价处理。</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leftChars="0" w:right="0" w:rightChars="0"/>
              <w:jc w:val="center"/>
              <w:textAlignment w:val="auto"/>
              <w:rPr>
                <w:rFonts w:hint="eastAsia"/>
                <w:sz w:val="24"/>
                <w:highlight w:val="none"/>
                <w:lang w:val="en-US" w:eastAsia="zh-CN"/>
              </w:rPr>
            </w:pPr>
            <w:r>
              <w:rPr>
                <w:sz w:val="24"/>
                <w:highlight w:val="none"/>
              </w:rPr>
              <w:t>11</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磋商小组将对磋商文件中列明的合格磋商供应商应符合“资格性要求”部分做资格审查，没有提供相关证明文件或文件未按 规定签署盖章者将导致响应无效。</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leftChars="0" w:right="0" w:rightChars="0"/>
              <w:jc w:val="center"/>
              <w:textAlignment w:val="auto"/>
              <w:rPr>
                <w:rFonts w:hint="eastAsia"/>
                <w:sz w:val="24"/>
                <w:highlight w:val="none"/>
                <w:lang w:val="en-US" w:eastAsia="zh-CN"/>
              </w:rPr>
            </w:pPr>
            <w:r>
              <w:rPr>
                <w:sz w:val="24"/>
                <w:highlight w:val="none"/>
              </w:rPr>
              <w:t>12</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sz w:val="24"/>
                <w:highlight w:val="none"/>
              </w:rPr>
            </w:pPr>
            <w:r>
              <w:rPr>
                <w:spacing w:val="-8"/>
                <w:sz w:val="24"/>
                <w:highlight w:val="none"/>
              </w:rPr>
              <w:t>全文中带有</w:t>
            </w:r>
            <w:r>
              <w:rPr>
                <w:spacing w:val="-12"/>
                <w:sz w:val="24"/>
                <w:highlight w:val="none"/>
              </w:rPr>
              <w:t>“*</w:t>
            </w:r>
            <w:r>
              <w:rPr>
                <w:spacing w:val="-7"/>
                <w:sz w:val="24"/>
                <w:highlight w:val="none"/>
              </w:rPr>
              <w:t>”的条款为关键性条款，如磋商供应商对</w:t>
            </w:r>
            <w:r>
              <w:rPr>
                <w:sz w:val="24"/>
                <w:highlight w:val="none"/>
              </w:rPr>
              <w:t>这些关键性条款还存在任何负偏离或不满足将导致报价无效。</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leftChars="0" w:right="0" w:rightChars="0"/>
              <w:jc w:val="center"/>
              <w:textAlignment w:val="auto"/>
              <w:rPr>
                <w:rFonts w:hint="eastAsia"/>
                <w:sz w:val="24"/>
                <w:highlight w:val="none"/>
                <w:lang w:val="en-US" w:eastAsia="zh-CN"/>
              </w:rPr>
            </w:pPr>
            <w:r>
              <w:rPr>
                <w:sz w:val="24"/>
                <w:highlight w:val="none"/>
              </w:rPr>
              <w:t>13</w:t>
            </w: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firstLine="360"/>
              <w:jc w:val="both"/>
              <w:textAlignment w:val="auto"/>
              <w:rPr>
                <w:sz w:val="24"/>
                <w:highlight w:val="none"/>
              </w:rPr>
            </w:pPr>
            <w:r>
              <w:rPr>
                <w:sz w:val="24"/>
                <w:highlight w:val="none"/>
              </w:rPr>
              <w:t>供应商应响应文件份数：正本壹份、副本叁份；响应文件包装、密封、盖章：正本和副本用一个密封袋包装，</w:t>
            </w:r>
            <w:r>
              <w:rPr>
                <w:rFonts w:hint="eastAsia"/>
                <w:sz w:val="24"/>
                <w:highlight w:val="none"/>
                <w:lang w:eastAsia="zh-CN"/>
              </w:rPr>
              <w:t>按</w:t>
            </w:r>
            <w:r>
              <w:rPr>
                <w:sz w:val="24"/>
                <w:highlight w:val="none"/>
              </w:rPr>
              <w:t>第</w:t>
            </w:r>
            <w:r>
              <w:rPr>
                <w:rFonts w:hint="eastAsia"/>
                <w:sz w:val="24"/>
                <w:highlight w:val="none"/>
                <w:lang w:val="en-US" w:eastAsia="zh-CN"/>
              </w:rPr>
              <w:t xml:space="preserve">六章 </w:t>
            </w:r>
            <w:r>
              <w:rPr>
                <w:sz w:val="24"/>
                <w:highlight w:val="none"/>
              </w:rPr>
              <w:t>投标文件（格式）包装；封口处加盖供应商单位公章及法定代表人印章，响应文件未按要求提供的可导致其磋商文件被拒绝。</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leftChars="0" w:right="0" w:rightChars="0"/>
              <w:jc w:val="center"/>
              <w:textAlignment w:val="auto"/>
              <w:rPr>
                <w:sz w:val="24"/>
                <w:highlight w:val="none"/>
              </w:rPr>
            </w:pPr>
          </w:p>
        </w:tc>
        <w:tc>
          <w:tcPr>
            <w:tcW w:w="154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firstLine="360"/>
              <w:jc w:val="center"/>
              <w:textAlignment w:val="auto"/>
              <w:rPr>
                <w:spacing w:val="-7"/>
                <w:sz w:val="24"/>
                <w:highlight w:val="none"/>
              </w:rPr>
            </w:pPr>
            <w:r>
              <w:rPr>
                <w:b/>
                <w:w w:val="95"/>
                <w:sz w:val="24"/>
                <w:highlight w:val="none"/>
              </w:rPr>
              <w:t>审查结论（通过</w:t>
            </w:r>
            <w:r>
              <w:rPr>
                <w:rFonts w:hint="eastAsia"/>
                <w:b/>
                <w:w w:val="95"/>
                <w:sz w:val="24"/>
                <w:highlight w:val="none"/>
                <w:lang w:eastAsia="zh-CN"/>
              </w:rPr>
              <w:t>打“</w:t>
            </w:r>
            <w:r>
              <w:rPr>
                <w:rFonts w:hint="default" w:ascii="Arial" w:hAnsi="Arial" w:cs="Arial"/>
                <w:b/>
                <w:w w:val="95"/>
                <w:sz w:val="24"/>
                <w:highlight w:val="none"/>
              </w:rPr>
              <w:t>√</w:t>
            </w:r>
            <w:r>
              <w:rPr>
                <w:rFonts w:hint="eastAsia"/>
                <w:b/>
                <w:w w:val="95"/>
                <w:sz w:val="24"/>
                <w:highlight w:val="none"/>
                <w:lang w:eastAsia="zh-CN"/>
              </w:rPr>
              <w:t>”</w:t>
            </w:r>
            <w:r>
              <w:rPr>
                <w:b/>
                <w:w w:val="95"/>
                <w:sz w:val="24"/>
                <w:highlight w:val="none"/>
              </w:rPr>
              <w:t>或不通过</w:t>
            </w:r>
            <w:r>
              <w:rPr>
                <w:rFonts w:hint="eastAsia"/>
                <w:b/>
                <w:w w:val="95"/>
                <w:sz w:val="24"/>
                <w:highlight w:val="none"/>
                <w:lang w:eastAsia="zh-CN"/>
              </w:rPr>
              <w:t>“</w:t>
            </w:r>
            <w:r>
              <w:rPr>
                <w:rFonts w:hint="default" w:ascii="Arial" w:hAnsi="Arial" w:cs="Arial"/>
                <w:b w:val="0"/>
                <w:bCs/>
                <w:w w:val="95"/>
                <w:sz w:val="32"/>
                <w:szCs w:val="28"/>
                <w:highlight w:val="none"/>
              </w:rPr>
              <w:t>×</w:t>
            </w:r>
            <w:r>
              <w:rPr>
                <w:rFonts w:hint="eastAsia"/>
                <w:b/>
                <w:w w:val="95"/>
                <w:sz w:val="24"/>
                <w:highlight w:val="none"/>
                <w:lang w:eastAsia="zh-CN"/>
              </w:rPr>
              <w:t>”</w:t>
            </w:r>
            <w:r>
              <w:rPr>
                <w:b/>
                <w:w w:val="95"/>
                <w:sz w:val="24"/>
                <w:highlight w:val="none"/>
              </w:rPr>
              <w:t>）</w:t>
            </w:r>
          </w:p>
        </w:tc>
        <w:tc>
          <w:tcPr>
            <w:tcW w:w="13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2"/>
          <w:highlight w:val="none"/>
        </w:rPr>
        <w:sectPr>
          <w:footerReference r:id="rId5" w:type="default"/>
          <w:pgSz w:w="16840" w:h="11910" w:orient="landscape"/>
          <w:pgMar w:top="1100" w:right="1380" w:bottom="1134" w:left="1220" w:header="0" w:footer="737" w:gutter="0"/>
          <w:pgBorders>
            <w:top w:val="none" w:sz="0" w:space="0"/>
            <w:left w:val="none" w:sz="0" w:space="0"/>
            <w:bottom w:val="none" w:sz="0" w:space="0"/>
            <w:right w:val="none" w:sz="0" w:space="0"/>
          </w:pgBorders>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评 分 表</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89"/>
        <w:gridCol w:w="2634"/>
        <w:gridCol w:w="1264"/>
        <w:gridCol w:w="844"/>
        <w:gridCol w:w="874"/>
        <w:gridCol w:w="85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5845" w:type="dxa"/>
            <w:gridSpan w:val="4"/>
            <w:tcBorders>
              <w:tl2br w:val="single" w:color="auto" w:sz="4" w:space="0"/>
            </w:tcBorders>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firstLine="3840" w:firstLineChars="1600"/>
              <w:jc w:val="both"/>
              <w:textAlignment w:val="auto"/>
              <w:rPr>
                <w:sz w:val="24"/>
                <w:highlight w:val="none"/>
              </w:rPr>
            </w:pPr>
            <w:r>
              <w:rPr>
                <w:sz w:val="24"/>
                <w:highlight w:val="none"/>
              </w:rPr>
              <w:t>供应商名称</w:t>
            </w:r>
          </w:p>
          <w:p>
            <w:pPr>
              <w:pStyle w:val="9"/>
              <w:keepNext w:val="0"/>
              <w:keepLines w:val="0"/>
              <w:pageBreakBefore w:val="0"/>
              <w:widowControl w:val="0"/>
              <w:kinsoku/>
              <w:wordWrap/>
              <w:overflowPunct/>
              <w:topLinePunct w:val="0"/>
              <w:autoSpaceDE w:val="0"/>
              <w:autoSpaceDN w:val="0"/>
              <w:bidi w:val="0"/>
              <w:adjustRightInd/>
              <w:snapToGrid/>
              <w:spacing w:before="0" w:after="0"/>
              <w:ind w:left="0" w:leftChars="0" w:right="0" w:firstLine="0" w:firstLineChars="0"/>
              <w:jc w:val="both"/>
              <w:textAlignment w:val="auto"/>
              <w:rPr>
                <w:b/>
                <w:sz w:val="24"/>
                <w:szCs w:val="24"/>
                <w:highlight w:val="none"/>
                <w:vertAlign w:val="baseline"/>
              </w:rPr>
            </w:pPr>
            <w:r>
              <w:rPr>
                <w:sz w:val="24"/>
                <w:highlight w:val="none"/>
              </w:rPr>
              <w:t>评分项及分值</w:t>
            </w:r>
          </w:p>
        </w:tc>
        <w:tc>
          <w:tcPr>
            <w:tcW w:w="84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b/>
                <w:sz w:val="24"/>
                <w:szCs w:val="24"/>
                <w:highlight w:val="none"/>
                <w:vertAlign w:val="baseline"/>
              </w:rPr>
            </w:pPr>
            <w:r>
              <w:rPr>
                <w:sz w:val="24"/>
                <w:highlight w:val="none"/>
              </w:rPr>
              <w:t>供应商1</w:t>
            </w:r>
          </w:p>
        </w:tc>
        <w:tc>
          <w:tcPr>
            <w:tcW w:w="8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供应</w:t>
            </w:r>
          </w:p>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b/>
                <w:sz w:val="24"/>
                <w:szCs w:val="24"/>
                <w:highlight w:val="none"/>
                <w:vertAlign w:val="baseline"/>
              </w:rPr>
            </w:pPr>
            <w:r>
              <w:rPr>
                <w:sz w:val="24"/>
                <w:highlight w:val="none"/>
              </w:rPr>
              <w:t>商2</w:t>
            </w:r>
          </w:p>
        </w:tc>
        <w:tc>
          <w:tcPr>
            <w:tcW w:w="85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szCs w:val="24"/>
                <w:highlight w:val="none"/>
                <w:vertAlign w:val="baseline"/>
              </w:rPr>
            </w:pPr>
            <w:r>
              <w:rPr>
                <w:sz w:val="24"/>
                <w:highlight w:val="none"/>
              </w:rPr>
              <w:t>供应商3</w:t>
            </w:r>
          </w:p>
        </w:tc>
        <w:tc>
          <w:tcPr>
            <w:tcW w:w="86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供应</w:t>
            </w:r>
          </w:p>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b/>
                <w:sz w:val="24"/>
                <w:szCs w:val="24"/>
                <w:highlight w:val="none"/>
                <w:vertAlign w:val="baseline"/>
              </w:rPr>
            </w:pPr>
            <w:r>
              <w:rPr>
                <w:sz w:val="24"/>
                <w:highlight w:val="none"/>
              </w:rPr>
              <w:t>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blHeader/>
        </w:trPr>
        <w:tc>
          <w:tcPr>
            <w:tcW w:w="4581" w:type="dxa"/>
            <w:gridSpan w:val="3"/>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r>
              <w:rPr>
                <w:sz w:val="24"/>
                <w:highlight w:val="none"/>
              </w:rPr>
              <w:t>评分项</w:t>
            </w:r>
          </w:p>
        </w:tc>
        <w:tc>
          <w:tcPr>
            <w:tcW w:w="1264" w:type="dxa"/>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sz w:val="24"/>
                <w:szCs w:val="24"/>
                <w:highlight w:val="none"/>
                <w:vertAlign w:val="baseline"/>
              </w:rPr>
            </w:pPr>
            <w:r>
              <w:rPr>
                <w:sz w:val="24"/>
                <w:highlight w:val="none"/>
              </w:rPr>
              <w:t>分值标准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1"/>
                <w:szCs w:val="21"/>
                <w:highlight w:val="none"/>
              </w:rPr>
            </w:pPr>
            <w:r>
              <w:rPr>
                <w:sz w:val="21"/>
                <w:szCs w:val="21"/>
                <w:highlight w:val="none"/>
              </w:rPr>
              <w:t>价格分</w:t>
            </w: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21"/>
                <w:szCs w:val="21"/>
                <w:highlight w:val="none"/>
                <w:vertAlign w:val="baseline"/>
              </w:rPr>
            </w:pPr>
            <w:r>
              <w:rPr>
                <w:sz w:val="21"/>
                <w:szCs w:val="21"/>
                <w:highlight w:val="none"/>
              </w:rPr>
              <w:t>（30分）</w:t>
            </w:r>
          </w:p>
        </w:tc>
        <w:tc>
          <w:tcPr>
            <w:tcW w:w="3523" w:type="dxa"/>
            <w:gridSpan w:val="2"/>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sz w:val="21"/>
                <w:szCs w:val="21"/>
                <w:highlight w:val="none"/>
              </w:rPr>
            </w:pPr>
            <w:r>
              <w:rPr>
                <w:rFonts w:hint="eastAsia"/>
                <w:sz w:val="21"/>
                <w:szCs w:val="21"/>
                <w:highlight w:val="none"/>
              </w:rPr>
              <w:t>价格分的计算方法：投标报价得分=（评标基准价）/（投标报价） ×价格权值（30）×100%。</w:t>
            </w:r>
          </w:p>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rFonts w:hint="eastAsia" w:eastAsia="宋体"/>
                <w:b/>
                <w:sz w:val="21"/>
                <w:szCs w:val="21"/>
                <w:highlight w:val="none"/>
                <w:vertAlign w:val="baseline"/>
                <w:lang w:eastAsia="zh-CN"/>
              </w:rPr>
            </w:pPr>
            <w:r>
              <w:rPr>
                <w:rFonts w:hint="eastAsia"/>
                <w:sz w:val="21"/>
                <w:szCs w:val="21"/>
                <w:highlight w:val="none"/>
              </w:rPr>
              <w:t xml:space="preserve"> 注：评标基准价为满足招标文件要求且投标价格最低的为投标基准价。</w:t>
            </w:r>
            <w:r>
              <w:rPr>
                <w:sz w:val="21"/>
                <w:szCs w:val="21"/>
                <w:highlight w:val="none"/>
              </w:rPr>
              <w:t>评分分值计算保留小数</w:t>
            </w:r>
            <w:r>
              <w:rPr>
                <w:spacing w:val="-7"/>
                <w:sz w:val="21"/>
                <w:szCs w:val="21"/>
                <w:highlight w:val="none"/>
              </w:rPr>
              <w:t>点后两位，小数点后第三位“四舍五入”</w:t>
            </w:r>
            <w:r>
              <w:rPr>
                <w:rFonts w:hint="eastAsia"/>
                <w:spacing w:val="-7"/>
                <w:sz w:val="21"/>
                <w:szCs w:val="21"/>
                <w:highlight w:val="none"/>
                <w:lang w:eastAsia="zh-CN"/>
              </w:rPr>
              <w:t>。</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b w:val="0"/>
                <w:bCs w:val="0"/>
                <w:sz w:val="21"/>
                <w:szCs w:val="21"/>
                <w:highlight w:val="none"/>
                <w:vertAlign w:val="baseline"/>
              </w:rPr>
            </w:pPr>
            <w:r>
              <w:rPr>
                <w:b w:val="0"/>
                <w:bCs w:val="0"/>
                <w:sz w:val="21"/>
                <w:szCs w:val="21"/>
                <w:highlight w:val="none"/>
              </w:rPr>
              <w:t>30分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058"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lang w:val="en-US" w:eastAsia="zh-CN"/>
              </w:rPr>
              <w:t>技术部分</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分）</w:t>
            </w:r>
          </w:p>
        </w:tc>
        <w:tc>
          <w:tcPr>
            <w:tcW w:w="889"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施工组织设计方案</w:t>
            </w:r>
          </w:p>
        </w:tc>
        <w:tc>
          <w:tcPr>
            <w:tcW w:w="2634"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4" w:lineRule="auto"/>
              <w:ind w:right="0" w:rightChars="0"/>
              <w:jc w:val="both"/>
              <w:textAlignment w:val="auto"/>
              <w:rPr>
                <w:rFonts w:hint="eastAsia" w:ascii="宋体" w:hAnsi="宋体" w:eastAsia="宋体" w:cs="宋体"/>
                <w:sz w:val="21"/>
                <w:szCs w:val="21"/>
                <w:highlight w:val="none"/>
                <w:lang w:val="en-US" w:eastAsia="zh-CN" w:bidi="ar-SA"/>
              </w:rPr>
            </w:pPr>
            <w:r>
              <w:rPr>
                <w:rFonts w:hint="eastAsia"/>
                <w:sz w:val="21"/>
                <w:szCs w:val="21"/>
                <w:highlight w:val="none"/>
                <w:lang w:val="en-US" w:eastAsia="zh-CN"/>
              </w:rPr>
              <w:t>施工方案与技术措施；0—4分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b w:val="0"/>
                <w:bCs w:val="0"/>
                <w:sz w:val="21"/>
                <w:szCs w:val="21"/>
                <w:highlight w:val="none"/>
                <w:vertAlign w:val="baseline"/>
              </w:rPr>
            </w:pPr>
            <w:r>
              <w:rPr>
                <w:rFonts w:hint="eastAsia"/>
                <w:b w:val="0"/>
                <w:bCs w:val="0"/>
                <w:sz w:val="21"/>
                <w:szCs w:val="21"/>
                <w:highlight w:val="none"/>
                <w:lang w:val="en-US" w:eastAsia="zh-CN"/>
              </w:rPr>
              <w:t>4</w:t>
            </w:r>
            <w:r>
              <w:rPr>
                <w:b w:val="0"/>
                <w:bCs w:val="0"/>
                <w:sz w:val="21"/>
                <w:szCs w:val="21"/>
                <w:highlight w:val="none"/>
              </w:rPr>
              <w:t>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4" w:lineRule="auto"/>
              <w:ind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施工总进度（包括施工进度计划横道图、网络图）及保证措施；0—4分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default"/>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施工安全措施；0—4分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文明施工措施；0—4分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施工环保措施；0—4分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现场组织管理机构；0—5分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与发包人及设计单位的配合；0—5分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8"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1"/>
                <w:szCs w:val="21"/>
                <w:highlight w:val="none"/>
              </w:rPr>
            </w:pPr>
            <w:r>
              <w:rPr>
                <w:rFonts w:hint="eastAsia"/>
                <w:sz w:val="21"/>
                <w:szCs w:val="21"/>
                <w:highlight w:val="none"/>
                <w:lang w:eastAsia="zh-CN"/>
              </w:rPr>
              <w:t>商务部分</w:t>
            </w:r>
          </w:p>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w:t>
            </w:r>
            <w:r>
              <w:rPr>
                <w:rFonts w:hint="eastAsia"/>
                <w:sz w:val="21"/>
                <w:szCs w:val="21"/>
                <w:highlight w:val="none"/>
                <w:lang w:val="en-US" w:eastAsia="zh-CN"/>
              </w:rPr>
              <w:t>40</w:t>
            </w:r>
            <w:r>
              <w:rPr>
                <w:sz w:val="21"/>
                <w:szCs w:val="21"/>
                <w:highlight w:val="none"/>
              </w:rPr>
              <w:t>分）</w:t>
            </w:r>
          </w:p>
        </w:tc>
        <w:tc>
          <w:tcPr>
            <w:tcW w:w="88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sz w:val="21"/>
                <w:szCs w:val="21"/>
                <w:highlight w:val="none"/>
              </w:rPr>
            </w:pPr>
            <w:r>
              <w:rPr>
                <w:rFonts w:hint="eastAsia"/>
                <w:sz w:val="21"/>
                <w:szCs w:val="21"/>
                <w:highlight w:val="none"/>
              </w:rPr>
              <w:t>质量体系认证</w:t>
            </w: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sz w:val="21"/>
                <w:szCs w:val="21"/>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ascii="宋体" w:hAnsi="宋体" w:eastAsia="宋体" w:cs="宋体"/>
                <w:sz w:val="21"/>
                <w:szCs w:val="21"/>
                <w:highlight w:val="none"/>
                <w:lang w:val="en-US" w:eastAsia="en-US" w:bidi="ar-SA"/>
              </w:rPr>
            </w:pPr>
            <w:r>
              <w:rPr>
                <w:rFonts w:hint="eastAsia"/>
                <w:sz w:val="21"/>
                <w:szCs w:val="21"/>
                <w:highlight w:val="none"/>
              </w:rPr>
              <w:t>环境管理体系；职业健康安全管理体系；质量管理体系，符合招标文件要求得</w:t>
            </w:r>
            <w:r>
              <w:rPr>
                <w:rFonts w:hint="eastAsia"/>
                <w:sz w:val="21"/>
                <w:szCs w:val="21"/>
                <w:highlight w:val="none"/>
                <w:lang w:val="en-US" w:eastAsia="zh-CN"/>
              </w:rPr>
              <w:t>3</w:t>
            </w:r>
            <w:r>
              <w:rPr>
                <w:rFonts w:hint="eastAsia"/>
                <w:sz w:val="21"/>
                <w:szCs w:val="21"/>
                <w:highlight w:val="none"/>
              </w:rPr>
              <w:t>分，不提供，不得分。（</w:t>
            </w:r>
            <w:r>
              <w:rPr>
                <w:rFonts w:hint="eastAsia"/>
                <w:sz w:val="21"/>
                <w:szCs w:val="21"/>
                <w:highlight w:val="none"/>
                <w:lang w:val="en-US" w:eastAsia="zh-CN"/>
              </w:rPr>
              <w:t>提供证书</w:t>
            </w:r>
            <w:r>
              <w:rPr>
                <w:rFonts w:hint="eastAsia"/>
                <w:sz w:val="21"/>
                <w:szCs w:val="21"/>
                <w:highlight w:val="none"/>
              </w:rPr>
              <w:t>复印件）</w:t>
            </w:r>
          </w:p>
        </w:tc>
        <w:tc>
          <w:tcPr>
            <w:tcW w:w="12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rFonts w:hint="eastAsia"/>
                <w:sz w:val="21"/>
                <w:szCs w:val="21"/>
                <w:highlight w:val="none"/>
                <w:lang w:val="en-US" w:eastAsia="zh-CN"/>
              </w:rPr>
              <w:t>3</w:t>
            </w:r>
            <w:r>
              <w:rPr>
                <w:sz w:val="21"/>
                <w:szCs w:val="21"/>
                <w:highlight w:val="none"/>
              </w:rPr>
              <w:t>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rPr>
            </w:pPr>
            <w:r>
              <w:rPr>
                <w:rFonts w:hint="eastAsia"/>
                <w:sz w:val="21"/>
                <w:szCs w:val="21"/>
                <w:highlight w:val="none"/>
              </w:rPr>
              <w:t>农民工工资支付保障措施</w:t>
            </w: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按时足额支付、不拖欠农民工工资。（提供公司法人签署的承诺书及劳动监察部门出具的近一年来无拖欠农民工上访记录证明，得</w:t>
            </w:r>
            <w:r>
              <w:rPr>
                <w:rFonts w:hint="eastAsia"/>
                <w:sz w:val="21"/>
                <w:szCs w:val="21"/>
                <w:highlight w:val="none"/>
                <w:lang w:val="en-US" w:eastAsia="zh-CN"/>
              </w:rPr>
              <w:t>3</w:t>
            </w:r>
            <w:r>
              <w:rPr>
                <w:rFonts w:hint="eastAsia"/>
                <w:sz w:val="21"/>
                <w:szCs w:val="21"/>
                <w:highlight w:val="none"/>
              </w:rPr>
              <w:t>分）</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2. 落实用工实名制管理及银行代发农民工工资。（提供公司实名制管理可行性方案，已落实实名制管理的企业提供合同及银行证明；得</w:t>
            </w:r>
            <w:r>
              <w:rPr>
                <w:rFonts w:hint="eastAsia"/>
                <w:sz w:val="21"/>
                <w:szCs w:val="21"/>
                <w:highlight w:val="none"/>
                <w:lang w:val="en-US" w:eastAsia="zh-CN"/>
              </w:rPr>
              <w:t>3</w:t>
            </w:r>
            <w:r>
              <w:rPr>
                <w:rFonts w:hint="eastAsia"/>
                <w:sz w:val="21"/>
                <w:szCs w:val="21"/>
                <w:highlight w:val="none"/>
              </w:rPr>
              <w:t>分）</w:t>
            </w:r>
            <w:r>
              <w:rPr>
                <w:rFonts w:hint="eastAsia"/>
                <w:sz w:val="21"/>
                <w:szCs w:val="21"/>
                <w:highlight w:val="none"/>
              </w:rPr>
              <w:br w:type="textWrapping"/>
            </w:r>
            <w:r>
              <w:rPr>
                <w:rFonts w:hint="eastAsia"/>
                <w:sz w:val="21"/>
                <w:szCs w:val="21"/>
                <w:highlight w:val="none"/>
              </w:rPr>
              <w:t>3. 投标企业必须优先使用精准扶贫户农民工。(出具投标企业法人签署的承诺。)得2分</w:t>
            </w:r>
          </w:p>
        </w:tc>
        <w:tc>
          <w:tcPr>
            <w:tcW w:w="12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8分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rPr>
            </w:pPr>
            <w:r>
              <w:rPr>
                <w:rFonts w:hint="eastAsia"/>
                <w:sz w:val="21"/>
                <w:szCs w:val="21"/>
                <w:highlight w:val="none"/>
                <w:lang w:eastAsia="zh-CN"/>
              </w:rPr>
              <w:t>管理机构</w:t>
            </w: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default"/>
                <w:sz w:val="21"/>
                <w:szCs w:val="21"/>
                <w:highlight w:val="none"/>
                <w:lang w:val="en-US"/>
              </w:rPr>
            </w:pPr>
            <w:r>
              <w:rPr>
                <w:rFonts w:hint="eastAsia"/>
                <w:sz w:val="21"/>
                <w:szCs w:val="21"/>
                <w:highlight w:val="none"/>
                <w:lang w:val="en-US" w:eastAsia="zh-CN"/>
              </w:rPr>
              <w:t>项目经理：具备中级及以上职称，得3分。</w:t>
            </w:r>
          </w:p>
        </w:tc>
        <w:tc>
          <w:tcPr>
            <w:tcW w:w="12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3分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技术负责人需具备中级职称得2分，具备高级职称得3分。</w:t>
            </w:r>
          </w:p>
        </w:tc>
        <w:tc>
          <w:tcPr>
            <w:tcW w:w="12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3分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8"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施工员、质量员、安全员、材料员、资料员，满足招标文件要求得4分。</w:t>
            </w:r>
          </w:p>
        </w:tc>
        <w:tc>
          <w:tcPr>
            <w:tcW w:w="12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58" w:type="dxa"/>
            <w:vMerge w:val="continue"/>
            <w:tcBorders>
              <w:bottom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sz w:val="21"/>
                <w:szCs w:val="21"/>
                <w:highlight w:val="none"/>
              </w:rPr>
            </w:pPr>
            <w:r>
              <w:rPr>
                <w:rFonts w:hint="eastAsia" w:ascii="宋体" w:hAnsi="宋体" w:eastAsia="宋体" w:cs="宋体"/>
                <w:color w:val="000000"/>
                <w:kern w:val="0"/>
                <w:sz w:val="24"/>
                <w:szCs w:val="24"/>
                <w:highlight w:val="none"/>
                <w:lang w:val="en-US" w:eastAsia="zh-CN" w:bidi="ar"/>
              </w:rPr>
              <w:t>质量保证措施</w:t>
            </w:r>
            <w:r>
              <w:rPr>
                <w:rFonts w:hint="eastAsia" w:cs="宋体"/>
                <w:color w:val="000000"/>
                <w:kern w:val="0"/>
                <w:sz w:val="24"/>
                <w:szCs w:val="24"/>
                <w:highlight w:val="none"/>
                <w:lang w:val="en-US" w:eastAsia="zh-CN" w:bidi="ar"/>
              </w:rPr>
              <w:t>及</w:t>
            </w:r>
            <w:r>
              <w:rPr>
                <w:rFonts w:hint="eastAsia" w:ascii="宋体" w:hAnsi="宋体" w:eastAsia="宋体" w:cs="宋体"/>
                <w:color w:val="000000"/>
                <w:kern w:val="0"/>
                <w:sz w:val="24"/>
                <w:szCs w:val="24"/>
                <w:highlight w:val="none"/>
                <w:lang w:val="en-US" w:eastAsia="zh-CN" w:bidi="ar"/>
              </w:rPr>
              <w:t>售后服务</w:t>
            </w:r>
          </w:p>
        </w:tc>
        <w:tc>
          <w:tcPr>
            <w:tcW w:w="2634" w:type="dxa"/>
            <w:vAlign w:val="top"/>
          </w:tcPr>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质量保证措施合理可行，后期服务计划及保障措施全面、可行，且人员配置合理的得</w:t>
            </w:r>
            <w:r>
              <w:rPr>
                <w:rFonts w:hint="eastAsia"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14</w:t>
            </w:r>
            <w:r>
              <w:rPr>
                <w:rFonts w:hint="eastAsia" w:ascii="宋体" w:hAnsi="宋体" w:eastAsia="宋体" w:cs="宋体"/>
                <w:color w:val="000000"/>
                <w:kern w:val="0"/>
                <w:sz w:val="21"/>
                <w:szCs w:val="21"/>
                <w:highlight w:val="none"/>
                <w:lang w:val="en-US" w:eastAsia="zh-CN" w:bidi="ar"/>
              </w:rPr>
              <w:t>分；</w:t>
            </w:r>
          </w:p>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质量保证措施较合理可行，后期服务计划及保障措施较全面、可行，且人员配置较合理的得</w:t>
            </w:r>
            <w:r>
              <w:rPr>
                <w:rFonts w:hint="eastAsia"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 xml:space="preserve"> 分；</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质量保证措施一般，后期服务计划及保障措施一般，且人员配置一般的得</w:t>
            </w:r>
            <w:r>
              <w:rPr>
                <w:rFonts w:hint="eastAsia"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w:t>
            </w:r>
            <w:r>
              <w:rPr>
                <w:rFonts w:hint="eastAsia" w:cs="宋体"/>
                <w:color w:val="000000"/>
                <w:kern w:val="0"/>
                <w:sz w:val="21"/>
                <w:szCs w:val="21"/>
                <w:highlight w:val="none"/>
                <w:lang w:val="en-US" w:eastAsia="zh-CN" w:bidi="ar"/>
              </w:rPr>
              <w:t>。</w:t>
            </w:r>
          </w:p>
        </w:tc>
        <w:tc>
          <w:tcPr>
            <w:tcW w:w="12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sz w:val="21"/>
                <w:szCs w:val="21"/>
                <w:highlight w:val="none"/>
                <w:lang w:val="en-US" w:eastAsia="zh-CN"/>
              </w:rPr>
            </w:pPr>
            <w:r>
              <w:rPr>
                <w:rFonts w:hint="eastAsia"/>
                <w:sz w:val="21"/>
                <w:szCs w:val="21"/>
                <w:highlight w:val="none"/>
                <w:lang w:val="en-US" w:eastAsia="zh-CN"/>
              </w:rPr>
              <w:t>14分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Borders>
              <w:top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标书</w:t>
            </w:r>
          </w:p>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制作</w:t>
            </w:r>
          </w:p>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rFonts w:hint="default" w:eastAsia="宋体"/>
                <w:sz w:val="21"/>
                <w:szCs w:val="21"/>
                <w:highlight w:val="none"/>
                <w:lang w:val="en-US" w:eastAsia="zh-CN"/>
              </w:rPr>
            </w:pPr>
          </w:p>
        </w:tc>
        <w:tc>
          <w:tcPr>
            <w:tcW w:w="263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1"/>
                <w:szCs w:val="21"/>
                <w:highlight w:val="none"/>
              </w:rPr>
            </w:pPr>
            <w:r>
              <w:rPr>
                <w:sz w:val="21"/>
                <w:szCs w:val="21"/>
                <w:highlight w:val="none"/>
              </w:rPr>
              <w:t>投标文件编制内容清晰、目录页码准确、复印清晰、资料无杂乱、</w:t>
            </w:r>
            <w:r>
              <w:rPr>
                <w:spacing w:val="-4"/>
                <w:sz w:val="21"/>
                <w:szCs w:val="21"/>
                <w:highlight w:val="none"/>
              </w:rPr>
              <w:t>装订规范整齐。</w:t>
            </w:r>
            <w:r>
              <w:rPr>
                <w:rFonts w:hint="eastAsia"/>
                <w:spacing w:val="-4"/>
                <w:sz w:val="21"/>
                <w:szCs w:val="21"/>
                <w:highlight w:val="none"/>
                <w:lang w:val="en-US" w:eastAsia="zh-CN"/>
              </w:rPr>
              <w:t>0—5分。</w:t>
            </w:r>
          </w:p>
        </w:tc>
        <w:tc>
          <w:tcPr>
            <w:tcW w:w="1264" w:type="dxa"/>
            <w:vAlign w:val="top"/>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1"/>
                <w:szCs w:val="21"/>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rFonts w:hint="eastAsia"/>
                <w:sz w:val="21"/>
                <w:szCs w:val="21"/>
                <w:highlight w:val="none"/>
                <w:lang w:val="en-US" w:eastAsia="zh-CN"/>
              </w:rPr>
              <w:t>5</w:t>
            </w:r>
            <w:r>
              <w:rPr>
                <w:sz w:val="21"/>
                <w:szCs w:val="21"/>
                <w:highlight w:val="none"/>
              </w:rPr>
              <w:t>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3.价格分的计算</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投标报价得分＝（评标基准价／投标报价）×价格权值×100 有效的最低报价作为评标基准价。</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（1）中小企业价格扣除</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（2）根据《政府招标促进中小企业发展暂行办法》（财库〔2011〕181 号）及</w:t>
      </w:r>
      <w:r>
        <w:rPr>
          <w:spacing w:val="-10"/>
          <w:highlight w:val="none"/>
        </w:rPr>
        <w:t>相关规定，在技术、商务等均满足采购需求的前提下，本项目对小型和微型企业产 品给予 6% 的价格扣除，用扣除后的价格参与评审。中小企业须提供中小企业声 明函且声明函所载内容必须真实，如有虚假，将依法承担相应责任，包括</w:t>
      </w:r>
      <w:r>
        <w:rPr>
          <w:spacing w:val="-18"/>
          <w:highlight w:val="none"/>
        </w:rPr>
        <w:t>取消中标资格、投标保证金不予退还等。中小企业划分标准依照工业和信息化部、</w:t>
      </w:r>
      <w:r>
        <w:rPr>
          <w:spacing w:val="-14"/>
          <w:highlight w:val="none"/>
        </w:rPr>
        <w:t>国家统计局、国家发展和改革委员会、财政部联合下发的《关于印发中小企业划</w:t>
      </w:r>
      <w:r>
        <w:rPr>
          <w:spacing w:val="-16"/>
          <w:highlight w:val="none"/>
        </w:rPr>
        <w:t>型标准规定的通知》</w:t>
      </w:r>
      <w:r>
        <w:rPr>
          <w:spacing w:val="-3"/>
          <w:highlight w:val="none"/>
        </w:rPr>
        <w:t>（工信部联企业《</w:t>
      </w:r>
      <w:r>
        <w:rPr>
          <w:highlight w:val="none"/>
        </w:rPr>
        <w:t>2011</w:t>
      </w:r>
      <w:r>
        <w:rPr>
          <w:spacing w:val="-15"/>
          <w:highlight w:val="none"/>
        </w:rPr>
        <w:t>》</w:t>
      </w:r>
      <w:r>
        <w:rPr>
          <w:highlight w:val="none"/>
        </w:rPr>
        <w:t>300 号</w:t>
      </w:r>
      <w:r>
        <w:rPr>
          <w:spacing w:val="-17"/>
          <w:highlight w:val="none"/>
        </w:rPr>
        <w:t>）</w:t>
      </w:r>
      <w:r>
        <w:rPr>
          <w:spacing w:val="-4"/>
          <w:highlight w:val="none"/>
        </w:rPr>
        <w:t>执行。价格扣除只针对投标报价未超过财政控制值的供应商有效。</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（2）货物类采购项目的价格分值占总分值的比重(即权值)为 30％至 60％；服务类项目的价格分值占总分值的比重(即权值)为 10％至 30％。执行统一价标准的服务项目，其价格不列为评分因素。</w:t>
      </w:r>
    </w:p>
    <w:p>
      <w:pPr>
        <w:pStyle w:val="2"/>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（2）价格分值计算表：</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sz w:val="36"/>
          <w:highlight w:val="none"/>
        </w:rPr>
      </w:pPr>
      <w:r>
        <w:rPr>
          <w:b/>
          <w:sz w:val="36"/>
          <w:highlight w:val="none"/>
        </w:rPr>
        <w:t>价格分值计算表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4"/>
          <w:highlight w:val="none"/>
        </w:rPr>
      </w:pPr>
    </w:p>
    <w:tbl>
      <w:tblPr>
        <w:tblStyle w:val="13"/>
        <w:tblW w:w="98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400"/>
        <w:gridCol w:w="1754"/>
        <w:gridCol w:w="2453"/>
        <w:gridCol w:w="1282"/>
        <w:gridCol w:w="1225"/>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20" w:hRule="atLeast"/>
          <w:jc w:val="center"/>
        </w:trPr>
        <w:tc>
          <w:tcPr>
            <w:tcW w:w="9860" w:type="dxa"/>
            <w:gridSpan w:val="7"/>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项目名称：</w:t>
            </w:r>
            <w:r>
              <w:rPr>
                <w:rFonts w:hint="eastAsia"/>
                <w:sz w:val="24"/>
                <w:highlight w:val="none"/>
              </w:rPr>
              <w:t>江口县德旺乡净河村地表径流污水净化利用示范项目工程量清单采购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9860" w:type="dxa"/>
            <w:gridSpan w:val="7"/>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项目编号：</w:t>
            </w:r>
            <w:r>
              <w:rPr>
                <w:rFonts w:hint="eastAsia"/>
                <w:sz w:val="24"/>
                <w:highlight w:val="none"/>
                <w:lang w:val="en-US" w:eastAsia="zh-CN"/>
              </w:rPr>
              <w:t>GZJL-ZBCG-CG-20003(V)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9860" w:type="dxa"/>
            <w:gridSpan w:val="7"/>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pacing w:val="-8"/>
                <w:sz w:val="24"/>
                <w:highlight w:val="none"/>
              </w:rPr>
              <w:t>评标地点：</w:t>
            </w:r>
            <w:r>
              <w:rPr>
                <w:rFonts w:hint="eastAsia"/>
                <w:spacing w:val="-8"/>
                <w:sz w:val="24"/>
                <w:highlight w:val="none"/>
                <w:lang w:val="en-US" w:eastAsia="zh-CN"/>
              </w:rPr>
              <w:t xml:space="preserve">         </w:t>
            </w:r>
            <w:r>
              <w:rPr>
                <w:spacing w:val="-8"/>
                <w:sz w:val="24"/>
                <w:highlight w:val="none"/>
              </w:rPr>
              <w:t xml:space="preserve"> 开标时间</w:t>
            </w:r>
            <w:r>
              <w:rPr>
                <w:rFonts w:ascii="Times New Roman" w:eastAsia="Times New Roman"/>
                <w:sz w:val="24"/>
                <w:highlight w:val="none"/>
              </w:rPr>
              <w:t>:</w:t>
            </w:r>
            <w:r>
              <w:rPr>
                <w:rFonts w:hint="eastAsia" w:ascii="Times New Roman"/>
                <w:sz w:val="24"/>
                <w:highlight w:val="none"/>
                <w:lang w:val="en-US" w:eastAsia="zh-CN"/>
              </w:rPr>
              <w:t xml:space="preserve">     </w:t>
            </w:r>
            <w:r>
              <w:rPr>
                <w:sz w:val="24"/>
                <w:highlight w:val="none"/>
              </w:rPr>
              <w:t>年</w:t>
            </w:r>
            <w:r>
              <w:rPr>
                <w:rFonts w:hint="eastAsia"/>
                <w:sz w:val="24"/>
                <w:highlight w:val="none"/>
                <w:lang w:val="en-US" w:eastAsia="zh-CN"/>
              </w:rPr>
              <w:t xml:space="preserve">  </w:t>
            </w:r>
            <w:r>
              <w:rPr>
                <w:sz w:val="24"/>
                <w:highlight w:val="none"/>
              </w:rPr>
              <w:t xml:space="preserve"> 月</w:t>
            </w:r>
            <w:r>
              <w:rPr>
                <w:rFonts w:hint="eastAsia"/>
                <w:sz w:val="24"/>
                <w:highlight w:val="none"/>
                <w:lang w:val="en-US" w:eastAsia="zh-CN"/>
              </w:rPr>
              <w:t xml:space="preserve">  </w:t>
            </w:r>
            <w:r>
              <w:rPr>
                <w:sz w:val="24"/>
                <w:highlight w:val="none"/>
              </w:rPr>
              <w:t xml:space="preserve"> 日</w:t>
            </w:r>
            <w:r>
              <w:rPr>
                <w:rFonts w:hint="eastAsia"/>
                <w:sz w:val="24"/>
                <w:highlight w:val="none"/>
                <w:lang w:val="en-US" w:eastAsia="zh-CN"/>
              </w:rPr>
              <w:t xml:space="preserve">   </w:t>
            </w:r>
            <w:r>
              <w:rPr>
                <w:rFonts w:hint="eastAsia"/>
                <w:sz w:val="24"/>
                <w:highlight w:val="none"/>
                <w:lang w:eastAsia="zh-CN"/>
              </w:rPr>
              <w:t>时</w:t>
            </w:r>
            <w:r>
              <w:rPr>
                <w:rFonts w:ascii="Times New Roman" w:eastAsia="Times New Roman"/>
                <w:sz w:val="24"/>
                <w:highlight w:val="none"/>
              </w:rPr>
              <w:t xml:space="preserve"> </w:t>
            </w:r>
            <w:r>
              <w:rPr>
                <w:rFonts w:hint="eastAsia" w:ascii="Times New Roman"/>
                <w:sz w:val="24"/>
                <w:highlight w:val="none"/>
                <w:lang w:val="en-US" w:eastAsia="zh-CN"/>
              </w:rPr>
              <w:t xml:space="preserve">  </w:t>
            </w:r>
            <w:r>
              <w:rPr>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jc w:val="center"/>
        </w:trPr>
        <w:tc>
          <w:tcPr>
            <w:tcW w:w="81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序号</w:t>
            </w:r>
          </w:p>
        </w:tc>
        <w:tc>
          <w:tcPr>
            <w:tcW w:w="140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center"/>
              <w:textAlignment w:val="auto"/>
              <w:rPr>
                <w:sz w:val="24"/>
                <w:highlight w:val="none"/>
              </w:rPr>
            </w:pPr>
            <w:r>
              <w:rPr>
                <w:sz w:val="24"/>
                <w:highlight w:val="none"/>
              </w:rPr>
              <w:t>供应商名称</w:t>
            </w:r>
          </w:p>
        </w:tc>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磋商报价（元）</w:t>
            </w:r>
          </w:p>
        </w:tc>
        <w:tc>
          <w:tcPr>
            <w:tcW w:w="245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r>
              <w:rPr>
                <w:sz w:val="24"/>
                <w:highlight w:val="none"/>
              </w:rPr>
              <w:t>中小企业给予6 %</w:t>
            </w:r>
          </w:p>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r>
              <w:rPr>
                <w:sz w:val="24"/>
                <w:highlight w:val="none"/>
              </w:rPr>
              <w:t>价格扣除后报价（元）</w:t>
            </w:r>
          </w:p>
        </w:tc>
        <w:tc>
          <w:tcPr>
            <w:tcW w:w="128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r>
              <w:rPr>
                <w:sz w:val="24"/>
                <w:highlight w:val="none"/>
              </w:rPr>
              <w:t>评</w:t>
            </w:r>
            <w:r>
              <w:rPr>
                <w:rFonts w:hint="eastAsia"/>
                <w:sz w:val="24"/>
                <w:highlight w:val="none"/>
                <w:lang w:eastAsia="zh-CN"/>
              </w:rPr>
              <w:t>标</w:t>
            </w:r>
            <w:r>
              <w:rPr>
                <w:sz w:val="24"/>
                <w:highlight w:val="none"/>
              </w:rPr>
              <w:t>基准价（元）</w:t>
            </w:r>
          </w:p>
        </w:tc>
        <w:tc>
          <w:tcPr>
            <w:tcW w:w="122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价格分值</w:t>
            </w:r>
          </w:p>
        </w:tc>
        <w:tc>
          <w:tcPr>
            <w:tcW w:w="92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17"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restart"/>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restart"/>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17"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continue"/>
            <w:tcBorders>
              <w:top w:val="nil"/>
            </w:tcBorders>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continue"/>
            <w:tcBorders>
              <w:top w:val="nil"/>
            </w:tcBorders>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jc w:val="center"/>
        </w:trPr>
        <w:tc>
          <w:tcPr>
            <w:tcW w:w="817"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continue"/>
            <w:tcBorders>
              <w:top w:val="nil"/>
            </w:tcBorders>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continue"/>
            <w:tcBorders>
              <w:top w:val="nil"/>
            </w:tcBorders>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17"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continue"/>
            <w:tcBorders>
              <w:top w:val="nil"/>
            </w:tcBorders>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continue"/>
            <w:tcBorders>
              <w:top w:val="nil"/>
            </w:tcBorders>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8"/>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5" w:hRule="atLeast"/>
          <w:jc w:val="center"/>
        </w:trPr>
        <w:tc>
          <w:tcPr>
            <w:tcW w:w="9860" w:type="dxa"/>
            <w:gridSpan w:val="7"/>
          </w:tcPr>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pPr>
            <w:r>
              <w:rPr>
                <w:sz w:val="24"/>
                <w:highlight w:val="none"/>
              </w:rPr>
              <w:t>注，中小企业价格扣除仅对磋商报价未超过采购预算价的供应商有效。</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pPr>
            <w:r>
              <w:rPr>
                <w:sz w:val="24"/>
                <w:highlight w:val="none"/>
              </w:rPr>
              <w:t>评审专家（签字）：</w:t>
            </w:r>
          </w:p>
        </w:tc>
      </w:tr>
    </w:tbl>
    <w:p>
      <w:pPr>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sectPr>
          <w:footerReference r:id="rId6" w:type="default"/>
          <w:pgSz w:w="11910" w:h="16840"/>
          <w:pgMar w:top="1380" w:right="1134" w:bottom="1134" w:left="1580" w:header="0" w:footer="626" w:gutter="0"/>
          <w:pgBorders>
            <w:top w:val="none" w:sz="0" w:space="0"/>
            <w:left w:val="none" w:sz="0" w:space="0"/>
            <w:bottom w:val="none" w:sz="0" w:space="0"/>
            <w:right w:val="none" w:sz="0" w:space="0"/>
          </w:pgBorders>
          <w:pgNumType w:fmt="decimal"/>
        </w:sect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0" w:right="0" w:firstLine="0"/>
        <w:jc w:val="center"/>
        <w:textAlignment w:val="auto"/>
        <w:rPr>
          <w:b/>
          <w:sz w:val="32"/>
          <w:highlight w:val="none"/>
        </w:rPr>
      </w:pPr>
      <w:r>
        <w:rPr>
          <w:b/>
          <w:w w:val="95"/>
          <w:sz w:val="32"/>
          <w:highlight w:val="none"/>
        </w:rPr>
        <w:t>评分汇总表</w:t>
      </w:r>
    </w:p>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rFonts w:ascii="宋体" w:hAnsi="宋体" w:eastAsia="宋体" w:cs="宋体"/>
          <w:sz w:val="24"/>
          <w:szCs w:val="24"/>
          <w:highlight w:val="none"/>
          <w:lang w:val="en-US" w:eastAsia="en-US" w:bidi="ar-SA"/>
        </w:rPr>
      </w:pPr>
      <w:r>
        <w:rPr>
          <w:rFonts w:ascii="宋体" w:hAnsi="宋体" w:eastAsia="宋体" w:cs="宋体"/>
          <w:sz w:val="24"/>
          <w:szCs w:val="24"/>
          <w:highlight w:val="none"/>
          <w:lang w:val="en-US" w:eastAsia="en-US" w:bidi="ar-SA"/>
        </w:rPr>
        <w:t>项目名称：</w:t>
      </w:r>
      <w:r>
        <w:rPr>
          <w:rFonts w:hint="eastAsia" w:ascii="宋体" w:hAnsi="宋体" w:eastAsia="宋体" w:cs="宋体"/>
          <w:sz w:val="24"/>
          <w:szCs w:val="24"/>
          <w:highlight w:val="none"/>
          <w:lang w:val="en-US" w:eastAsia="en-US" w:bidi="ar-SA"/>
        </w:rPr>
        <w:t>江口县德旺乡净河村地表径流污水净化利用示范项目工程量清单采购</w:t>
      </w:r>
    </w:p>
    <w:p>
      <w:pPr>
        <w:pStyle w:val="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highlight w:val="none"/>
        </w:rPr>
      </w:pPr>
      <w:r>
        <w:rPr>
          <w:highlight w:val="none"/>
        </w:rPr>
        <w:t>项目编号：</w:t>
      </w:r>
      <w:r>
        <w:rPr>
          <w:rFonts w:hint="eastAsia"/>
          <w:highlight w:val="none"/>
          <w:lang w:val="en-US" w:eastAsia="zh-CN"/>
        </w:rPr>
        <w:t>GZJL-ZBCG-CG-20003(V)</w:t>
      </w:r>
    </w:p>
    <w:tbl>
      <w:tblPr>
        <w:tblStyle w:val="13"/>
        <w:tblW w:w="938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563"/>
        <w:gridCol w:w="1563"/>
        <w:gridCol w:w="1564"/>
        <w:gridCol w:w="1562"/>
        <w:gridCol w:w="1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专家</w:t>
            </w: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专家姓名</w:t>
            </w: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1</w:t>
            </w:r>
          </w:p>
        </w:tc>
        <w:tc>
          <w:tcPr>
            <w:tcW w:w="15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2</w:t>
            </w:r>
          </w:p>
        </w:tc>
        <w:tc>
          <w:tcPr>
            <w:tcW w:w="156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3</w:t>
            </w:r>
          </w:p>
        </w:tc>
        <w:tc>
          <w:tcPr>
            <w:tcW w:w="156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563"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17"/>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center"/>
              <w:textAlignment w:val="auto"/>
              <w:rPr>
                <w:sz w:val="24"/>
                <w:highlight w:val="none"/>
              </w:rPr>
            </w:pPr>
            <w:r>
              <w:rPr>
                <w:sz w:val="24"/>
                <w:highlight w:val="none"/>
              </w:rPr>
              <w:t>贵州省综合评标专家库专家</w:t>
            </w: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56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
                <w:szCs w:val="2"/>
                <w:highlight w:val="none"/>
              </w:rPr>
            </w:pP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56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
                <w:szCs w:val="2"/>
                <w:highlight w:val="none"/>
              </w:rPr>
            </w:pP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56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
                <w:szCs w:val="2"/>
                <w:highlight w:val="none"/>
              </w:rPr>
            </w:pP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采购人代表</w:t>
            </w:r>
          </w:p>
        </w:tc>
        <w:tc>
          <w:tcPr>
            <w:tcW w:w="156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3126"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总分</w:t>
            </w: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3126"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平均分</w:t>
            </w: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3126"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排序</w:t>
            </w:r>
          </w:p>
        </w:tc>
        <w:tc>
          <w:tcPr>
            <w:tcW w:w="1563"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磋商供应商须知前附表 4：中小企业及监狱企业优惠办法</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7"/>
          <w:highlight w:val="none"/>
        </w:rPr>
      </w:pPr>
    </w:p>
    <w:tbl>
      <w:tblPr>
        <w:tblStyle w:val="13"/>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2595"/>
        <w:gridCol w:w="5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74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序号</w:t>
            </w:r>
          </w:p>
        </w:tc>
        <w:tc>
          <w:tcPr>
            <w:tcW w:w="259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项目</w:t>
            </w:r>
          </w:p>
        </w:tc>
        <w:tc>
          <w:tcPr>
            <w:tcW w:w="595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5" w:hRule="atLeast"/>
        </w:trPr>
        <w:tc>
          <w:tcPr>
            <w:tcW w:w="747" w:type="dxa"/>
            <w:tcBorders>
              <w:bottom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1</w:t>
            </w:r>
          </w:p>
        </w:tc>
        <w:tc>
          <w:tcPr>
            <w:tcW w:w="2595" w:type="dxa"/>
            <w:tcBorders>
              <w:bottom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b/>
                <w:sz w:val="24"/>
                <w:highlight w:val="none"/>
              </w:rPr>
            </w:pPr>
            <w:r>
              <w:rPr>
                <w:b/>
                <w:sz w:val="24"/>
                <w:highlight w:val="none"/>
              </w:rPr>
              <w:t>本项目是否属于专门面 向中小企业和监</w:t>
            </w:r>
            <w:r>
              <w:rPr>
                <w:b/>
                <w:w w:val="95"/>
                <w:sz w:val="24"/>
                <w:highlight w:val="none"/>
              </w:rPr>
              <w:t>狱企业的政府采购活动：</w:t>
            </w:r>
          </w:p>
        </w:tc>
        <w:tc>
          <w:tcPr>
            <w:tcW w:w="5956" w:type="dxa"/>
            <w:tcBorders>
              <w:bottom w:val="nil"/>
            </w:tcBorders>
          </w:tcPr>
          <w:p>
            <w:pPr>
              <w:pStyle w:val="18"/>
              <w:keepNext w:val="0"/>
              <w:keepLines w:val="0"/>
              <w:pageBreakBefore w:val="0"/>
              <w:widowControl w:val="0"/>
              <w:tabs>
                <w:tab w:val="left" w:pos="942"/>
              </w:tabs>
              <w:kinsoku/>
              <w:wordWrap/>
              <w:overflowPunct/>
              <w:topLinePunct w:val="0"/>
              <w:autoSpaceDE w:val="0"/>
              <w:autoSpaceDN w:val="0"/>
              <w:bidi w:val="0"/>
              <w:adjustRightInd/>
              <w:snapToGrid/>
              <w:spacing w:before="0" w:after="0"/>
              <w:ind w:left="0" w:right="0" w:firstLine="240" w:firstLineChars="100"/>
              <w:jc w:val="both"/>
              <w:textAlignment w:val="auto"/>
              <w:rPr>
                <w:sz w:val="24"/>
                <w:highlight w:val="none"/>
              </w:rPr>
            </w:pPr>
            <w:r>
              <w:rPr>
                <w:b w:val="0"/>
                <w:bCs/>
                <w:sz w:val="24"/>
                <w:highlight w:val="none"/>
              </w:rPr>
              <w:sym w:font="Wingdings 2" w:char="00A3"/>
            </w:r>
            <w:r>
              <w:rPr>
                <w:sz w:val="24"/>
                <w:highlight w:val="none"/>
              </w:rPr>
              <w:t>是/</w:t>
            </w:r>
            <w:r>
              <w:rPr>
                <w:rFonts w:ascii="Arial" w:hAnsi="Arial" w:eastAsia="Arial"/>
                <w:sz w:val="24"/>
                <w:highlight w:val="none"/>
              </w:rPr>
              <w:t>√</w:t>
            </w:r>
            <w:r>
              <w:rPr>
                <w:rFonts w:ascii="Arial" w:hAnsi="Arial" w:eastAsia="Arial"/>
                <w:spacing w:val="51"/>
                <w:sz w:val="24"/>
                <w:highlight w:val="none"/>
              </w:rPr>
              <w:t xml:space="preserve"> </w:t>
            </w:r>
            <w:r>
              <w:rPr>
                <w:sz w:val="24"/>
                <w:highlight w:val="none"/>
              </w:rPr>
              <w:t>否</w:t>
            </w:r>
          </w:p>
          <w:p>
            <w:pPr>
              <w:pStyle w:val="18"/>
              <w:keepNext w:val="0"/>
              <w:keepLines w:val="0"/>
              <w:pageBreakBefore w:val="0"/>
              <w:widowControl w:val="0"/>
              <w:tabs>
                <w:tab w:val="left" w:pos="942"/>
              </w:tabs>
              <w:kinsoku/>
              <w:wordWrap/>
              <w:overflowPunct/>
              <w:topLinePunct w:val="0"/>
              <w:autoSpaceDE w:val="0"/>
              <w:autoSpaceDN w:val="0"/>
              <w:bidi w:val="0"/>
              <w:adjustRightInd/>
              <w:snapToGrid/>
              <w:spacing w:before="0" w:after="0"/>
              <w:ind w:left="0" w:right="0"/>
              <w:jc w:val="both"/>
              <w:textAlignment w:val="auto"/>
              <w:rPr>
                <w:sz w:val="24"/>
                <w:highlight w:val="none"/>
              </w:rPr>
            </w:pPr>
          </w:p>
          <w:p>
            <w:pPr>
              <w:pStyle w:val="18"/>
              <w:keepNext w:val="0"/>
              <w:keepLines w:val="0"/>
              <w:pageBreakBefore w:val="0"/>
              <w:widowControl w:val="0"/>
              <w:tabs>
                <w:tab w:val="left" w:pos="942"/>
              </w:tabs>
              <w:kinsoku/>
              <w:wordWrap/>
              <w:overflowPunct/>
              <w:topLinePunct w:val="0"/>
              <w:autoSpaceDE w:val="0"/>
              <w:autoSpaceDN w:val="0"/>
              <w:bidi w:val="0"/>
              <w:adjustRightInd/>
              <w:snapToGrid/>
              <w:spacing w:before="0" w:after="0"/>
              <w:ind w:left="0" w:right="0" w:firstLine="480" w:firstLineChars="200"/>
              <w:jc w:val="both"/>
              <w:textAlignment w:val="auto"/>
              <w:rPr>
                <w:sz w:val="24"/>
                <w:highlight w:val="none"/>
              </w:rPr>
            </w:pPr>
            <w:r>
              <w:rPr>
                <w:sz w:val="24"/>
                <w:highlight w:val="none"/>
              </w:rPr>
              <w:t>（监狱企业视同小型、微型企业）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5" w:hRule="atLeast"/>
        </w:trPr>
        <w:tc>
          <w:tcPr>
            <w:tcW w:w="74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2</w:t>
            </w:r>
          </w:p>
        </w:tc>
        <w:tc>
          <w:tcPr>
            <w:tcW w:w="259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5"/>
                <w:sz w:val="24"/>
                <w:highlight w:val="none"/>
              </w:rPr>
              <w:t>中小企业的认定标准</w:t>
            </w:r>
          </w:p>
        </w:tc>
        <w:tc>
          <w:tcPr>
            <w:tcW w:w="595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磋商供应商须同时满足以下两个条件，才能认定</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pacing w:val="-11"/>
                <w:sz w:val="24"/>
                <w:highlight w:val="none"/>
              </w:rPr>
              <w:t>为中小企业</w:t>
            </w:r>
            <w:r>
              <w:rPr>
                <w:b/>
                <w:w w:val="99"/>
                <w:sz w:val="24"/>
                <w:highlight w:val="none"/>
              </w:rPr>
              <w:t>（</w:t>
            </w:r>
            <w:r>
              <w:rPr>
                <w:b/>
                <w:spacing w:val="-11"/>
                <w:w w:val="99"/>
                <w:sz w:val="24"/>
                <w:highlight w:val="none"/>
              </w:rPr>
              <w:t>含中型、小</w:t>
            </w:r>
            <w:r>
              <w:rPr>
                <w:b/>
                <w:spacing w:val="0"/>
                <w:sz w:val="24"/>
                <w:highlight w:val="none"/>
              </w:rPr>
              <w:t xml:space="preserve"> </w:t>
            </w:r>
            <w:r>
              <w:rPr>
                <w:b/>
                <w:spacing w:val="-13"/>
                <w:w w:val="99"/>
                <w:sz w:val="24"/>
                <w:highlight w:val="none"/>
              </w:rPr>
              <w:t>型、微型企业，下同</w:t>
            </w:r>
            <w:r>
              <w:rPr>
                <w:b/>
                <w:spacing w:val="-130"/>
                <w:w w:val="99"/>
                <w:sz w:val="24"/>
                <w:highlight w:val="none"/>
              </w:rPr>
              <w:t>）</w:t>
            </w:r>
            <w:r>
              <w:rPr>
                <w:spacing w:val="-12"/>
                <w:sz w:val="24"/>
                <w:highlight w:val="none"/>
              </w:rPr>
              <w:t>：</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120"/>
              <w:jc w:val="both"/>
              <w:textAlignment w:val="auto"/>
              <w:rPr>
                <w:sz w:val="24"/>
                <w:highlight w:val="none"/>
              </w:rPr>
            </w:pPr>
            <w:r>
              <w:rPr>
                <w:spacing w:val="-6"/>
                <w:sz w:val="24"/>
                <w:highlight w:val="none"/>
              </w:rPr>
              <w:t>（1）</w:t>
            </w:r>
            <w:r>
              <w:rPr>
                <w:spacing w:val="-8"/>
                <w:sz w:val="24"/>
                <w:highlight w:val="none"/>
              </w:rPr>
              <w:t>符合《工业和信息化部、国家统计局、国</w:t>
            </w:r>
            <w:r>
              <w:rPr>
                <w:spacing w:val="-12"/>
                <w:sz w:val="24"/>
                <w:highlight w:val="none"/>
              </w:rPr>
              <w:t>家发展和改革委员会、财政部关于印发中小企业</w:t>
            </w:r>
            <w:r>
              <w:rPr>
                <w:spacing w:val="-1"/>
                <w:sz w:val="24"/>
                <w:highlight w:val="none"/>
              </w:rPr>
              <w:t>划型标准规定的通知》</w:t>
            </w:r>
            <w:r>
              <w:rPr>
                <w:sz w:val="24"/>
                <w:highlight w:val="none"/>
              </w:rPr>
              <w:t>（工信部联企业〔2011〕</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300 号）规定的中小企业划分标准；</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注： 联合体参与磋商响应的的，以联合体中划</w:t>
            </w:r>
            <w:r>
              <w:rPr>
                <w:spacing w:val="-8"/>
                <w:sz w:val="24"/>
                <w:highlight w:val="none"/>
              </w:rPr>
              <w:t>型标准较高的一方，作为该联合体的企业划型标准。</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（2）提供本企业制造的货物、承担的工程或者服务，或者提供其他中小企业制造的货物。本项</w:t>
            </w: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 xml:space="preserve">所称货物不包括使用大型企业注册商标的货物；注：小型、微型企业提供中型企业制造的货物 </w:t>
            </w:r>
            <w:r>
              <w:rPr>
                <w:spacing w:val="-8"/>
                <w:sz w:val="24"/>
                <w:highlight w:val="none"/>
              </w:rPr>
              <w:t>的，视同为中型企业；中型企业提供小型、微型</w:t>
            </w:r>
            <w:r>
              <w:rPr>
                <w:spacing w:val="-12"/>
                <w:sz w:val="24"/>
                <w:highlight w:val="none"/>
              </w:rPr>
              <w:t>企业制造的货物的，视同为中型企业；中小企业</w:t>
            </w:r>
            <w:r>
              <w:rPr>
                <w:spacing w:val="-1"/>
                <w:sz w:val="24"/>
                <w:highlight w:val="none"/>
              </w:rPr>
              <w:t>提供大型企业制造的货物的，视同为大型企业。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0" w:hRule="atLeast"/>
        </w:trPr>
        <w:tc>
          <w:tcPr>
            <w:tcW w:w="74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3</w:t>
            </w:r>
          </w:p>
        </w:tc>
        <w:tc>
          <w:tcPr>
            <w:tcW w:w="259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5"/>
                <w:sz w:val="24"/>
                <w:highlight w:val="none"/>
              </w:rPr>
              <w:t>监狱企业的认定标准</w:t>
            </w:r>
          </w:p>
        </w:tc>
        <w:tc>
          <w:tcPr>
            <w:tcW w:w="5956" w:type="dxa"/>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4"/>
                <w:highlight w:val="none"/>
              </w:rPr>
            </w:pPr>
            <w:r>
              <w:rPr>
                <w:sz w:val="24"/>
                <w:highlight w:val="none"/>
              </w:rPr>
              <w:t>需提供由省级以上监狱管理局、戒毒管理局</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pPr>
            <w:r>
              <w:rPr>
                <w:sz w:val="24"/>
                <w:highlight w:val="none"/>
              </w:rPr>
              <w:t>（含新疆生产建设兵团</w:t>
            </w:r>
            <w:r>
              <w:rPr>
                <w:spacing w:val="-70"/>
                <w:sz w:val="24"/>
                <w:highlight w:val="none"/>
              </w:rPr>
              <w:t>）</w:t>
            </w:r>
            <w:r>
              <w:rPr>
                <w:sz w:val="24"/>
                <w:highlight w:val="none"/>
              </w:rPr>
              <w:t>出具的属于监狱企业的证明文件的企业。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7" w:hRule="atLeast"/>
        </w:trPr>
        <w:tc>
          <w:tcPr>
            <w:tcW w:w="74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9"/>
                <w:sz w:val="24"/>
                <w:highlight w:val="none"/>
              </w:rPr>
              <w:t>4</w:t>
            </w:r>
          </w:p>
        </w:tc>
        <w:tc>
          <w:tcPr>
            <w:tcW w:w="259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5"/>
                <w:sz w:val="24"/>
                <w:highlight w:val="none"/>
              </w:rPr>
              <w:t>优惠办法：</w:t>
            </w:r>
          </w:p>
        </w:tc>
        <w:tc>
          <w:tcPr>
            <w:tcW w:w="5956" w:type="dxa"/>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w w:val="95"/>
                <w:sz w:val="24"/>
                <w:highlight w:val="none"/>
              </w:rPr>
            </w:pPr>
            <w:r>
              <w:rPr>
                <w:b/>
                <w:w w:val="95"/>
                <w:sz w:val="24"/>
                <w:highlight w:val="none"/>
              </w:rPr>
              <w:t>小型企业或微型企业：</w:t>
            </w:r>
          </w:p>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firstLine="240" w:firstLineChars="100"/>
              <w:jc w:val="both"/>
              <w:textAlignment w:val="auto"/>
              <w:rPr>
                <w:sz w:val="24"/>
                <w:highlight w:val="none"/>
              </w:rPr>
            </w:pPr>
            <w:r>
              <w:rPr>
                <w:sz w:val="24"/>
                <w:highlight w:val="none"/>
              </w:rPr>
              <w:t>价格扣除：按报价的（94%）计算评审价</w:t>
            </w:r>
          </w:p>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right="0"/>
              <w:jc w:val="both"/>
              <w:textAlignment w:val="auto"/>
              <w:rPr>
                <w:b/>
                <w:sz w:val="24"/>
                <w:highlight w:val="none"/>
              </w:rPr>
            </w:pPr>
            <w:r>
              <w:rPr>
                <w:b/>
                <w:w w:val="95"/>
                <w:sz w:val="24"/>
                <w:highlight w:val="none"/>
              </w:rPr>
              <w:t>中型企业：</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z w:val="24"/>
                <w:highlight w:val="none"/>
              </w:rPr>
            </w:pPr>
            <w:r>
              <w:rPr>
                <w:sz w:val="24"/>
                <w:highlight w:val="none"/>
              </w:rPr>
              <w:t>大、中型企业与小型、微型企业组成联合体共同参加非专门面向中小企业的政府采购活动的，不视为中小企业。但联合协议中若约定，小型、微型企业的协议合同金额占到联合体协议合同总金额30％以上的，可给予联合体 2％-3%的价格扣除，用扣除后的价格参与评审（包括价格因素得分的计算）。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0" w:hRule="atLeast"/>
        </w:trPr>
        <w:tc>
          <w:tcPr>
            <w:tcW w:w="74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5</w:t>
            </w:r>
          </w:p>
        </w:tc>
        <w:tc>
          <w:tcPr>
            <w:tcW w:w="259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5"/>
                <w:sz w:val="24"/>
                <w:highlight w:val="none"/>
              </w:rPr>
              <w:t>证明材料</w:t>
            </w:r>
          </w:p>
        </w:tc>
        <w:tc>
          <w:tcPr>
            <w:tcW w:w="5956" w:type="dxa"/>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480"/>
              <w:jc w:val="both"/>
              <w:textAlignment w:val="auto"/>
              <w:rPr>
                <w:sz w:val="24"/>
                <w:highlight w:val="none"/>
              </w:rPr>
            </w:pPr>
            <w:r>
              <w:rPr>
                <w:sz w:val="24"/>
                <w:highlight w:val="none"/>
              </w:rPr>
              <w:t>供应商参与磋商响应时须对照《中小企业划</w:t>
            </w:r>
          </w:p>
          <w:p>
            <w:pPr>
              <w:pStyle w:val="18"/>
              <w:keepNext w:val="0"/>
              <w:keepLines w:val="0"/>
              <w:pageBreakBefore w:val="0"/>
              <w:widowControl w:val="0"/>
              <w:kinsoku/>
              <w:wordWrap/>
              <w:overflowPunct/>
              <w:topLinePunct w:val="0"/>
              <w:autoSpaceDE w:val="0"/>
              <w:autoSpaceDN w:val="0"/>
              <w:bidi w:val="0"/>
              <w:adjustRightInd/>
              <w:snapToGrid/>
              <w:spacing w:before="0" w:after="0" w:line="242" w:lineRule="auto"/>
              <w:ind w:left="0" w:right="0"/>
              <w:jc w:val="both"/>
              <w:textAlignment w:val="auto"/>
              <w:rPr>
                <w:sz w:val="24"/>
                <w:highlight w:val="none"/>
              </w:rPr>
            </w:pPr>
            <w:r>
              <w:rPr>
                <w:sz w:val="24"/>
                <w:highlight w:val="none"/>
              </w:rPr>
              <w:t>型标准规定》（工信部联企 业[2011]300 号） 文件规定，提供《中小企业声明函》。 符合监狱企业政策的供应商参与磋商时需提供省级以上监狱管理局、戒 毒管理局（含新疆生产建设兵团）出具的属于监狱企业的证明文件。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0" w:hRule="atLeast"/>
        </w:trPr>
        <w:tc>
          <w:tcPr>
            <w:tcW w:w="74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9"/>
                <w:sz w:val="24"/>
                <w:highlight w:val="none"/>
              </w:rPr>
              <w:t>6</w:t>
            </w:r>
          </w:p>
        </w:tc>
        <w:tc>
          <w:tcPr>
            <w:tcW w:w="259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5"/>
                <w:sz w:val="24"/>
                <w:highlight w:val="none"/>
              </w:rPr>
              <w:t>相关风险</w:t>
            </w:r>
          </w:p>
        </w:tc>
        <w:tc>
          <w:tcPr>
            <w:tcW w:w="5956" w:type="dxa"/>
          </w:tcPr>
          <w:p>
            <w:pPr>
              <w:pStyle w:val="18"/>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sz w:val="24"/>
                <w:highlight w:val="none"/>
              </w:rPr>
            </w:pPr>
            <w:r>
              <w:rPr>
                <w:b/>
                <w:w w:val="95"/>
                <w:sz w:val="24"/>
                <w:highlight w:val="none"/>
              </w:rPr>
              <w:t>一、经评审委员会评审，存在下列任一情况的，</w:t>
            </w: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4"/>
                <w:highlight w:val="none"/>
              </w:rPr>
            </w:pPr>
            <w:r>
              <w:rPr>
                <w:b/>
                <w:w w:val="95"/>
                <w:sz w:val="24"/>
                <w:highlight w:val="none"/>
              </w:rPr>
              <w:t>磋商供应商将不被视为中小企业：</w:t>
            </w: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1. 磋商供应商不符合“工信部联企业[2011]300 号”规定的中小企业标准的；</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z w:val="24"/>
                <w:highlight w:val="none"/>
              </w:rPr>
            </w:pPr>
            <w:r>
              <w:rPr>
                <w:sz w:val="24"/>
                <w:highlight w:val="none"/>
              </w:rPr>
              <w:t>2.响应货物全部或部分为使用大型企业注册商标的货物的；</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pacing w:val="-11"/>
                <w:sz w:val="24"/>
                <w:highlight w:val="none"/>
              </w:rPr>
            </w:pPr>
            <w:r>
              <w:rPr>
                <w:sz w:val="24"/>
                <w:highlight w:val="none"/>
              </w:rPr>
              <w:t>3. 响应文件中标明的中小企业产品的制造</w:t>
            </w:r>
            <w:r>
              <w:rPr>
                <w:spacing w:val="-6"/>
                <w:sz w:val="24"/>
                <w:highlight w:val="none"/>
              </w:rPr>
              <w:t>商不符合“工信部联企业</w:t>
            </w:r>
            <w:r>
              <w:rPr>
                <w:sz w:val="24"/>
                <w:highlight w:val="none"/>
              </w:rPr>
              <w:t>[2011]300</w:t>
            </w:r>
            <w:r>
              <w:rPr>
                <w:spacing w:val="-7"/>
                <w:sz w:val="24"/>
                <w:highlight w:val="none"/>
              </w:rPr>
              <w:t xml:space="preserve"> 号”规定的</w:t>
            </w:r>
            <w:r>
              <w:rPr>
                <w:spacing w:val="-11"/>
                <w:sz w:val="24"/>
                <w:highlight w:val="none"/>
              </w:rPr>
              <w:t xml:space="preserve">中小企业标准的； </w:t>
            </w:r>
          </w:p>
          <w:p>
            <w:pPr>
              <w:pStyle w:val="18"/>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z w:val="24"/>
                <w:highlight w:val="none"/>
              </w:rPr>
            </w:pPr>
            <w:r>
              <w:rPr>
                <w:sz w:val="24"/>
                <w:highlight w:val="none"/>
              </w:rPr>
              <w:t>4.</w:t>
            </w:r>
            <w:r>
              <w:rPr>
                <w:spacing w:val="-6"/>
                <w:sz w:val="24"/>
                <w:highlight w:val="none"/>
              </w:rPr>
              <w:t xml:space="preserve">未按本附表第 </w:t>
            </w:r>
            <w:r>
              <w:rPr>
                <w:sz w:val="24"/>
                <w:highlight w:val="none"/>
              </w:rPr>
              <w:t>5 项要求提供合法、有效、完整资料的。</w:t>
            </w:r>
          </w:p>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4"/>
                <w:highlight w:val="none"/>
              </w:rPr>
            </w:pPr>
            <w:r>
              <w:rPr>
                <w:b/>
                <w:w w:val="95"/>
                <w:sz w:val="24"/>
                <w:highlight w:val="none"/>
              </w:rPr>
              <w:t>二、提供虚假证明材料后果：</w:t>
            </w:r>
          </w:p>
          <w:p>
            <w:pPr>
              <w:pStyle w:val="18"/>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both"/>
              <w:textAlignment w:val="auto"/>
              <w:rPr>
                <w:sz w:val="24"/>
                <w:highlight w:val="none"/>
              </w:rPr>
            </w:pPr>
            <w:r>
              <w:rPr>
                <w:sz w:val="24"/>
                <w:highlight w:val="none"/>
              </w:rPr>
              <w:t xml:space="preserve">供应商为取得中小企业身份而提供虚假证 </w:t>
            </w:r>
            <w:r>
              <w:rPr>
                <w:spacing w:val="-15"/>
                <w:sz w:val="24"/>
                <w:highlight w:val="none"/>
              </w:rPr>
              <w:t>明材料，在评审过程中发现的，按无效响应处理，</w:t>
            </w:r>
            <w:r>
              <w:rPr>
                <w:spacing w:val="-16"/>
                <w:sz w:val="24"/>
                <w:highlight w:val="none"/>
              </w:rPr>
              <w:t>磋商保证金不予退还；已取得成交资格的，无论</w:t>
            </w:r>
            <w:r>
              <w:rPr>
                <w:spacing w:val="-7"/>
                <w:sz w:val="24"/>
                <w:highlight w:val="none"/>
              </w:rPr>
              <w:t>该行为是否影响成交，均取消其成交资格，磋商</w:t>
            </w:r>
            <w:r>
              <w:rPr>
                <w:sz w:val="24"/>
                <w:highlight w:val="none"/>
              </w:rPr>
              <w:t>保证金、采购代理服务费不予退还，该供应商还</w:t>
            </w:r>
          </w:p>
          <w:p>
            <w:pPr>
              <w:pStyle w:val="18"/>
              <w:keepNext w:val="0"/>
              <w:keepLines w:val="0"/>
              <w:pageBreakBefore w:val="0"/>
              <w:widowControl w:val="0"/>
              <w:kinsoku/>
              <w:wordWrap/>
              <w:overflowPunct/>
              <w:topLinePunct w:val="0"/>
              <w:autoSpaceDE w:val="0"/>
              <w:autoSpaceDN w:val="0"/>
              <w:bidi w:val="0"/>
              <w:adjustRightInd/>
              <w:snapToGrid/>
              <w:spacing w:before="0" w:after="0" w:line="242" w:lineRule="auto"/>
              <w:ind w:left="0" w:right="0" w:firstLine="480"/>
              <w:jc w:val="both"/>
              <w:textAlignment w:val="auto"/>
              <w:rPr>
                <w:sz w:val="24"/>
                <w:highlight w:val="none"/>
              </w:rPr>
            </w:pPr>
            <w:r>
              <w:rPr>
                <w:spacing w:val="-5"/>
                <w:sz w:val="24"/>
                <w:highlight w:val="none"/>
              </w:rPr>
              <w:t>应承担由此引起的其他经济、法律责任。出现此</w:t>
            </w:r>
            <w:r>
              <w:rPr>
                <w:spacing w:val="-10"/>
                <w:sz w:val="24"/>
                <w:highlight w:val="none"/>
              </w:rPr>
              <w:t>种情形时，采购人、采购代理机构将有关情况上</w:t>
            </w:r>
            <w:r>
              <w:rPr>
                <w:spacing w:val="-13"/>
                <w:sz w:val="24"/>
                <w:highlight w:val="none"/>
              </w:rPr>
              <w:t>报政府采购监管部门，由监管部门按有关规定对其进行相应处罚。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9298"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pacing w:val="-5"/>
                <w:sz w:val="24"/>
                <w:highlight w:val="none"/>
              </w:rPr>
            </w:pPr>
            <w:r>
              <w:rPr>
                <w:b/>
                <w:w w:val="95"/>
                <w:sz w:val="24"/>
                <w:highlight w:val="none"/>
              </w:rPr>
              <w:t>提醒事项：成交供应商必须凭成交通知书的原件与采购人签订《政府采购合同》。</w:t>
            </w:r>
          </w:p>
        </w:tc>
      </w:tr>
    </w:tbl>
    <w:p>
      <w:pPr>
        <w:keepNext w:val="0"/>
        <w:keepLines w:val="0"/>
        <w:pageBreakBefore w:val="0"/>
        <w:widowControl w:val="0"/>
        <w:kinsoku/>
        <w:wordWrap/>
        <w:overflowPunct/>
        <w:topLinePunct w:val="0"/>
        <w:autoSpaceDE w:val="0"/>
        <w:autoSpaceDN w:val="0"/>
        <w:bidi w:val="0"/>
        <w:adjustRightInd/>
        <w:snapToGrid/>
        <w:spacing w:before="0" w:after="0" w:line="242" w:lineRule="auto"/>
        <w:ind w:left="0" w:right="0"/>
        <w:jc w:val="both"/>
        <w:textAlignment w:val="auto"/>
        <w:rPr>
          <w:sz w:val="24"/>
          <w:highlight w:val="none"/>
        </w:rPr>
        <w:sectPr>
          <w:pgSz w:w="11910" w:h="16840"/>
          <w:pgMar w:top="1420" w:right="1560" w:bottom="820" w:left="1580" w:header="0" w:footer="62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0"/>
        <w:jc w:val="center"/>
        <w:textAlignment w:val="auto"/>
        <w:rPr>
          <w:rFonts w:ascii="宋体" w:hAnsi="宋体" w:eastAsia="宋体" w:cs="宋体"/>
          <w:b/>
          <w:sz w:val="36"/>
          <w:szCs w:val="22"/>
          <w:highlight w:val="none"/>
          <w:lang w:val="en-US" w:eastAsia="en-US" w:bidi="ar-SA"/>
        </w:rPr>
      </w:pPr>
      <w:r>
        <w:rPr>
          <w:rFonts w:ascii="宋体" w:hAnsi="宋体" w:eastAsia="宋体" w:cs="宋体"/>
          <w:b/>
          <w:sz w:val="36"/>
          <w:szCs w:val="22"/>
          <w:highlight w:val="none"/>
          <w:lang w:val="en-US" w:eastAsia="en-US" w:bidi="ar-SA"/>
        </w:rPr>
        <w:t>第三章 磋商响应供应商须知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1446" w:firstLineChars="400"/>
        <w:jc w:val="both"/>
        <w:textAlignment w:val="auto"/>
        <w:rPr>
          <w:rFonts w:ascii="宋体" w:hAnsi="宋体" w:eastAsia="宋体" w:cs="宋体"/>
          <w:b/>
          <w:sz w:val="36"/>
          <w:szCs w:val="22"/>
          <w:highlight w:val="none"/>
          <w:lang w:val="en-US" w:eastAsia="en-US"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Chars="400" w:right="0" w:rightChars="0"/>
        <w:jc w:val="center"/>
        <w:textAlignment w:val="auto"/>
        <w:rPr>
          <w:rFonts w:ascii="宋体" w:hAnsi="宋体" w:eastAsia="宋体" w:cs="宋体"/>
          <w:b/>
          <w:sz w:val="36"/>
          <w:szCs w:val="22"/>
          <w:highlight w:val="none"/>
          <w:lang w:val="en-US" w:eastAsia="en-US" w:bidi="ar-SA"/>
        </w:rPr>
      </w:pPr>
      <w:r>
        <w:rPr>
          <w:rFonts w:hint="eastAsia" w:cs="宋体"/>
          <w:b/>
          <w:sz w:val="36"/>
          <w:szCs w:val="22"/>
          <w:highlight w:val="none"/>
          <w:lang w:val="en-US" w:eastAsia="zh-CN" w:bidi="ar-SA"/>
        </w:rPr>
        <w:t>一、</w:t>
      </w:r>
      <w:r>
        <w:rPr>
          <w:rFonts w:ascii="宋体" w:hAnsi="宋体" w:eastAsia="宋体" w:cs="宋体"/>
          <w:b/>
          <w:sz w:val="36"/>
          <w:szCs w:val="22"/>
          <w:highlight w:val="none"/>
          <w:lang w:val="en-US" w:eastAsia="en-US" w:bidi="ar-SA"/>
        </w:rPr>
        <w:t>说明</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ascii="宋体" w:hAnsi="宋体" w:eastAsia="宋体" w:cs="宋体"/>
          <w:b w:val="0"/>
          <w:bCs/>
          <w:sz w:val="24"/>
          <w:szCs w:val="18"/>
          <w:highlight w:val="none"/>
          <w:lang w:val="en-US" w:eastAsia="en-US" w:bidi="ar-SA"/>
        </w:rPr>
      </w:pPr>
      <w:r>
        <w:rPr>
          <w:rFonts w:ascii="宋体" w:hAnsi="宋体" w:eastAsia="宋体" w:cs="宋体"/>
          <w:b w:val="0"/>
          <w:bCs/>
          <w:sz w:val="24"/>
          <w:szCs w:val="18"/>
          <w:highlight w:val="none"/>
          <w:lang w:val="en-US" w:eastAsia="en-US" w:bidi="ar-SA"/>
        </w:rPr>
        <w:t>1.适用范围</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1.1 本磋商文件仅适用于邀请中所叙述项目的货物、服务及工程采购。</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2.定义</w:t>
      </w:r>
    </w:p>
    <w:p>
      <w:pPr>
        <w:pStyle w:val="17"/>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2.1</w:t>
      </w:r>
      <w:r>
        <w:rPr>
          <w:spacing w:val="-5"/>
          <w:sz w:val="24"/>
          <w:highlight w:val="none"/>
        </w:rPr>
        <w:t xml:space="preserve">“采购人”系指 </w:t>
      </w:r>
      <w:r>
        <w:rPr>
          <w:sz w:val="24"/>
          <w:highlight w:val="none"/>
        </w:rPr>
        <w:t>xxx</w:t>
      </w:r>
      <w:r>
        <w:rPr>
          <w:spacing w:val="-7"/>
          <w:sz w:val="24"/>
          <w:highlight w:val="none"/>
        </w:rPr>
        <w:t xml:space="preserve"> 单位。是采购活动当事人之一，负责项目的整体规划、技术方案可行性设计论证与实施，作为合同采购方(用户)的主体承担质疑回复、履行合同、验收等义务。</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val="en-US" w:eastAsia="zh-CN"/>
        </w:rPr>
        <w:t>2.2</w:t>
      </w:r>
      <w:r>
        <w:rPr>
          <w:sz w:val="24"/>
          <w:highlight w:val="none"/>
        </w:rPr>
        <w:t>“采购单位”系指组织本次采购活动的采购人或采购代理机构。</w:t>
      </w:r>
    </w:p>
    <w:p>
      <w:pPr>
        <w:pStyle w:val="17"/>
        <w:keepNext w:val="0"/>
        <w:keepLines w:val="0"/>
        <w:pageBreakBefore w:val="0"/>
        <w:widowControl w:val="0"/>
        <w:numPr>
          <w:ilvl w:val="0"/>
          <w:numId w:val="0"/>
        </w:numPr>
        <w:tabs>
          <w:tab w:val="left" w:pos="569"/>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7"/>
          <w:sz w:val="24"/>
          <w:highlight w:val="none"/>
          <w:lang w:val="en-US" w:eastAsia="zh-CN"/>
        </w:rPr>
        <w:t>2.3</w:t>
      </w:r>
      <w:r>
        <w:rPr>
          <w:spacing w:val="-7"/>
          <w:sz w:val="24"/>
          <w:highlight w:val="none"/>
        </w:rPr>
        <w:t>“采购代理机构”系指</w:t>
      </w:r>
      <w:r>
        <w:rPr>
          <w:rFonts w:hint="eastAsia"/>
          <w:spacing w:val="-7"/>
          <w:sz w:val="24"/>
          <w:highlight w:val="none"/>
          <w:lang w:eastAsia="zh-CN"/>
        </w:rPr>
        <w:t>贵州聚力项目管理咨询有限公司</w:t>
      </w:r>
      <w:r>
        <w:rPr>
          <w:spacing w:val="-7"/>
          <w:sz w:val="24"/>
          <w:highlight w:val="none"/>
        </w:rPr>
        <w:t>。</w:t>
      </w:r>
      <w:r>
        <w:rPr>
          <w:rFonts w:hint="eastAsia"/>
          <w:spacing w:val="-7"/>
          <w:sz w:val="24"/>
          <w:highlight w:val="none"/>
          <w:lang w:eastAsia="zh-CN"/>
        </w:rPr>
        <w:t>贵州聚力项目管理咨询有限公司</w:t>
      </w:r>
      <w:r>
        <w:rPr>
          <w:spacing w:val="-12"/>
          <w:sz w:val="24"/>
          <w:highlight w:val="none"/>
        </w:rPr>
        <w:t>是整个采购活动的组织者，依法负责编制和发布招标文件，对招标</w:t>
      </w:r>
      <w:r>
        <w:rPr>
          <w:spacing w:val="-15"/>
          <w:sz w:val="24"/>
          <w:highlight w:val="none"/>
        </w:rPr>
        <w:t>文件拥有最终的解释权。</w:t>
      </w:r>
      <w:r>
        <w:rPr>
          <w:rFonts w:hint="eastAsia"/>
          <w:spacing w:val="-15"/>
          <w:sz w:val="24"/>
          <w:highlight w:val="none"/>
          <w:lang w:eastAsia="zh-CN"/>
        </w:rPr>
        <w:t>贵州聚力项目管理咨询有限公司</w:t>
      </w:r>
      <w:r>
        <w:rPr>
          <w:spacing w:val="-15"/>
          <w:sz w:val="24"/>
          <w:highlight w:val="none"/>
        </w:rPr>
        <w:t>不以任何身份出任评委会成员。</w:t>
      </w:r>
    </w:p>
    <w:p>
      <w:pPr>
        <w:pStyle w:val="17"/>
        <w:keepNext w:val="0"/>
        <w:keepLines w:val="0"/>
        <w:pageBreakBefore w:val="0"/>
        <w:widowControl w:val="0"/>
        <w:numPr>
          <w:ilvl w:val="0"/>
          <w:numId w:val="0"/>
        </w:numPr>
        <w:tabs>
          <w:tab w:val="left" w:pos="569"/>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7"/>
          <w:sz w:val="24"/>
          <w:highlight w:val="none"/>
          <w:lang w:val="en-US" w:eastAsia="zh-CN"/>
        </w:rPr>
        <w:t>2.4</w:t>
      </w:r>
      <w:r>
        <w:rPr>
          <w:spacing w:val="-7"/>
          <w:sz w:val="24"/>
          <w:highlight w:val="none"/>
        </w:rPr>
        <w:t>“磋商响应供应商”系指购买了本磋商文件，且已经提交或准备提交响应文件的供货商、服务商或承包商。</w:t>
      </w:r>
    </w:p>
    <w:p>
      <w:pPr>
        <w:pStyle w:val="17"/>
        <w:keepNext w:val="0"/>
        <w:keepLines w:val="0"/>
        <w:pageBreakBefore w:val="0"/>
        <w:widowControl w:val="0"/>
        <w:numPr>
          <w:ilvl w:val="0"/>
          <w:numId w:val="0"/>
        </w:numPr>
        <w:tabs>
          <w:tab w:val="left" w:pos="584"/>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9"/>
          <w:sz w:val="24"/>
          <w:highlight w:val="none"/>
          <w:lang w:val="en-US" w:eastAsia="zh-CN"/>
        </w:rPr>
        <w:t>2.5</w:t>
      </w:r>
      <w:r>
        <w:rPr>
          <w:spacing w:val="-9"/>
          <w:sz w:val="24"/>
          <w:highlight w:val="none"/>
        </w:rPr>
        <w:t>“货物”系指指各种形态和和种类的物品，包括原材料、燃料、设备、产品等。</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3.合格的磋商响应供应商</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3.1</w:t>
      </w:r>
      <w:r>
        <w:rPr>
          <w:spacing w:val="-5"/>
          <w:sz w:val="24"/>
          <w:highlight w:val="none"/>
        </w:rPr>
        <w:t>凡有能力提供本磋商文件所述货物、服务及工程的，符合本磋商文件规定资格要求的供应商均可能成为合格的磋商响应供应商。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8"/>
          <w:highlight w:val="none"/>
        </w:rPr>
        <w:t>磋商响应供应商具备《中华人民共和国政府采购法》第二十二条第一款规定的条件，应提供以下材料：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（1）法人或者其他组织的营业执照等证明文件，自然人的身份证明；</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（2）财务状况报告，依法缴纳税收和社会保障资金的相关材料；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（3）具备履行合同所必需的设备和专业技术能力的证明材料或承诺；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（4）参加政府采购活动前 3 年内在经营活动中没有重大违法记录的书面声明；</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（5）具备法律、行政法规规定的其他条件的证明材料。</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3.2</w:t>
      </w:r>
      <w:r>
        <w:rPr>
          <w:spacing w:val="-6"/>
          <w:sz w:val="24"/>
          <w:highlight w:val="none"/>
        </w:rPr>
        <w:t>磋商响应供应商应遵守有关法律、法规和规章的规定，同时其响应货物或服务也应符合有关法律、法规和规章的规定。</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3.3</w:t>
      </w:r>
      <w:r>
        <w:rPr>
          <w:spacing w:val="-6"/>
          <w:sz w:val="24"/>
          <w:highlight w:val="none"/>
        </w:rPr>
        <w:t>经中国政府采购网失信信息查询，有失信信息记录且在禁止参加政府采购活动处罚期间内的供应商不能成为合格响应供应商。</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3.4</w:t>
      </w:r>
      <w:r>
        <w:rPr>
          <w:spacing w:val="-5"/>
          <w:sz w:val="24"/>
          <w:highlight w:val="none"/>
        </w:rPr>
        <w:t>一个磋商响应供应商只能提交一个响应文件。如果磋商响应供应商之间存在下列互为关联关系的情形之一的，不得同时参加本项目同一合同包响应：</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r>
        <w:rPr>
          <w:sz w:val="24"/>
          <w:highlight w:val="none"/>
        </w:rPr>
        <w:t>法定代表人、单位负责人为同一人或夫妻关系的不同供应商；</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w:t>
      </w:r>
      <w:r>
        <w:rPr>
          <w:sz w:val="24"/>
          <w:highlight w:val="none"/>
        </w:rPr>
        <w:t>存在直接控股、管理关系的不同供应商；</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sz w:val="24"/>
          <w:highlight w:val="none"/>
        </w:rPr>
        <w:t>均为同一家母公司直接或间接持股50％及以上的被投资公司。</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3.5</w:t>
      </w:r>
      <w:r>
        <w:rPr>
          <w:spacing w:val="-5"/>
          <w:sz w:val="24"/>
          <w:highlight w:val="none"/>
        </w:rPr>
        <w:t>磋商响应供应商不得与本次磋商项下设计、编制技术规格和其他文件的公司或提供咨询服务的公司包括其附属机构有任何关联。</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9"/>
          <w:sz w:val="24"/>
          <w:highlight w:val="none"/>
          <w:lang w:val="en-US" w:eastAsia="zh-CN"/>
        </w:rPr>
        <w:t>3.6</w:t>
      </w:r>
      <w:r>
        <w:rPr>
          <w:spacing w:val="-9"/>
          <w:sz w:val="24"/>
          <w:highlight w:val="none"/>
        </w:rPr>
        <w:t>若接受联合体磋商，则两个或者两个以上磋商响应供应商可以组成一个响应联合体，以一个磋商响应供应商的身份响应。</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(1)以联合体形式参加磋商的，联合体各方均应当符合合格的磋商响应供应商相</w:t>
      </w:r>
      <w:r>
        <w:rPr>
          <w:spacing w:val="-9"/>
          <w:highlight w:val="none"/>
        </w:rPr>
        <w:t>关规定。采购人根据采购项目的特殊要求规定磋商响应供应商特定条件的，联合</w:t>
      </w:r>
      <w:r>
        <w:rPr>
          <w:spacing w:val="-13"/>
          <w:highlight w:val="none"/>
        </w:rPr>
        <w:t>体各方中至少应当有一方符合采购人规定的全部特定条件，如联合体各方中没有一方符合全部特定条件的，该联合体响应无效。</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(2)联合体各方之间应当签订共同响应协议，明确约定联合体各方承担的工作和</w:t>
      </w:r>
      <w:r>
        <w:rPr>
          <w:spacing w:val="-9"/>
          <w:highlight w:val="none"/>
        </w:rPr>
        <w:t>相应的责任，并将共同响应协议连同响应文件一并提交采购代理机构。联合体各</w:t>
      </w:r>
      <w:r>
        <w:rPr>
          <w:spacing w:val="-14"/>
          <w:highlight w:val="none"/>
        </w:rPr>
        <w:t>方签订共同磋商协议后，不得再以自己名义单独在同一项目中响应，也不得组成</w:t>
      </w:r>
      <w:r>
        <w:rPr>
          <w:spacing w:val="-17"/>
          <w:highlight w:val="none"/>
        </w:rPr>
        <w:t>新的联合体参加同一项目响应。以联合体形式响应的，除本竞争性磋商采购文件</w:t>
      </w:r>
      <w:r>
        <w:rPr>
          <w:spacing w:val="-21"/>
          <w:highlight w:val="none"/>
        </w:rPr>
        <w:t>其他章节或本须知其他条款另有规定或要求外，响应文件中仅加盖联合体一方公章的相关文件，对联合体各方均具有约束力。</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（3）项目如涉及资质要求，该部分内容应由联合体中具有该资质要求的供应商承担。联合体协议及签订的采购合同应包含此项内容。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(4)联合体中有同类资质的供应商按照联合体分工承担相同工作的，应当按照资质等级较低的供应商确定资质等级。</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rFonts w:hint="eastAsia"/>
          <w:sz w:val="24"/>
          <w:highlight w:val="none"/>
          <w:lang w:val="en-US" w:eastAsia="zh-CN"/>
        </w:rPr>
        <w:t>3.1</w:t>
      </w:r>
      <w:r>
        <w:rPr>
          <w:sz w:val="24"/>
          <w:highlight w:val="none"/>
        </w:rPr>
        <w:t>磋商代理人在同一个项目中只能接受一个磋商响应供应商的委托参加磋商响应。</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3.2</w:t>
      </w:r>
      <w:r>
        <w:rPr>
          <w:spacing w:val="-6"/>
          <w:sz w:val="24"/>
          <w:highlight w:val="none"/>
        </w:rPr>
        <w:t>磋商响应供应商存在下列情形之一的，将被认定为串通响应行为并作无效响应处理：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（1）磋商响应供应商之间协商磋商报价等磋商文件的实质性内容；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（2）磋商响应供应商之间约定成交供应商；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（3）磋商响应供应商之间约定部分磋商响应供应商放弃磋商响应或者成交；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（4）属于同一集团、协会、商会等组织成员的磋商响应供应商按照该组织要求协同磋商响应；</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（5）磋商响应供应商之间为谋取成交或者排斥特定磋商响应供应商而采取的其他联合行动；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（6）不同磋商响应供应商的响应文件由同一单位或者个人编制；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（7）不同磋商响应供应商委托同一单位或者个人办理磋商响应事宜；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（8）不同磋商响应供应商的响应文件载明的项目管理成员为同一人；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（9）不同磋商响应供应商的响应文件异常一致或者报价呈规律性差异；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（10）不同磋商响应供应商的响应文件相互混装；</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（11）不同磋商响应供应商的磋商保证金从同一单位或者个人的账户转出。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8"/>
          <w:highlight w:val="none"/>
        </w:rPr>
        <w:t>（12）</w:t>
      </w:r>
      <w:r>
        <w:rPr>
          <w:spacing w:val="-4"/>
          <w:highlight w:val="none"/>
        </w:rPr>
        <w:t>不同磋商响应供应商的响应文件错、漏之处一致或雷同，且不能合理解释的；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12"/>
          <w:highlight w:val="none"/>
        </w:rPr>
        <w:t>（13）</w:t>
      </w:r>
      <w:r>
        <w:rPr>
          <w:spacing w:val="-3"/>
          <w:highlight w:val="none"/>
        </w:rPr>
        <w:t>不同的磋商响应供应商的法定代表人、委托代理人等由同一个单位缴纳社会保险的；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8"/>
          <w:highlight w:val="none"/>
        </w:rPr>
        <w:t>（14）</w:t>
      </w:r>
      <w:r>
        <w:rPr>
          <w:spacing w:val="-2"/>
          <w:highlight w:val="none"/>
        </w:rPr>
        <w:t>由同一人或分别由几个有利害关系的人携带两个以上</w:t>
      </w:r>
      <w:r>
        <w:rPr>
          <w:highlight w:val="none"/>
        </w:rPr>
        <w:t>（含两个</w:t>
      </w:r>
      <w:r>
        <w:rPr>
          <w:spacing w:val="-32"/>
          <w:highlight w:val="none"/>
        </w:rPr>
        <w:t>）</w:t>
      </w:r>
      <w:r>
        <w:rPr>
          <w:highlight w:val="none"/>
        </w:rPr>
        <w:t>磋商响应</w:t>
      </w:r>
      <w:r>
        <w:rPr>
          <w:spacing w:val="-4"/>
          <w:highlight w:val="none"/>
        </w:rPr>
        <w:t>供应商的企业资料参与资格审查、领取采购资料，或代表两个以上</w:t>
      </w:r>
      <w:r>
        <w:rPr>
          <w:highlight w:val="none"/>
        </w:rPr>
        <w:t>（含两个</w:t>
      </w:r>
      <w:r>
        <w:rPr>
          <w:spacing w:val="-22"/>
          <w:highlight w:val="none"/>
        </w:rPr>
        <w:t>）</w:t>
      </w:r>
      <w:r>
        <w:rPr>
          <w:highlight w:val="none"/>
        </w:rPr>
        <w:t>磋商响应供应商参加项目答疑会、交纳或退还磋商保证金、参加磋商的；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（15）有关法律、法规或规章规定的其他串通行为。</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4.磋商费用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4.1 磋商响应供应商应承担其准备与参加磋商所涉及的一切费用。</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5.知识产权</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5.1</w:t>
      </w:r>
      <w:r>
        <w:rPr>
          <w:sz w:val="24"/>
          <w:highlight w:val="none"/>
        </w:rPr>
        <w:t>磋商响应供应商应保证在本项目使用任何产品或其任何一部分时，不会</w:t>
      </w:r>
      <w:r>
        <w:rPr>
          <w:spacing w:val="-6"/>
          <w:highlight w:val="none"/>
        </w:rPr>
        <w:t>产生因第三方提出侵犯其专利权、商标权或其它知识产权而引起的法律和经济责任。因此产生的法律和经济责任由磋商响应供应商承担。</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5.2</w:t>
      </w:r>
      <w:r>
        <w:rPr>
          <w:spacing w:val="-6"/>
          <w:sz w:val="24"/>
          <w:highlight w:val="none"/>
        </w:rPr>
        <w:t>如响应供应商不拥有相应的知识产权，则在报价中必须包括合法获取该知识产权的相关费用。</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b/>
          <w:sz w:val="31"/>
          <w:highlight w:val="none"/>
        </w:rPr>
      </w:pPr>
      <w:r>
        <w:rPr>
          <w:b/>
          <w:sz w:val="31"/>
          <w:highlight w:val="none"/>
        </w:rPr>
        <w:t>二、 磋商文件</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6.磋商文件的组成</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6.1</w:t>
      </w:r>
      <w:r>
        <w:rPr>
          <w:spacing w:val="-5"/>
          <w:highlight w:val="none"/>
        </w:rPr>
        <w:t xml:space="preserve"> 磋商文件用以阐明所需货物及服务、磋商程序和合同格式及条款。磋商文件由下述部分组成：</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（1）投标函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（2）磋商响应供应商须知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rFonts w:hint="eastAsia"/>
          <w:highlight w:val="none"/>
          <w:lang w:val="en-US" w:eastAsia="zh-CN"/>
        </w:rPr>
        <w:t>3</w:t>
      </w:r>
      <w:r>
        <w:rPr>
          <w:highlight w:val="none"/>
        </w:rPr>
        <w:t>）磋商响应供应商须知正文部分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（4）采购内容及要求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（5）政府采购合同</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（6）磋商响应文件格式</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7.磋商文件的澄清与修改</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7.1</w:t>
      </w:r>
      <w:r>
        <w:rPr>
          <w:sz w:val="24"/>
          <w:highlight w:val="none"/>
        </w:rPr>
        <w:t>至磋商响应截止时间5日（如至原定截止时间不足5日，则需延长截止时间</w:t>
      </w:r>
      <w:r>
        <w:rPr>
          <w:spacing w:val="-46"/>
          <w:sz w:val="24"/>
          <w:highlight w:val="none"/>
        </w:rPr>
        <w:t>）</w:t>
      </w:r>
      <w:r>
        <w:rPr>
          <w:spacing w:val="-7"/>
          <w:sz w:val="24"/>
          <w:highlight w:val="none"/>
        </w:rPr>
        <w:t>前，采购代理代理机构可主动或依供应商要求澄清的问题修改磋商文件但应当在原信息发布媒体上发布更正公告，并以书面形式通知所有磋商文件收人，</w:t>
      </w:r>
      <w:r>
        <w:rPr>
          <w:spacing w:val="-9"/>
          <w:sz w:val="24"/>
          <w:highlight w:val="none"/>
        </w:rPr>
        <w:t>供应商在收到该通知后应当立即以传真形式予以确认</w:t>
      </w:r>
      <w:r>
        <w:rPr>
          <w:sz w:val="24"/>
          <w:highlight w:val="none"/>
        </w:rPr>
        <w:t>（</w:t>
      </w:r>
      <w:r>
        <w:rPr>
          <w:spacing w:val="-5"/>
          <w:sz w:val="24"/>
          <w:highlight w:val="none"/>
        </w:rPr>
        <w:t>如属网上采购项目，在采</w:t>
      </w:r>
      <w:r>
        <w:rPr>
          <w:spacing w:val="-7"/>
          <w:sz w:val="24"/>
          <w:highlight w:val="none"/>
        </w:rPr>
        <w:t>购公告原发布媒体及实施网上采购的网站发布更正公告，不再书面答复</w:t>
      </w:r>
      <w:r>
        <w:rPr>
          <w:spacing w:val="-29"/>
          <w:sz w:val="24"/>
          <w:highlight w:val="none"/>
        </w:rPr>
        <w:t>）</w:t>
      </w:r>
      <w:r>
        <w:rPr>
          <w:spacing w:val="-10"/>
          <w:sz w:val="24"/>
          <w:highlight w:val="none"/>
        </w:rPr>
        <w:t>。该修改内容为磋商文件的组成部分，对供应商具有约束力。但本磋商文件第 7.2</w:t>
      </w:r>
      <w:r>
        <w:rPr>
          <w:highlight w:val="none"/>
        </w:rPr>
        <w:t>条规定的推迟响应截止时间情形不受本条约束。</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7.2</w:t>
      </w:r>
      <w:r>
        <w:rPr>
          <w:sz w:val="24"/>
          <w:highlight w:val="none"/>
        </w:rPr>
        <w:t>为使供应商在准备响应文件时有合理的时间考虑响应文件的修改，采购</w:t>
      </w:r>
      <w:r>
        <w:rPr>
          <w:highlight w:val="none"/>
        </w:rPr>
        <w:t>代理机构可酌情推迟磋商响应截止时间，但应当至少在截止时间 3 个工作日前</w:t>
      </w:r>
      <w:r>
        <w:rPr>
          <w:spacing w:val="-4"/>
          <w:highlight w:val="none"/>
        </w:rPr>
        <w:t>将变更时间以书面形式通知所有获取磋商文件的供应商，该修改内容为磋商文件</w:t>
      </w:r>
      <w:r>
        <w:rPr>
          <w:spacing w:val="-11"/>
          <w:highlight w:val="none"/>
        </w:rPr>
        <w:t>的组成部分。在此情况下，采购人和供应商受磋商响应截止期制约的所有权利和义务均应延长至新的截止日期。</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三、响应文件的编写</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b/>
          <w:sz w:val="24"/>
          <w:highlight w:val="none"/>
        </w:rPr>
      </w:pPr>
      <w:r>
        <w:rPr>
          <w:b/>
          <w:w w:val="95"/>
          <w:sz w:val="24"/>
          <w:highlight w:val="none"/>
        </w:rPr>
        <w:t>8.要求</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firstLine="230" w:firstLineChars="100"/>
        <w:jc w:val="both"/>
        <w:textAlignment w:val="auto"/>
        <w:rPr>
          <w:sz w:val="24"/>
          <w:highlight w:val="none"/>
        </w:rPr>
      </w:pPr>
      <w:r>
        <w:rPr>
          <w:rFonts w:hint="eastAsia"/>
          <w:spacing w:val="-5"/>
          <w:sz w:val="24"/>
          <w:highlight w:val="none"/>
          <w:lang w:val="en-US" w:eastAsia="zh-CN"/>
        </w:rPr>
        <w:t>8.1</w:t>
      </w:r>
      <w:r>
        <w:rPr>
          <w:spacing w:val="-5"/>
          <w:sz w:val="24"/>
          <w:highlight w:val="none"/>
        </w:rPr>
        <w:t>磋商响应供应商应仔细阅读磋商文件的所有内容，按磋商文件的要求提供响</w:t>
      </w:r>
      <w:r>
        <w:rPr>
          <w:spacing w:val="-10"/>
          <w:sz w:val="24"/>
          <w:highlight w:val="none"/>
        </w:rPr>
        <w:t>应文件，响应文件应对磋商文件的要求作出实质性响应，并保证所提供的部资料的真实性，否则其响应文件可被作响应无效处理。</w:t>
      </w:r>
    </w:p>
    <w:p>
      <w:pPr>
        <w:pStyle w:val="17"/>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firstLine="240" w:firstLineChars="100"/>
        <w:jc w:val="both"/>
        <w:textAlignment w:val="auto"/>
        <w:rPr>
          <w:sz w:val="24"/>
          <w:highlight w:val="none"/>
        </w:rPr>
      </w:pPr>
      <w:r>
        <w:rPr>
          <w:rFonts w:hint="eastAsia"/>
          <w:sz w:val="24"/>
          <w:highlight w:val="none"/>
          <w:lang w:val="en-US" w:eastAsia="zh-CN"/>
        </w:rPr>
        <w:t>8.2</w:t>
      </w:r>
      <w:r>
        <w:rPr>
          <w:sz w:val="24"/>
          <w:highlight w:val="none"/>
        </w:rPr>
        <w:t>除非有另外的规定，磋商响应供应商应按被邀请参加响应的合同包进行报价，同时，应对所报价合同包下的所有品目号进行报价。采购人不接受有任何可选择性的报价，每一种货物、服务、工程只能有一个报价。</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9.磋商响应文件语言及报价要求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240" w:firstLineChars="100"/>
        <w:jc w:val="both"/>
        <w:textAlignment w:val="auto"/>
        <w:rPr>
          <w:highlight w:val="none"/>
        </w:rPr>
      </w:pPr>
      <w:r>
        <w:rPr>
          <w:highlight w:val="none"/>
        </w:rPr>
        <w:t>9.1 磋商响应文件应用中文书写。响应文件中所附或所引用的原件不是中文</w:t>
      </w:r>
      <w:r>
        <w:rPr>
          <w:spacing w:val="-10"/>
          <w:highlight w:val="none"/>
        </w:rPr>
        <w:t>时，应附中文译文。各种计量单位及符号应采用国际上统一使用的公制计量单位和符号。</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10.磋商响应文件的组成</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10.1 磋商响应文件应包括下列部分：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(2)磋商报价一览表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(3)磋商分项报价表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(4)商务条款偏离表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(5)技术规格偏离表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(6)资格的声明函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(7)法定代表人授权书</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(8)资质声明函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(9)售后服务承诺及方案</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(10)中小企业声明函（如有）</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11.磋商响应有效期</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11.1</w:t>
      </w:r>
      <w:r>
        <w:rPr>
          <w:sz w:val="24"/>
          <w:highlight w:val="none"/>
        </w:rPr>
        <w:t>响应文件从磋商响应供应商须知前附表 1 所规定的磋商响应截止期之日开始生效，在磋商响应供应商须知前附表所规定的期限内保持有效。有效期不足将导致其响应文件被拒绝。</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11.2</w:t>
      </w:r>
      <w:r>
        <w:rPr>
          <w:sz w:val="24"/>
          <w:highlight w:val="none"/>
        </w:rPr>
        <w:t>特殊情况下采购代理机构可于磋商有效期满之前书面要求磋商响应供应商</w:t>
      </w:r>
      <w:r>
        <w:rPr>
          <w:spacing w:val="-10"/>
          <w:sz w:val="24"/>
          <w:highlight w:val="none"/>
        </w:rPr>
        <w:t>同意延长有效期，磋商响应供应商应在采购代理机构规定的期限内以书面形式予以答复。磋商响应供应商可以拒绝上述要求而其磋商保证金可按规定予以退还。</w:t>
      </w:r>
      <w:r>
        <w:rPr>
          <w:spacing w:val="-14"/>
          <w:sz w:val="24"/>
          <w:highlight w:val="none"/>
        </w:rPr>
        <w:t>磋商响应供应商答复不明确或者逾期未答复的，均视为拒绝上述要求。对于接受</w:t>
      </w:r>
      <w:r>
        <w:rPr>
          <w:spacing w:val="-16"/>
          <w:sz w:val="24"/>
          <w:highlight w:val="none"/>
        </w:rPr>
        <w:t>该要求的磋商响应供应商，既不要求也不允许其修改响应文件，但将要求其相应</w:t>
      </w:r>
      <w:r>
        <w:rPr>
          <w:spacing w:val="-17"/>
          <w:sz w:val="24"/>
          <w:highlight w:val="none"/>
        </w:rPr>
        <w:t>延长磋商保证金有效期，有关退还和不予退还磋商保证金的规定在报价有效期延长期内继续有效。</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12.磋商保证金</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12.1</w:t>
      </w:r>
      <w:r>
        <w:rPr>
          <w:sz w:val="24"/>
          <w:highlight w:val="none"/>
        </w:rPr>
        <w:t>磋商保证金为响应文件的组成部分之一。</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12.2</w:t>
      </w:r>
      <w:r>
        <w:rPr>
          <w:sz w:val="24"/>
          <w:highlight w:val="none"/>
        </w:rPr>
        <w:t>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12.3</w:t>
      </w:r>
      <w:r>
        <w:rPr>
          <w:sz w:val="24"/>
          <w:highlight w:val="none"/>
        </w:rPr>
        <w:t>磋商保证金用于保护本次磋商活动免受磋商响应供应商的行为而引起的风险。</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12.4</w:t>
      </w:r>
      <w:r>
        <w:rPr>
          <w:sz w:val="24"/>
          <w:highlight w:val="none"/>
        </w:rPr>
        <w:t>磋商保证金交纳方式及其它：</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6"/>
          <w:highlight w:val="none"/>
        </w:rPr>
        <w:t>①磋商保证金以保证金应当采用支票、汇票、本票、网上银行支付等非现金形式交纳：且应在磋商响应截止时间前到账，否则视为未提交磋商保证金；磋商 保</w:t>
      </w:r>
      <w:r>
        <w:rPr>
          <w:spacing w:val="-10"/>
          <w:highlight w:val="none"/>
        </w:rPr>
        <w:t>证金到账以到截止时间时保证金系统显示为标准，未显示到账的一律视为未提交磋商保证金）。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②若项目存在分包的，则磋商保证金应按不同的合同包号分别提交。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6"/>
          <w:highlight w:val="none"/>
        </w:rPr>
        <w:t>③磋商响应供应商为中小企业的，其磋商保证金减半交纳。减半交纳磋商保证金的磋商响应供应商未按照磋商文件格式要求在响应文件中提供《中小企业声明函》的，其磋商响应作无效响应处理。</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12.5</w:t>
      </w:r>
      <w:r>
        <w:rPr>
          <w:sz w:val="24"/>
          <w:highlight w:val="none"/>
        </w:rPr>
        <w:t>未按要求提交磋商保证金的磋商响应，将被视为无效响应。</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12.6</w:t>
      </w:r>
      <w:r>
        <w:rPr>
          <w:sz w:val="24"/>
          <w:highlight w:val="none"/>
        </w:rPr>
        <w:t>采购代理机构将在成交通知书发出之日起 5 个工作日内予以原额无息退还未成交供应商的磋商保证金。</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12.7</w:t>
      </w:r>
      <w:r>
        <w:rPr>
          <w:sz w:val="24"/>
          <w:highlight w:val="none"/>
        </w:rPr>
        <w:t>在成交供应商支付所有采购代理服务费并签订合同后 5</w:t>
      </w:r>
      <w:r>
        <w:rPr>
          <w:spacing w:val="-11"/>
          <w:sz w:val="24"/>
          <w:highlight w:val="none"/>
        </w:rPr>
        <w:t xml:space="preserve"> 个工作日内，采购代理机构对成交供应商的磋商保证金予以原额无息退还。</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12.8</w:t>
      </w:r>
      <w:r>
        <w:rPr>
          <w:sz w:val="24"/>
          <w:highlight w:val="none"/>
        </w:rPr>
        <w:t>发生以下情况之一的，磋商保证金将不予退还，由采购代理机构上缴财政部门：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（1）磋商响应供应商在提交最后报价后，撤回磋商响应；</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（2）除因不可抗力或磋商文件认可的情形外，成交供应商未能做到按本须知规定签订合同的；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 以他人名义参与磋商响应或者以其他方式弄虚作假，骗取成交的；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（4）磋商响应供应商在响应文件中提供虚假材料的；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（5）在禁止参加政府采购活动的处罚期内，仍参加政府采购活动的；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（6）以不正当手段诋毁、损失的，相关责任人还应当承担赔偿责任。 排挤其他供应商的；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（7）因本项目政府采购过程中的违法行为，受到行政处罚的；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（8）与采购人、其他供应商或者采购代理机构恶意串通的；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（9）法律、法规、规章及本磋商文件中规定的其他没收磋商保证金的情形。上述不予退还磋商保证金的情形给采购单位造成</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12.9</w:t>
      </w:r>
      <w:r>
        <w:rPr>
          <w:sz w:val="24"/>
          <w:highlight w:val="none"/>
        </w:rPr>
        <w:t>保证金缴纳流程如下：</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1.线上报名获取缴纳随机码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fldChar w:fldCharType="begin"/>
      </w:r>
      <w:r>
        <w:rPr>
          <w:highlight w:val="none"/>
        </w:rPr>
        <w:instrText xml:space="preserve"> HYPERLINK "http://www.trizy.cn/" \h </w:instrText>
      </w:r>
      <w:r>
        <w:rPr>
          <w:highlight w:val="none"/>
        </w:rPr>
        <w:fldChar w:fldCharType="separate"/>
      </w:r>
      <w:r>
        <w:rPr>
          <w:highlight w:val="none"/>
        </w:rPr>
        <w:t>·登录公共资源电子交易系统（www.trizy.cn</w:t>
      </w:r>
      <w:r>
        <w:rPr>
          <w:highlight w:val="none"/>
        </w:rPr>
        <w:fldChar w:fldCharType="end"/>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32"/>
          <w:highlight w:val="none"/>
        </w:rPr>
        <w:t>·</w:t>
      </w:r>
      <w:r>
        <w:rPr>
          <w:spacing w:val="-15"/>
          <w:highlight w:val="none"/>
        </w:rPr>
        <w:t>进入【业务管理】-【填写投标信息】 搜索或直接找到拟报名项目，点【操作】按钮，进入该项目报名页面。</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highlight w:val="none"/>
        </w:rPr>
      </w:pPr>
      <w:r>
        <w:rPr>
          <w:highlight w:val="none"/>
        </w:rPr>
        <w:t>·进入报名页面 填写完报名信息后（带*号为必填项），点左上角【保存修改】按钮。</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sz w:val="24"/>
          <w:highlight w:val="none"/>
        </w:rPr>
      </w:pPr>
      <w:r>
        <w:rPr>
          <w:highlight w:val="none"/>
        </w:rPr>
        <w:t>·</w:t>
      </w:r>
      <w:r>
        <w:rPr>
          <w:spacing w:val="-5"/>
          <w:sz w:val="24"/>
          <w:highlight w:val="none"/>
        </w:rPr>
        <w:t>报名成功后在该页面会生成【保证金缴纳随机码】，务必记录留存备用。该随机码一旦生成，即使修改报名信息，也不可更改。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2.缴纳保证金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46"/>
          <w:highlight w:val="none"/>
        </w:rPr>
        <w:t>·</w:t>
      </w:r>
      <w:r>
        <w:rPr>
          <w:spacing w:val="-2"/>
          <w:highlight w:val="none"/>
        </w:rPr>
        <w:t>按照招标文件要求将投标保证金缴纳到交易中心保证金账户，打款账户必须与</w:t>
      </w:r>
      <w:r>
        <w:rPr>
          <w:spacing w:val="-4"/>
          <w:highlight w:val="none"/>
        </w:rPr>
        <w:t>交易系统中登记的账户信息一致</w:t>
      </w:r>
      <w:r>
        <w:rPr>
          <w:spacing w:val="-3"/>
          <w:highlight w:val="none"/>
        </w:rPr>
        <w:t>（</w:t>
      </w:r>
      <w:r>
        <w:rPr>
          <w:highlight w:val="none"/>
        </w:rPr>
        <w:t>要求从登记的基本户打款</w:t>
      </w:r>
      <w:r>
        <w:rPr>
          <w:spacing w:val="-22"/>
          <w:highlight w:val="none"/>
        </w:rPr>
        <w:t>），</w:t>
      </w:r>
      <w:r>
        <w:rPr>
          <w:spacing w:val="-5"/>
          <w:highlight w:val="none"/>
        </w:rPr>
        <w:t>即与【诚信库管理】-【基本信息】中的 基本户开户银行、基本户开户账号、基本账户名称保持一致。</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highlight w:val="none"/>
        </w:rPr>
      </w:pPr>
      <w:r>
        <w:rPr>
          <w:spacing w:val="-17"/>
          <w:highlight w:val="none"/>
        </w:rPr>
        <w:t>·</w:t>
      </w:r>
      <w:r>
        <w:rPr>
          <w:spacing w:val="-2"/>
          <w:highlight w:val="none"/>
        </w:rPr>
        <w:t>不论何种渠道转款</w:t>
      </w:r>
      <w:r>
        <w:rPr>
          <w:spacing w:val="-3"/>
          <w:highlight w:val="none"/>
        </w:rPr>
        <w:t>（</w:t>
      </w:r>
      <w:r>
        <w:rPr>
          <w:highlight w:val="none"/>
        </w:rPr>
        <w:t>不可用现金转账</w:t>
      </w:r>
      <w:r>
        <w:rPr>
          <w:spacing w:val="-15"/>
          <w:highlight w:val="none"/>
        </w:rPr>
        <w:t>），</w:t>
      </w:r>
      <w:r>
        <w:rPr>
          <w:spacing w:val="-4"/>
          <w:highlight w:val="none"/>
        </w:rPr>
        <w:t>转款备注</w:t>
      </w:r>
      <w:r>
        <w:rPr>
          <w:spacing w:val="-3"/>
          <w:highlight w:val="none"/>
        </w:rPr>
        <w:t>（</w:t>
      </w:r>
      <w:r>
        <w:rPr>
          <w:highlight w:val="none"/>
        </w:rPr>
        <w:t>用途</w:t>
      </w:r>
      <w:r>
        <w:rPr>
          <w:spacing w:val="-15"/>
          <w:highlight w:val="none"/>
        </w:rPr>
        <w:t>）</w:t>
      </w:r>
      <w:r>
        <w:rPr>
          <w:highlight w:val="none"/>
        </w:rPr>
        <w:t>栏唯一必填报名时生成获取的【保证金缴纳随机码】；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24"/>
          <w:highlight w:val="none"/>
        </w:rPr>
        <w:t>·</w:t>
      </w:r>
      <w:r>
        <w:rPr>
          <w:spacing w:val="-4"/>
          <w:highlight w:val="none"/>
        </w:rPr>
        <w:t>打款账户信息与中心注册不一致、备注栏为空、书写其他</w:t>
      </w:r>
      <w:r>
        <w:rPr>
          <w:highlight w:val="none"/>
        </w:rPr>
        <w:t>（XX 项目保证金之类）、随机码填写错误，均会造成保证金无法匹配进交易系统。</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3.打印回执</w:t>
      </w:r>
    </w:p>
    <w:p>
      <w:pPr>
        <w:pStyle w:val="17"/>
        <w:keepNext w:val="0"/>
        <w:keepLines w:val="0"/>
        <w:pageBreakBefore w:val="0"/>
        <w:widowControl w:val="0"/>
        <w:numPr>
          <w:ilvl w:val="0"/>
          <w:numId w:val="0"/>
        </w:numPr>
        <w:tabs>
          <w:tab w:val="left" w:pos="461"/>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highlight w:val="none"/>
        </w:rPr>
        <w:t>·</w:t>
      </w:r>
      <w:r>
        <w:rPr>
          <w:spacing w:val="-9"/>
          <w:sz w:val="24"/>
          <w:highlight w:val="none"/>
        </w:rPr>
        <w:t>进入【业务管理】-【查询投标保证金缴纳情况】 搜索或直接找到项目，查看【缴纳状态】，如支付成功，将显示“已缴纳保证金” 。</w:t>
      </w:r>
    </w:p>
    <w:p>
      <w:pPr>
        <w:pStyle w:val="17"/>
        <w:keepNext w:val="0"/>
        <w:keepLines w:val="0"/>
        <w:pageBreakBefore w:val="0"/>
        <w:widowControl w:val="0"/>
        <w:numPr>
          <w:ilvl w:val="0"/>
          <w:numId w:val="0"/>
        </w:numPr>
        <w:tabs>
          <w:tab w:val="left" w:pos="478"/>
        </w:tabs>
        <w:kinsoku/>
        <w:wordWrap/>
        <w:overflowPunct/>
        <w:topLinePunct w:val="0"/>
        <w:autoSpaceDE w:val="0"/>
        <w:autoSpaceDN w:val="0"/>
        <w:bidi w:val="0"/>
        <w:adjustRightInd/>
        <w:snapToGrid/>
        <w:spacing w:before="0" w:after="0" w:line="400" w:lineRule="exact"/>
        <w:ind w:left="-360" w:leftChars="0" w:right="0" w:rightChars="0" w:firstLine="440" w:firstLineChars="200"/>
        <w:jc w:val="both"/>
        <w:textAlignment w:val="auto"/>
        <w:rPr>
          <w:sz w:val="24"/>
          <w:highlight w:val="none"/>
        </w:rPr>
      </w:pPr>
      <w:r>
        <w:rPr>
          <w:highlight w:val="none"/>
        </w:rPr>
        <w:t>·</w:t>
      </w:r>
      <w:r>
        <w:rPr>
          <w:sz w:val="24"/>
          <w:highlight w:val="none"/>
        </w:rPr>
        <w:t>点【打印保证金回执单】按钮，查看确认到账回执信息，打印留存备用。</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13.磋商响应文件的格式</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13.1</w:t>
      </w:r>
      <w:r>
        <w:rPr>
          <w:sz w:val="24"/>
          <w:highlight w:val="none"/>
        </w:rPr>
        <w:t>投标人应将投标文件用密封袋密封，正本和副本用一个密封袋包装，投标文件密封袋</w:t>
      </w:r>
      <w:r>
        <w:rPr>
          <w:spacing w:val="-8"/>
          <w:sz w:val="24"/>
          <w:highlight w:val="none"/>
        </w:rPr>
        <w:t>及正文封面均应注明“正本”“副本”。正副本信封及投标文件封面均应写明项</w:t>
      </w:r>
      <w:r>
        <w:rPr>
          <w:spacing w:val="-12"/>
          <w:sz w:val="24"/>
          <w:highlight w:val="none"/>
        </w:rPr>
        <w:t>目名称、招标编号、</w:t>
      </w:r>
      <w:r>
        <w:rPr>
          <w:rFonts w:hint="eastAsia"/>
          <w:spacing w:val="-12"/>
          <w:sz w:val="24"/>
          <w:highlight w:val="none"/>
          <w:lang w:val="en-US" w:eastAsia="zh-CN"/>
        </w:rPr>
        <w:t>供应商</w:t>
      </w:r>
      <w:r>
        <w:rPr>
          <w:spacing w:val="-12"/>
          <w:sz w:val="24"/>
          <w:highlight w:val="none"/>
        </w:rPr>
        <w:t>名称</w:t>
      </w:r>
      <w:r>
        <w:rPr>
          <w:rFonts w:hint="eastAsia"/>
          <w:spacing w:val="-12"/>
          <w:sz w:val="24"/>
          <w:highlight w:val="none"/>
          <w:lang w:eastAsia="zh-CN"/>
        </w:rPr>
        <w:t>、</w:t>
      </w:r>
      <w:r>
        <w:rPr>
          <w:rFonts w:hint="eastAsia"/>
          <w:spacing w:val="-12"/>
          <w:sz w:val="24"/>
          <w:highlight w:val="none"/>
          <w:lang w:val="en-US" w:eastAsia="zh-CN"/>
        </w:rPr>
        <w:t>法定代表人</w:t>
      </w:r>
      <w:r>
        <w:rPr>
          <w:spacing w:val="-12"/>
          <w:sz w:val="24"/>
          <w:highlight w:val="none"/>
        </w:rPr>
        <w:t>、地址、联系人及联系人电话，并加盖投标单位公章和法定代表人印章。</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13.2</w:t>
      </w:r>
      <w:r>
        <w:rPr>
          <w:sz w:val="24"/>
          <w:highlight w:val="none"/>
        </w:rPr>
        <w:t>响应文件应由磋商响应供应商的法定代表人或其授权代表签字并加盖公章，如由后者签字，应提供“法定代表人授权委托书”。</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13.3</w:t>
      </w:r>
      <w:r>
        <w:rPr>
          <w:sz w:val="24"/>
          <w:highlight w:val="none"/>
        </w:rPr>
        <w:t>除非另有规定或许可，磋商响应使用货币为人民币。</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13.4</w:t>
      </w:r>
      <w:r>
        <w:rPr>
          <w:sz w:val="24"/>
          <w:highlight w:val="none"/>
        </w:rPr>
        <w:t>磋商响应供应商应提交证明其拟供货物、服务、工程符合磋商文件要求的</w:t>
      </w:r>
      <w:r>
        <w:rPr>
          <w:spacing w:val="-7"/>
          <w:sz w:val="24"/>
          <w:highlight w:val="none"/>
        </w:rPr>
        <w:t>技术响应文件，该文件可以是文字资料、图纸和数据，并须提供货物、服务、工程主要技术性能的详细描述。</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13.5</w:t>
      </w:r>
      <w:r>
        <w:rPr>
          <w:sz w:val="24"/>
          <w:highlight w:val="none"/>
        </w:rPr>
        <w:t>磋商文件的正本和全部副本均应使用不能擦去的墨料或墨水打印、书写或复印，并由法定代表人或其授权代表签署，盖磋商响应供应商公章。</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13.6</w:t>
      </w:r>
      <w:r>
        <w:rPr>
          <w:sz w:val="24"/>
          <w:highlight w:val="none"/>
        </w:rPr>
        <w:t>全套响应文件应无涂改和行间插字，除非这些改动是根据采购代理机构的</w:t>
      </w:r>
      <w:r>
        <w:rPr>
          <w:spacing w:val="-9"/>
          <w:sz w:val="24"/>
          <w:highlight w:val="none"/>
        </w:rPr>
        <w:t>指示进行的，或者是为改正磋商响应供应商造成的必须修改的错误而进行的。有改动时，修改处应由法定代表人或授权代表签字证明或加盖磋商响应供应商公章。</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13.7</w:t>
      </w:r>
      <w:r>
        <w:rPr>
          <w:sz w:val="24"/>
          <w:highlight w:val="none"/>
        </w:rPr>
        <w:t>未按本须知规定的格式填写响应文件、响应文件字迹模糊不清的，其磋商响应将被拒绝。</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13.8</w:t>
      </w:r>
      <w:r>
        <w:rPr>
          <w:sz w:val="24"/>
          <w:highlight w:val="none"/>
        </w:rPr>
        <w:t>所有资格证明文件复印件须加盖磋商响应供应商公章。</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13.9</w:t>
      </w:r>
      <w:r>
        <w:rPr>
          <w:sz w:val="24"/>
          <w:highlight w:val="none"/>
        </w:rPr>
        <w:t>磋商响应供应商应将上述文件按顺序装订成册、打印页码，并编列响应文</w:t>
      </w:r>
      <w:r>
        <w:rPr>
          <w:spacing w:val="-10"/>
          <w:sz w:val="24"/>
          <w:highlight w:val="none"/>
        </w:rPr>
        <w:t>件目录、资料清单，由于装订不规范或编排顺序混乱而导致响应文件被误读或漏读，该磋商响应可能被视为无效响应或承担不利的评审结果。</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四、响应文件的提交</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b/>
          <w:sz w:val="24"/>
          <w:highlight w:val="none"/>
        </w:rPr>
      </w:pPr>
      <w:r>
        <w:rPr>
          <w:b/>
          <w:w w:val="95"/>
          <w:sz w:val="24"/>
          <w:highlight w:val="none"/>
        </w:rPr>
        <w:t>14.响应文件的密封、标记和递交</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14.1</w:t>
      </w:r>
      <w:r>
        <w:rPr>
          <w:sz w:val="24"/>
          <w:highlight w:val="none"/>
        </w:rPr>
        <w:t>供应商应响应文件份数：正本壹份、副本叁份；响应文件包装、密封、盖章：正本和副本用一个密封袋包装，</w:t>
      </w:r>
      <w:r>
        <w:rPr>
          <w:rFonts w:hint="eastAsia"/>
          <w:sz w:val="24"/>
          <w:highlight w:val="none"/>
          <w:lang w:eastAsia="zh-CN"/>
        </w:rPr>
        <w:t>按</w:t>
      </w:r>
      <w:r>
        <w:rPr>
          <w:sz w:val="24"/>
          <w:highlight w:val="none"/>
        </w:rPr>
        <w:t>第</w:t>
      </w:r>
      <w:r>
        <w:rPr>
          <w:rFonts w:hint="eastAsia"/>
          <w:sz w:val="24"/>
          <w:highlight w:val="none"/>
          <w:lang w:val="en-US" w:eastAsia="zh-CN"/>
        </w:rPr>
        <w:t xml:space="preserve">六章 </w:t>
      </w:r>
      <w:r>
        <w:rPr>
          <w:sz w:val="24"/>
          <w:highlight w:val="none"/>
        </w:rPr>
        <w:t>投标文件（格式）包装；封口处加盖供应商单位公章及法定代表人印章，响应文件未按要求提供的可导致其磋商文件被拒绝。</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14.2</w:t>
      </w:r>
      <w:r>
        <w:rPr>
          <w:sz w:val="24"/>
          <w:highlight w:val="none"/>
        </w:rPr>
        <w:t>如果未按上述规定进行密封和标记，采购代理机构将不承担由此造成的对响应文件的误投或提前拆封的责任。</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14.3</w:t>
      </w:r>
      <w:r>
        <w:rPr>
          <w:sz w:val="24"/>
          <w:highlight w:val="none"/>
        </w:rPr>
        <w:t>响应文件应在磋商邀请中规定的截止时间前送达，迟到的响应文件为无效响应文件，将被拒绝。</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14.4</w:t>
      </w:r>
      <w:r>
        <w:rPr>
          <w:sz w:val="24"/>
          <w:highlight w:val="none"/>
        </w:rPr>
        <w:t>磋商响应供应商在磋商响应截止时间前，可以对所提交的磋商文件进行修</w:t>
      </w:r>
      <w:r>
        <w:rPr>
          <w:spacing w:val="-10"/>
          <w:sz w:val="24"/>
          <w:highlight w:val="none"/>
        </w:rPr>
        <w:t>改或者撤回，并书面通知采购代理机构。修改的内容和撤回通知应当按本须知要求签署、盖章、密封，并作为响应文件的组成部分。</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14.5</w:t>
      </w:r>
      <w:r>
        <w:rPr>
          <w:sz w:val="24"/>
          <w:highlight w:val="none"/>
        </w:rPr>
        <w:t>磋商响应供应商在磋商响应截止期后不得修改、撤回响应文件。磋商响应供应商在报价截止期后修改响应文件的，其磋商响应将被拒绝。</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14.6</w:t>
      </w:r>
      <w:r>
        <w:rPr>
          <w:sz w:val="24"/>
          <w:highlight w:val="none"/>
        </w:rPr>
        <w:t>属于市场竞争不充分的科研项目，以及需要扶持的科技成果转化项目，符</w:t>
      </w:r>
      <w:r>
        <w:rPr>
          <w:spacing w:val="-6"/>
          <w:sz w:val="24"/>
          <w:highlight w:val="none"/>
        </w:rPr>
        <w:t xml:space="preserve">合实质性响应要求，提交最后报价的供应商可以为 </w:t>
      </w:r>
      <w:r>
        <w:rPr>
          <w:sz w:val="24"/>
          <w:highlight w:val="none"/>
        </w:rPr>
        <w:t>2</w:t>
      </w:r>
      <w:r>
        <w:rPr>
          <w:spacing w:val="-7"/>
          <w:sz w:val="24"/>
          <w:highlight w:val="none"/>
        </w:rPr>
        <w:t xml:space="preserve"> 家。属于政府购买服务项目的，在采购过程中符合要求的供应商只有 2 家的，竞争性磋商采购活动可以继续进行，采购过程中符合要求的供应商只有 1 家的，应当终止采购活动，发布项目终止公告并说明原因，重新开展采购活动。</w:t>
      </w:r>
    </w:p>
    <w:p>
      <w:pPr>
        <w:pStyle w:val="6"/>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五、响应文件的评估和比较</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15.磋商时间</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15.1</w:t>
      </w:r>
      <w:r>
        <w:rPr>
          <w:spacing w:val="-5"/>
          <w:sz w:val="24"/>
          <w:highlight w:val="none"/>
        </w:rPr>
        <w:t>在磋商响应供应商须知前附表中所规定的时间、地点磋商</w:t>
      </w:r>
      <w:r>
        <w:rPr>
          <w:sz w:val="24"/>
          <w:highlight w:val="none"/>
        </w:rPr>
        <w:t>（如有推迟情形， 以推迟后的时间、地点为准）。</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15.2</w:t>
      </w:r>
      <w:r>
        <w:rPr>
          <w:sz w:val="24"/>
          <w:highlight w:val="none"/>
        </w:rPr>
        <w:t>磋商由采购代理机构主持，邀请采购人、磋商响应供应商和有关方面代表参加。磋商响应供应商一般应派授权代表参加磋商，并办理签到手续。</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16.磋商小组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both"/>
        <w:textAlignment w:val="auto"/>
        <w:rPr>
          <w:highlight w:val="none"/>
        </w:rPr>
      </w:pPr>
      <w:r>
        <w:rPr>
          <w:highlight w:val="none"/>
        </w:rPr>
        <w:t>磋商小组由采购人代表评审专家组成，成员人数应当为 3 人以上单数，其中评审专家不得少于成员总数的三分之二。</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采购项目符合下列情形之一的，评标委员会成员人数应当为 7 人以上单数：</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(一)采购预算金额在 1000 万元以上;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(二)技术复杂;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(三)社会影响较大。</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4"/>
          <w:highlight w:val="none"/>
        </w:rPr>
        <w:t>评审专家对本单位的采购项目只能作为采购人代表参与评标，本办法第四十八条</w:t>
      </w:r>
      <w:r>
        <w:rPr>
          <w:spacing w:val="-11"/>
          <w:highlight w:val="none"/>
        </w:rPr>
        <w:t>第二款规定情形除外。采购代理机构工作人员不得参加由本机构代理的政府采购项目的评标。</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磋商小组成员名单在评标结果公告前应当保密。</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17.响应文件的初审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56" w:firstLineChars="200"/>
        <w:jc w:val="both"/>
        <w:textAlignment w:val="auto"/>
        <w:rPr>
          <w:highlight w:val="none"/>
        </w:rPr>
      </w:pPr>
      <w:r>
        <w:rPr>
          <w:spacing w:val="-6"/>
          <w:highlight w:val="none"/>
        </w:rPr>
        <w:t>对所有磋商响应供应商的评估，都采用相同的程序和标准。评议过程将严格按照</w:t>
      </w:r>
      <w:r>
        <w:rPr>
          <w:spacing w:val="-10"/>
          <w:highlight w:val="none"/>
        </w:rPr>
        <w:t>磋商文件的要求和条件进行。有关响应文件的审查、澄清、评估和比较以及推荐成交候选人的一切情况都不得透露给任一磋商响应供应商或与上诉磋商工作无</w:t>
      </w:r>
      <w:r>
        <w:rPr>
          <w:spacing w:val="-12"/>
          <w:highlight w:val="none"/>
        </w:rPr>
        <w:t>关的人员。磋商响应供应商任何试图影响磋商小组对响应文件的评审、比较或者推荐候选人的行为，都将导致其磋商响应被拒绝，并被没收磋商保证金。</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17.1</w:t>
      </w:r>
      <w:r>
        <w:rPr>
          <w:sz w:val="24"/>
          <w:highlight w:val="none"/>
        </w:rPr>
        <w:t>磋商小组将对响应文件进行审查，以确定响应文件是否完整、有无计算上的错误、是否提交了磋商保证金、文件是否已正确签署。</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17.2</w:t>
      </w:r>
      <w:r>
        <w:rPr>
          <w:sz w:val="24"/>
          <w:highlight w:val="none"/>
        </w:rPr>
        <w:t>算术错误将按以下方法更正：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both"/>
        <w:textAlignment w:val="auto"/>
        <w:rPr>
          <w:highlight w:val="none"/>
        </w:rPr>
      </w:pPr>
      <w:r>
        <w:rPr>
          <w:highlight w:val="none"/>
        </w:rPr>
        <w:t>(1)响应文件中报价一览表内容与响应文件中明细表内容不一致的，以报价一览表为准。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both"/>
        <w:textAlignment w:val="auto"/>
        <w:rPr>
          <w:highlight w:val="none"/>
        </w:rPr>
      </w:pPr>
      <w:r>
        <w:rPr>
          <w:highlight w:val="none"/>
        </w:rPr>
        <w:t>(2)响应文件的大写金额和小写金额不一致的，以大写金额为准；总价金额与按</w:t>
      </w:r>
      <w:r>
        <w:rPr>
          <w:spacing w:val="-7"/>
          <w:highlight w:val="none"/>
        </w:rPr>
        <w:t xml:space="preserve">单价汇总金额不一致的，以单价金额计算结果为准；单价金额小数点有明显错位的，应以总价为准，并修改单价；对不同文字文本响应文件的解释发生异议的， </w:t>
      </w:r>
      <w:r>
        <w:rPr>
          <w:spacing w:val="-12"/>
          <w:highlight w:val="none"/>
        </w:rPr>
        <w:t>以中文文本为准。如果磋商响应供应商不接受按上述方法对响应文件中的算术错误进行更正，其响应将被拒绝并没收其磋商保证金。</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17.3</w:t>
      </w:r>
      <w:r>
        <w:rPr>
          <w:sz w:val="24"/>
          <w:highlight w:val="none"/>
        </w:rPr>
        <w:t>资格性检查和符合性检查</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17.4</w:t>
      </w:r>
      <w:r>
        <w:rPr>
          <w:sz w:val="24"/>
          <w:highlight w:val="none"/>
        </w:rPr>
        <w:t>资格性检查。依据法律法规和磋商文件的规定，在对响应文件详细评估</w:t>
      </w:r>
      <w:r>
        <w:rPr>
          <w:spacing w:val="-10"/>
          <w:sz w:val="24"/>
          <w:highlight w:val="none"/>
        </w:rPr>
        <w:t>之前，磋商小组将依据磋商响应供应商提交的响应文件按磋商响应供应商须知前附表 2 所述的资格性要求对磋商响应供应商进行资格审查, 以确定其是否具备</w:t>
      </w:r>
      <w:r>
        <w:rPr>
          <w:spacing w:val="-12"/>
          <w:sz w:val="24"/>
          <w:highlight w:val="none"/>
        </w:rPr>
        <w:t>磋商资格。如果磋商响应供应商不具备磋商资格，不满足磋商文件所规定的资格标准或提供资格证明文件不全的, 其磋商响应将被拒绝。</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400" w:lineRule="exact"/>
        <w:ind w:leftChars="0" w:right="0" w:rightChars="0" w:firstLine="440" w:firstLineChars="200"/>
        <w:jc w:val="both"/>
        <w:textAlignment w:val="auto"/>
        <w:rPr>
          <w:sz w:val="24"/>
          <w:highlight w:val="none"/>
        </w:rPr>
      </w:pPr>
      <w:r>
        <w:rPr>
          <w:rFonts w:hint="eastAsia"/>
          <w:spacing w:val="-10"/>
          <w:sz w:val="24"/>
          <w:highlight w:val="none"/>
          <w:lang w:val="en-US" w:eastAsia="zh-CN"/>
        </w:rPr>
        <w:t>17.5</w:t>
      </w:r>
      <w:r>
        <w:rPr>
          <w:spacing w:val="-10"/>
          <w:sz w:val="24"/>
          <w:highlight w:val="none"/>
        </w:rPr>
        <w:t>符合性检查。依据磋商文件的规定，磋商小组还将从响应文件的有效性、</w:t>
      </w:r>
      <w:r>
        <w:rPr>
          <w:spacing w:val="-15"/>
          <w:sz w:val="24"/>
          <w:highlight w:val="none"/>
        </w:rPr>
        <w:t>完整性和对磋商文件的响应程度进行审查，以确定其是否符合对磋商文件的实质</w:t>
      </w:r>
      <w:r>
        <w:rPr>
          <w:spacing w:val="-24"/>
          <w:sz w:val="24"/>
          <w:highlight w:val="none"/>
        </w:rPr>
        <w:t>性要求作出响应。</w:t>
      </w:r>
      <w:r>
        <w:rPr>
          <w:sz w:val="24"/>
          <w:highlight w:val="none"/>
        </w:rPr>
        <w:t>（</w:t>
      </w:r>
      <w:r>
        <w:rPr>
          <w:spacing w:val="-2"/>
          <w:sz w:val="24"/>
          <w:highlight w:val="none"/>
        </w:rPr>
        <w:t>采购人可根据具体项目的情况对实质性要求作特别的规定。</w:t>
      </w:r>
      <w:r>
        <w:rPr>
          <w:sz w:val="24"/>
          <w:highlight w:val="none"/>
        </w:rPr>
        <w:t xml:space="preserve">） </w:t>
      </w:r>
      <w:r>
        <w:rPr>
          <w:spacing w:val="-1"/>
          <w:sz w:val="24"/>
          <w:highlight w:val="none"/>
        </w:rPr>
        <w:t>实质性偏离是指：</w:t>
      </w:r>
      <w:r>
        <w:rPr>
          <w:spacing w:val="-8"/>
          <w:sz w:val="24"/>
          <w:highlight w:val="none"/>
        </w:rPr>
        <w:t>(1)</w:t>
      </w:r>
      <w:r>
        <w:rPr>
          <w:spacing w:val="-4"/>
          <w:sz w:val="24"/>
          <w:highlight w:val="none"/>
        </w:rPr>
        <w:t>实质性影响合同的范围、质量和履行；</w:t>
      </w:r>
      <w:r>
        <w:rPr>
          <w:spacing w:val="-8"/>
          <w:sz w:val="24"/>
          <w:highlight w:val="none"/>
        </w:rPr>
        <w:t>(2)</w:t>
      </w:r>
      <w:r>
        <w:rPr>
          <w:sz w:val="24"/>
          <w:highlight w:val="none"/>
        </w:rPr>
        <w:t>实质性违背磋商</w:t>
      </w:r>
      <w:r>
        <w:rPr>
          <w:spacing w:val="-8"/>
          <w:sz w:val="24"/>
          <w:highlight w:val="none"/>
        </w:rPr>
        <w:t>文件，限制了采购人的权利和成交供应商合同项下的义务；</w:t>
      </w:r>
      <w:r>
        <w:rPr>
          <w:spacing w:val="-9"/>
          <w:sz w:val="24"/>
          <w:highlight w:val="none"/>
        </w:rPr>
        <w:t>((3)</w:t>
      </w:r>
      <w:r>
        <w:rPr>
          <w:sz w:val="24"/>
          <w:highlight w:val="none"/>
        </w:rPr>
        <w:t>不公正地影响了</w:t>
      </w:r>
      <w:r>
        <w:rPr>
          <w:spacing w:val="-4"/>
          <w:sz w:val="24"/>
          <w:highlight w:val="none"/>
        </w:rPr>
        <w:t>其它作出实质性响应的磋商响应供应商的竞争地位。对没有实质性响应的响应文</w:t>
      </w:r>
      <w:r>
        <w:rPr>
          <w:spacing w:val="-10"/>
          <w:sz w:val="24"/>
          <w:highlight w:val="none"/>
        </w:rPr>
        <w:t>件将不进行评估，其响应将按照无效响应处理。凡有下列情况之一者，响应文件也将被视为未实质性响应磋商文件要求：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(1)磋商响应文件未按照本须知规定进行密封、标记的；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(2)未按规定由磋商响应供应商的法定代表人或其授权代表签字；或未加盖磋商响应供应商公章的；或签字人未提供法定代表人有效授权委托书的；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(3)未按规定提交磋商保证金的；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(4)磋商响应有效期不满足磋商文件要求的；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(5)响应文件内容与磋商文件内容及要求有重大偏离或保留的；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(6)磋商响应供应商提交的是可选择的报价；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(7)磋商响应供应商未按磋商文件要求进行分项报价；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(8)响应文件中提供虚假或失实资料的；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(9)不符合磋商文件中规定的其它实质性条款。</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4"/>
          <w:highlight w:val="none"/>
        </w:rPr>
        <w:t>磋商小组决定报价的响应性只根据响应文件本身的内容，而不寻求其他的外部证据。</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17.5</w:t>
      </w:r>
      <w:r>
        <w:rPr>
          <w:sz w:val="24"/>
          <w:highlight w:val="none"/>
        </w:rPr>
        <w:t>磋商响应供应商提交的响应文件将给予保密，但不予退回。</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17.6</w:t>
      </w:r>
      <w:r>
        <w:rPr>
          <w:sz w:val="24"/>
          <w:highlight w:val="none"/>
        </w:rPr>
        <w:t>磋商响应供应商资格和报价产品均必须满足中华人民共和国相关法律法规及行业的强制性要求，否则将作无效响应处理。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18.磋商相应文件的澄清</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18.1 对磋商文件中含义不明确、同类问题表述不一致或者有明显文字和计算错</w:t>
      </w:r>
      <w:r>
        <w:rPr>
          <w:spacing w:val="-9"/>
          <w:highlight w:val="none"/>
        </w:rPr>
        <w:t>误的内容，磋商小组可以书面形式要求磋商响应供应商作出必要的澄清、说明或</w:t>
      </w:r>
      <w:r>
        <w:rPr>
          <w:spacing w:val="-12"/>
          <w:highlight w:val="none"/>
        </w:rPr>
        <w:t>者纠正。磋商响应供应商的澄清、说明或者补正应当在磋商小组规定的时间内以</w:t>
      </w:r>
      <w:r>
        <w:rPr>
          <w:spacing w:val="-13"/>
          <w:highlight w:val="none"/>
        </w:rPr>
        <w:t>书面形式作出，由其法定代表人或者授权代表签字，并不得超出响应文件的范围或者改变响应文件的实质性内容。</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19.比较与评价</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pacing w:val="-3"/>
          <w:sz w:val="24"/>
          <w:highlight w:val="none"/>
        </w:rPr>
      </w:pPr>
      <w:r>
        <w:rPr>
          <w:rFonts w:hint="eastAsia"/>
          <w:sz w:val="24"/>
          <w:highlight w:val="none"/>
          <w:lang w:val="en-US" w:eastAsia="zh-CN"/>
        </w:rPr>
        <w:t>19.1</w:t>
      </w:r>
      <w:r>
        <w:rPr>
          <w:sz w:val="24"/>
          <w:highlight w:val="none"/>
        </w:rPr>
        <w:t>磋商小组将按磋商响应供应商须知前附表 3</w:t>
      </w:r>
      <w:r>
        <w:rPr>
          <w:spacing w:val="-9"/>
          <w:sz w:val="24"/>
          <w:highlight w:val="none"/>
        </w:rPr>
        <w:t xml:space="preserve"> 所诉评审方法与标准，对资格性检</w:t>
      </w:r>
      <w:r>
        <w:rPr>
          <w:spacing w:val="-3"/>
          <w:sz w:val="24"/>
          <w:highlight w:val="none"/>
        </w:rPr>
        <w:t>查和符合性检查合格的磋商文件进行商务和技术评估，综合比较与评价。</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68" w:firstLineChars="200"/>
        <w:jc w:val="both"/>
        <w:textAlignment w:val="auto"/>
        <w:rPr>
          <w:sz w:val="24"/>
          <w:highlight w:val="none"/>
        </w:rPr>
      </w:pPr>
      <w:r>
        <w:rPr>
          <w:rFonts w:hint="eastAsia"/>
          <w:spacing w:val="-3"/>
          <w:sz w:val="24"/>
          <w:highlight w:val="none"/>
          <w:lang w:val="en-US" w:eastAsia="zh-CN"/>
        </w:rPr>
        <w:t>19.2</w:t>
      </w:r>
      <w:r>
        <w:rPr>
          <w:spacing w:val="-3"/>
          <w:sz w:val="24"/>
          <w:highlight w:val="none"/>
        </w:rPr>
        <w:t>对漏（缺）报项的处理：磋商文件中要求列入报价的费用（含配置、功能），漏（缺）报的视同已含在报价总价中。但在评审时取有效磋商响应供应商该项最</w:t>
      </w:r>
      <w:r>
        <w:rPr>
          <w:spacing w:val="-8"/>
          <w:sz w:val="24"/>
          <w:highlight w:val="none"/>
        </w:rPr>
        <w:t>高报价加入漏</w:t>
      </w:r>
      <w:r>
        <w:rPr>
          <w:spacing w:val="-3"/>
          <w:sz w:val="24"/>
          <w:highlight w:val="none"/>
        </w:rPr>
        <w:t>（</w:t>
      </w:r>
      <w:r>
        <w:rPr>
          <w:sz w:val="24"/>
          <w:highlight w:val="none"/>
        </w:rPr>
        <w:t>缺</w:t>
      </w:r>
      <w:r>
        <w:rPr>
          <w:spacing w:val="-29"/>
          <w:sz w:val="24"/>
          <w:highlight w:val="none"/>
        </w:rPr>
        <w:t>）</w:t>
      </w:r>
      <w:r>
        <w:rPr>
          <w:spacing w:val="-3"/>
          <w:sz w:val="24"/>
          <w:highlight w:val="none"/>
        </w:rPr>
        <w:t>报人的磋商响应报价进行评审。对多报及赠送项的价格评审时不予核减，全部进入评审价评议。</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19.3</w:t>
      </w:r>
      <w:r>
        <w:rPr>
          <w:sz w:val="24"/>
          <w:highlight w:val="none"/>
        </w:rPr>
        <w:t>若磋商响应供应商的报价明显低于其他报价，使得其报价可能低于其个别</w:t>
      </w:r>
      <w:r>
        <w:rPr>
          <w:spacing w:val="-9"/>
          <w:sz w:val="24"/>
          <w:highlight w:val="none"/>
        </w:rPr>
        <w:t>成本的，有可能影响商品质量或不能诚信履约的，磋商相应供应商应按磋商小组</w:t>
      </w:r>
      <w:r>
        <w:rPr>
          <w:spacing w:val="-14"/>
          <w:sz w:val="24"/>
          <w:highlight w:val="none"/>
        </w:rPr>
        <w:t>要求作出书面说明并提供相关证明材料，不能合理说明或不能提供相关证明材料的，可作无效报价处理。</w:t>
      </w:r>
    </w:p>
    <w:p>
      <w:pPr>
        <w:pStyle w:val="6"/>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六、成交与签订合同</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20.成交准则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20.1</w:t>
      </w:r>
      <w:r>
        <w:rPr>
          <w:spacing w:val="-5"/>
          <w:highlight w:val="none"/>
        </w:rPr>
        <w:t xml:space="preserve"> 磋商响应供应商的响应文件符合磋商文件要求，按磋商文件确定评审方法、标准，经磋商小组评审并推荐成交候选人。</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21.成交通知</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21.1</w:t>
      </w:r>
      <w:r>
        <w:rPr>
          <w:sz w:val="24"/>
          <w:highlight w:val="none"/>
        </w:rPr>
        <w:t>磋商结束后，磋商结果经采购人确认后，采购代理机构应自成交人确</w:t>
      </w:r>
      <w:r>
        <w:rPr>
          <w:highlight w:val="none"/>
        </w:rPr>
        <w:t>定之日起 2 个工作日内在铜仁市公共资源交易中心网、贵州省政府采购网上对</w:t>
      </w:r>
      <w:r>
        <w:rPr>
          <w:spacing w:val="-8"/>
          <w:highlight w:val="none"/>
        </w:rPr>
        <w:t>成交结果进行公告，同时采购代理机构向成交供应商发出成交通知书。成交通知</w:t>
      </w:r>
      <w:r>
        <w:rPr>
          <w:spacing w:val="-12"/>
          <w:highlight w:val="none"/>
        </w:rPr>
        <w:t>书对采购人和成交供应商具有同等法律效力。成交通知书发出后，采购人改变成交结果或者成交供应商放弃成交，应承担相应的法律责任。</w:t>
      </w:r>
    </w:p>
    <w:p>
      <w:pPr>
        <w:pStyle w:val="17"/>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21.2</w:t>
      </w:r>
      <w:r>
        <w:rPr>
          <w:sz w:val="24"/>
          <w:highlight w:val="none"/>
        </w:rPr>
        <w:t>《成交通知书》将作为签订合同的依据。采购合同签订后，《成交通知书》成为合同的一部分。</w:t>
      </w:r>
    </w:p>
    <w:p>
      <w:pPr>
        <w:pStyle w:val="17"/>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400" w:lineRule="exact"/>
        <w:ind w:right="0" w:rightChars="0"/>
        <w:jc w:val="both"/>
        <w:textAlignment w:val="auto"/>
        <w:rPr>
          <w:highlight w:val="none"/>
        </w:rPr>
      </w:pPr>
      <w:r>
        <w:rPr>
          <w:rFonts w:hint="eastAsia"/>
          <w:sz w:val="24"/>
          <w:highlight w:val="none"/>
          <w:lang w:val="en-US" w:eastAsia="zh-CN"/>
        </w:rPr>
        <w:t>21.3</w:t>
      </w:r>
      <w:r>
        <w:rPr>
          <w:sz w:val="24"/>
          <w:highlight w:val="none"/>
        </w:rPr>
        <w:t>《成交通知书》发出后 5 个工作日内，采购代理机构以原缴交方式向未成</w:t>
      </w:r>
      <w:r>
        <w:rPr>
          <w:highlight w:val="none"/>
        </w:rPr>
        <w:t>交的磋商响应供应商退还其磋商保证金（含保函）。在合同签订后 5 个工作日内，以原缴交方式退还成交供应商的磋商保证金。</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22.签订合同</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22.1</w:t>
      </w:r>
      <w:r>
        <w:rPr>
          <w:sz w:val="24"/>
          <w:highlight w:val="none"/>
        </w:rPr>
        <w:t>采购人、成交供应商在《成交通知书》发出之日起 30 日内，根据磋商文</w:t>
      </w:r>
      <w:r>
        <w:rPr>
          <w:spacing w:val="-4"/>
          <w:sz w:val="24"/>
          <w:highlight w:val="none"/>
        </w:rPr>
        <w:t>件确定的事项和成交供应商响应文件，参照本磋商文件第四章的《合同》文本签订合同。双方所签订的合同不得对磋商文件和成交供应商响应文件作实质性改。</w:t>
      </w:r>
      <w:r>
        <w:rPr>
          <w:spacing w:val="-16"/>
          <w:sz w:val="24"/>
          <w:highlight w:val="none"/>
        </w:rPr>
        <w:t xml:space="preserve">逾期未签订合同，按照有关法律规定承担相应的法律责任；属成交供应商责任的， </w:t>
      </w:r>
      <w:r>
        <w:rPr>
          <w:spacing w:val="-17"/>
          <w:sz w:val="24"/>
          <w:highlight w:val="none"/>
        </w:rPr>
        <w:t>采购代理机构将没收磋商保证金，以抵偿对采购人造成的损失。采购人逾期不与成交供应商签订合同的，按政府采购的有关规定处理。</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22.2</w:t>
      </w:r>
      <w:r>
        <w:rPr>
          <w:sz w:val="24"/>
          <w:highlight w:val="none"/>
        </w:rPr>
        <w:t>磋商文件、磋商文件的修改文件、成交供应商的响应文件、补充或修改的</w:t>
      </w:r>
      <w:r>
        <w:rPr>
          <w:spacing w:val="-6"/>
          <w:sz w:val="24"/>
          <w:highlight w:val="none"/>
        </w:rPr>
        <w:t>文件及澄清或承诺文件等，均为双方签订合同的组成部分，并与合同一并作为本磋商文件所列采购项目的互补性法律文件，与合同具有同等法律效力。</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22.3</w:t>
      </w:r>
      <w:r>
        <w:rPr>
          <w:sz w:val="24"/>
          <w:highlight w:val="none"/>
        </w:rPr>
        <w:t>采购人在合同履行中，需追加与合同标的相同的货物或者服务的，在不改</w:t>
      </w:r>
      <w:r>
        <w:rPr>
          <w:spacing w:val="-6"/>
          <w:sz w:val="24"/>
          <w:highlight w:val="none"/>
        </w:rPr>
        <w:t>变合同其他条款的前提下，可与供应商协商签订补充合同，但所有补充合同的采购金额不得超过原合同采购金额的10%。</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22.4</w:t>
      </w:r>
      <w:r>
        <w:rPr>
          <w:sz w:val="24"/>
          <w:highlight w:val="none"/>
        </w:rPr>
        <w:t>成交供应商因不可抗力或者自身原因不能履行政府采购合同的，采购人可</w:t>
      </w:r>
      <w:r>
        <w:rPr>
          <w:spacing w:val="-3"/>
          <w:sz w:val="24"/>
          <w:highlight w:val="none"/>
        </w:rPr>
        <w:t>以与排位在成交供应商之后第一位的成交备选供应商签订政府采购合同，以此类</w:t>
      </w:r>
      <w:r>
        <w:rPr>
          <w:spacing w:val="-10"/>
          <w:sz w:val="24"/>
          <w:highlight w:val="none"/>
        </w:rPr>
        <w:t>推。且在此情况下，作为成交供应商之后第一位的成交候选人应同意与采购人按不高于其最终报价签订采购合同。</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23.成交服务费</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firstLine="240" w:firstLineChars="100"/>
        <w:jc w:val="both"/>
        <w:textAlignment w:val="auto"/>
        <w:rPr>
          <w:highlight w:val="none"/>
        </w:rPr>
      </w:pPr>
      <w:r>
        <w:rPr>
          <w:highlight w:val="none"/>
        </w:rPr>
        <w:t>代理机构</w:t>
      </w:r>
      <w:r>
        <w:rPr>
          <w:rFonts w:hint="eastAsia"/>
          <w:highlight w:val="none"/>
          <w:lang w:val="en-US" w:eastAsia="zh-CN"/>
        </w:rPr>
        <w:t>与采购方签订代理协议为准</w:t>
      </w:r>
      <w:r>
        <w:rPr>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both"/>
        <w:textAlignment w:val="auto"/>
        <w:rPr>
          <w:sz w:val="24"/>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第四章 磋商内容及要求</w:t>
      </w:r>
    </w:p>
    <w:p>
      <w:pPr>
        <w:pStyle w:val="2"/>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eastAsia" w:ascii="宋体" w:hAnsi="宋体" w:eastAsia="宋体" w:cs="宋体"/>
          <w:b w:val="0"/>
          <w:bCs/>
          <w:i w:val="0"/>
          <w:color w:val="000000"/>
          <w:kern w:val="0"/>
          <w:sz w:val="24"/>
          <w:szCs w:val="24"/>
          <w:u w:val="none"/>
          <w:lang w:val="en-US" w:eastAsia="zh-CN" w:bidi="ar"/>
        </w:rPr>
      </w:pPr>
    </w:p>
    <w:p>
      <w:pPr>
        <w:pStyle w:val="2"/>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根据工程具体情况，合理组织，抓住重点，加强项目组织管理，强化工程质量管理，加强计划财务管理与监督，已达到确保质量、缩短工期、控制造价、保证安全，特别是要协调好施工与周围环境保护的要求。工程施工任务必须注重专业化，加强监理。施工过程中应尽量采用流水作业，连续均衡施工，缩短工期，加快建设速度。充分利用当地资源，减少物资运输量，尽量避免二次搬运，降低运输成本，节省工程投资，做好安全防范措施，杜绝工程事故的发生。</w:t>
      </w:r>
    </w:p>
    <w:p>
      <w:pPr>
        <w:pStyle w:val="2"/>
        <w:rPr>
          <w:rFonts w:hint="eastAsia" w:ascii="宋体" w:hAnsi="宋体" w:eastAsia="宋体" w:cs="宋体"/>
          <w:b/>
          <w:i w:val="0"/>
          <w:color w:val="000000"/>
          <w:kern w:val="0"/>
          <w:sz w:val="28"/>
          <w:szCs w:val="28"/>
          <w:u w:val="none"/>
          <w:lang w:val="en-US" w:eastAsia="zh-CN" w:bidi="ar"/>
        </w:rPr>
      </w:pPr>
    </w:p>
    <w:p>
      <w:pPr>
        <w:pStyle w:val="2"/>
      </w:pPr>
      <w:r>
        <w:rPr>
          <w:rFonts w:hint="eastAsia" w:ascii="宋体" w:hAnsi="宋体" w:eastAsia="宋体" w:cs="宋体"/>
          <w:b/>
          <w:i w:val="0"/>
          <w:color w:val="000000"/>
          <w:kern w:val="0"/>
          <w:sz w:val="28"/>
          <w:szCs w:val="28"/>
          <w:u w:val="none"/>
          <w:lang w:val="en-US" w:eastAsia="zh-CN" w:bidi="ar"/>
        </w:rPr>
        <w:t>江口县德旺乡净河村地表径流污水净化利用示范项目工程量清单</w:t>
      </w:r>
    </w:p>
    <w:tbl>
      <w:tblPr>
        <w:tblStyle w:val="13"/>
        <w:tblW w:w="10376" w:type="dxa"/>
        <w:jc w:val="center"/>
        <w:tblInd w:w="0" w:type="dxa"/>
        <w:shd w:val="clear" w:color="auto" w:fill="auto"/>
        <w:tblLayout w:type="fixed"/>
        <w:tblCellMar>
          <w:top w:w="0" w:type="dxa"/>
          <w:left w:w="0" w:type="dxa"/>
          <w:bottom w:w="0" w:type="dxa"/>
          <w:right w:w="0" w:type="dxa"/>
        </w:tblCellMar>
      </w:tblPr>
      <w:tblGrid>
        <w:gridCol w:w="466"/>
        <w:gridCol w:w="1372"/>
        <w:gridCol w:w="1382"/>
        <w:gridCol w:w="3172"/>
        <w:gridCol w:w="624"/>
        <w:gridCol w:w="918"/>
        <w:gridCol w:w="520"/>
        <w:gridCol w:w="900"/>
        <w:gridCol w:w="1022"/>
      </w:tblGrid>
      <w:tr>
        <w:tblPrEx>
          <w:shd w:val="clear" w:color="auto" w:fill="auto"/>
          <w:tblLayout w:type="fixed"/>
          <w:tblCellMar>
            <w:top w:w="0" w:type="dxa"/>
            <w:left w:w="0" w:type="dxa"/>
            <w:bottom w:w="0" w:type="dxa"/>
            <w:right w:w="0" w:type="dxa"/>
          </w:tblCellMar>
        </w:tblPrEx>
        <w:trPr>
          <w:trHeight w:val="266" w:hRule="atLeast"/>
          <w:tblHeader/>
          <w:jc w:val="center"/>
        </w:trPr>
        <w:tc>
          <w:tcPr>
            <w:tcW w:w="466" w:type="dxa"/>
            <w:vMerge w:val="restart"/>
            <w:tcBorders>
              <w:top w:val="single" w:color="000000" w:sz="4" w:space="0"/>
              <w:left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7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38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317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624"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计量单位</w:t>
            </w:r>
          </w:p>
        </w:tc>
        <w:tc>
          <w:tcPr>
            <w:tcW w:w="918"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2442" w:type="dxa"/>
            <w:gridSpan w:val="3"/>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94" w:hRule="atLeast"/>
          <w:tblHeader/>
          <w:jc w:val="center"/>
        </w:trPr>
        <w:tc>
          <w:tcPr>
            <w:tcW w:w="466" w:type="dxa"/>
            <w:vMerge w:val="continue"/>
            <w:tcBorders>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1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4"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vMerge w:val="restart"/>
            <w:tcBorders>
              <w:top w:val="single" w:color="auto"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综合单价</w:t>
            </w:r>
          </w:p>
        </w:tc>
        <w:tc>
          <w:tcPr>
            <w:tcW w:w="900" w:type="dxa"/>
            <w:vMerge w:val="restart"/>
            <w:tcBorders>
              <w:top w:val="single" w:color="auto"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合价</w:t>
            </w:r>
          </w:p>
        </w:tc>
        <w:tc>
          <w:tcPr>
            <w:tcW w:w="1022" w:type="dxa"/>
            <w:tcBorders>
              <w:top w:val="single" w:color="auto"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其中</w:t>
            </w:r>
          </w:p>
        </w:tc>
      </w:tr>
      <w:tr>
        <w:tblPrEx>
          <w:tblLayout w:type="fixed"/>
          <w:tblCellMar>
            <w:top w:w="0" w:type="dxa"/>
            <w:left w:w="0" w:type="dxa"/>
            <w:bottom w:w="0" w:type="dxa"/>
            <w:right w:w="0" w:type="dxa"/>
          </w:tblCellMar>
        </w:tblPrEx>
        <w:trPr>
          <w:trHeight w:val="134" w:hRule="atLeast"/>
          <w:tblHeader/>
          <w:jc w:val="center"/>
        </w:trPr>
        <w:tc>
          <w:tcPr>
            <w:tcW w:w="466" w:type="dxa"/>
            <w:vMerge w:val="continue"/>
            <w:tcBorders>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1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4"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暂估价</w:t>
            </w:r>
          </w:p>
        </w:tc>
      </w:tr>
      <w:tr>
        <w:tblPrEx>
          <w:shd w:val="clear" w:color="auto" w:fill="auto"/>
          <w:tblLayout w:type="fixed"/>
          <w:tblCellMar>
            <w:top w:w="0" w:type="dxa"/>
            <w:left w:w="0" w:type="dxa"/>
            <w:bottom w:w="0" w:type="dxa"/>
            <w:right w:w="0" w:type="dxa"/>
          </w:tblCellMar>
        </w:tblPrEx>
        <w:trPr>
          <w:trHeight w:val="45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污水管网部分</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118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010101003001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挖沟槽土方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1.土壤类别:三、四类土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2.挖土深度:详设计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3.开挖方式：机械配合人工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4、长度5550m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971.25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8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010103001001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回填方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1.密实度要求:符合设计规范要求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3.填方粒径要求:综合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4.填方来源、运距:沟槽开挖土方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5.回填方式：机械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6.沟槽长度：5550m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871.37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7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010103002001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1.废弃料品种:基础开挖土方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99.88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7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041001001001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1.材质:混凝土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7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041001001002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拆除沥青混凝土路面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1、材质:沥青混凝土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18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040203007001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1.现浇C25水泥混凝土面层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3.塑料膜养护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4.留伸缩封</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040203006001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沥青混凝土路面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1.现铺沥青混凝土面层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3.塑料膜养护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4.留伸缩封</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9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040501004001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DN200双壁波纹管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1.安装部位(室外):室外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2.输送介质（给水、排水、热煤体、燃气、雨水）:排水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3.材质:HDPE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4.型号、规格:DN200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5.连接方式:胶圈接口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4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040501004002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DN160双壁波纹管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安装部位(室外):室外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2.输送介质（给水、排水、热煤体、燃气、雨水）:排水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3.材质:HDPE</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4.型号、规格:DN160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5.连接方式:胶圈接口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040501004003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DN110PVC管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1.安装部位(室外):室外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2.输送介质（给水、排水、热煤体、燃气、雨水）:排水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3.材质:PVC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4.型号、规格:DN110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2700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030609001001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1.名称:碳钢管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2.规格:DN160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3.连接方式:焊接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4、管道刷油：酚醛防锈漆1遍，酚醛调和漆两遍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040504001001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砌筑井</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1.垫层、基础材质及厚度:C15混凝土垫层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2.砌筑材料品种、规格、强度等级:MU10砖砌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3.勾缝、抹面要求:1:2水泥砂浆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4.砂浆强度等级、配合比:M7.5水泥砂浆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5.井盖、井圈材质及规格:铸铁井盖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6.踏步材质、规格:塑钢踏步</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9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070204001001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户用收集池</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600*600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5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终端处理部分</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前处理土建工程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5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隔油池、格栅池</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010101004002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挖基坑土方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2.挖土深度:1.3m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3.机械配合人工</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21.22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基坑回填方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1.密实度要求:符合设计规范要求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3.填方粒径要求:综合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4.填方来源、运距:基坑开挖土方</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8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010103002004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废弃料品种:三四类土</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010401003002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实心砖墙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1.砖品种、规格、强度等级:240砖墙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98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010501004002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满堂基础</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8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1.墙体类型:隔墙，砖墙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62"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2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010512008001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沟盖板、井盖板、井圈</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C25 1560*1560*100预制板， 4块 HRB400钢筋,直径10，重量为0.135t</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0.97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66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040602001001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格栅</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钢制格栅</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010503005001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过梁</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4.钢筋</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50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水解池厌氧池</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平整场地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95.86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13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挖基坑土方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2.挖土深度:3.8m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3.机械配合人工</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247.19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基坑回填方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1.密实度要求:符合设计规范要求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3.填方粒径要求:综合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4.填方来源、运距:基坑开挖土方</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140.59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829"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010103002003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1.废弃料品种:三四类土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060212025001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回填土</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1.土质要求:预处理池覆土人工回填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2.运输距离:人工运输20m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12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010401003001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实心砖墙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1.砖品种、规格、强度等级:240砖墙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15.88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6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垫层</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混凝土种类:现浇</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2.混凝土强度等级:C15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3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满堂基础</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8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010503004001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圈梁</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63"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010502002001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构造柱</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1.83</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3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010505003001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平板</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1.部位：底板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0.334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91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1.部位：顶板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直径8、12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0.449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1.部位：圈梁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直径6、12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0.475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113"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010515001005</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1.部位：构造柱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直径6、12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05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010515001006</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1.部位：砌体墙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直径6</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812"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1.墙体类型:内外砖墙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162.84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2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011201001005</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1.墙体类型:内墙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87.77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6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池底板20厚1:2防水砂浆找平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22.85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1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22.85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78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060105006002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土工布铺设</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1、部位：内墙和底板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2、规格：1.2厚HDPE土工布</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110.62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50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080601027001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爬梯</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钢制爬梯</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6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04B001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钢制检测井</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钢制井筒加高分子井盖</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9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070102007001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填料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∅150立体弹性填料</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53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010606012001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槽钢支架</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1.钢材品种、规格:C5槽钢</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0.052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011701002001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外脚手架</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钢管脚手架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84.86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011701003001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里脚手架</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钢管脚手架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75.07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5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011705001001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大型机械设备进出场及安拆</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台次</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人工湿地工程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平整场地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329.91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挖一般土方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461.87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010103002002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1.废弃料品种:三四类土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461.87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010401003004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实心砖墙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1.砖品种、规格、强度等级:240砖墙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27.11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010403009001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鹅卵石墙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1.垫层材料种类、厚度:20mm水泥砂浆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2.石料种类、规格:50-100mm卵石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010201001001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换填垫层</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100厚级配砂石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010501004003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满堂基础</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65.98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1.钢筋种类、规格:HRB400 直径12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2.952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060105006001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土工膜铺设</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1.铺设位置:隔墙、底板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472.87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329.91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1.墙体类型:隔墙，砖墙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368.88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010404001001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碎砖填料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50-80mm烧结粘土400mm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131.96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010404001002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砾石填料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600mm厚钙砾石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197.95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050102009001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栽植水生植物</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1.植物种类:红花、黄花美人蕉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2.株高或蓬径或芽数/株:0.6m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3.单位面积株数:16株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4.养护期:1年</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丛</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2639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050102009002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栽植水生植物</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1.植物种类:风车草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2.株高或蓬径或芽数/株:0.6m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3.单位面积株数:16株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4.养护期:1年</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丛</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2639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031001006002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筛管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PVC DN100塑料筛管</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040203007002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1、30厚1:2.5水泥砂浆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2、100厚C25垫层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3、150厚碎石垫层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4、塑料膜养护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5、素土分层夯实（密实度≥95%）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010101003003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水沟挖沟槽土方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1.土壤类别:淤泥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2.挖土深度:1.45m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3.弃土运距:200m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216.92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垫层</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1、部位：水沟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3.混凝土强度等级:C15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22.44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010403003001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水沟毛石挡墙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1.石料种类、规格:毛石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2.勾缝要求:1:2水泥砂浆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91.52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050307009001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标志牌</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050307009002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警示牌</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0.6*0.6m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周边景观工程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红叶石楠球</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1.种类:红叶石楠球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2.冠丛高:.冠丛高:冠幅1m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3.养护期:一年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4.技术措施加施基肥、生根剂、枝、根消毒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5.运距10km.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050102012001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铺种草皮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1.名称：播草皮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2.铺种方式:满铺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3.养护期:1年</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011503001001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金属扶手、栏杆、栏板</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铝合金栏杆H=1.1m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010802001001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金属(塑钢）门</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铝合金门M0901</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单价措施项目费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55" w:hRule="atLeast"/>
          <w:jc w:val="center"/>
        </w:trPr>
        <w:tc>
          <w:tcPr>
            <w:tcW w:w="7934" w:type="dxa"/>
            <w:gridSpan w:val="6"/>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本页小计</w:t>
            </w:r>
          </w:p>
        </w:tc>
        <w:tc>
          <w:tcPr>
            <w:tcW w:w="52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90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102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r>
    </w:tbl>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pPr>
    </w:p>
    <w:p>
      <w:pPr>
        <w:pStyle w:val="3"/>
        <w:keepNext w:val="0"/>
        <w:keepLines w:val="0"/>
        <w:pageBreakBefore w:val="0"/>
        <w:widowControl w:val="0"/>
        <w:kinsoku/>
        <w:wordWrap/>
        <w:overflowPunct/>
        <w:topLinePunct w:val="0"/>
        <w:autoSpaceDE w:val="0"/>
        <w:autoSpaceDN w:val="0"/>
        <w:bidi w:val="0"/>
        <w:adjustRightInd/>
        <w:snapToGrid/>
        <w:spacing w:before="0" w:after="0" w:line="490" w:lineRule="exact"/>
        <w:ind w:left="0" w:right="0"/>
        <w:jc w:val="center"/>
        <w:textAlignment w:val="auto"/>
        <w:rPr>
          <w:sz w:val="44"/>
          <w:szCs w:val="44"/>
          <w:highlight w:val="none"/>
        </w:rPr>
      </w:pPr>
      <w:r>
        <w:rPr>
          <w:sz w:val="44"/>
          <w:szCs w:val="44"/>
          <w:highlight w:val="none"/>
        </w:rPr>
        <w:t>第五章 政府采购合同（参考文本）</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合同号：</w:t>
      </w:r>
    </w:p>
    <w:p>
      <w:pPr>
        <w:pStyle w:val="9"/>
        <w:keepNext w:val="0"/>
        <w:keepLines w:val="0"/>
        <w:pageBreakBefore w:val="0"/>
        <w:widowControl w:val="0"/>
        <w:tabs>
          <w:tab w:val="left" w:pos="5331"/>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甲方(采购人)：</w:t>
      </w:r>
      <w:r>
        <w:rPr>
          <w:highlight w:val="none"/>
        </w:rPr>
        <w:tab/>
      </w:r>
      <w:r>
        <w:rPr>
          <w:highlight w:val="none"/>
        </w:rPr>
        <w:t>签定地点：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19"/>
          <w:highlight w:val="none"/>
        </w:rPr>
      </w:pPr>
    </w:p>
    <w:p>
      <w:pPr>
        <w:pStyle w:val="9"/>
        <w:keepNext w:val="0"/>
        <w:keepLines w:val="0"/>
        <w:pageBreakBefore w:val="0"/>
        <w:widowControl w:val="0"/>
        <w:tabs>
          <w:tab w:val="left" w:pos="5550"/>
          <w:tab w:val="left" w:pos="7448"/>
          <w:tab w:val="left" w:pos="8048"/>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乙</w:t>
      </w:r>
      <w:r>
        <w:rPr>
          <w:spacing w:val="-22"/>
          <w:highlight w:val="none"/>
        </w:rPr>
        <w:t>方</w:t>
      </w:r>
      <w:r>
        <w:rPr>
          <w:spacing w:val="-3"/>
          <w:highlight w:val="none"/>
        </w:rPr>
        <w:t>（</w:t>
      </w:r>
      <w:r>
        <w:rPr>
          <w:highlight w:val="none"/>
        </w:rPr>
        <w:t>中标人</w:t>
      </w:r>
      <w:r>
        <w:rPr>
          <w:spacing w:val="-11"/>
          <w:highlight w:val="none"/>
        </w:rPr>
        <w:t>）：</w:t>
      </w:r>
      <w:r>
        <w:rPr>
          <w:spacing w:val="-11"/>
          <w:highlight w:val="none"/>
        </w:rPr>
        <w:tab/>
      </w:r>
      <w:r>
        <w:rPr>
          <w:highlight w:val="none"/>
        </w:rPr>
        <w:t>签定日期：</w:t>
      </w:r>
      <w:r>
        <w:rPr>
          <w:rFonts w:hint="eastAsia"/>
          <w:highlight w:val="none"/>
          <w:lang w:val="en-US" w:eastAsia="zh-CN"/>
        </w:rPr>
        <w:t xml:space="preserve">  </w:t>
      </w:r>
      <w:r>
        <w:rPr>
          <w:highlight w:val="none"/>
        </w:rPr>
        <w:t>年</w:t>
      </w:r>
      <w:r>
        <w:rPr>
          <w:highlight w:val="none"/>
        </w:rPr>
        <w:tab/>
      </w:r>
      <w:r>
        <w:rPr>
          <w:highlight w:val="none"/>
        </w:rPr>
        <w:t>月</w:t>
      </w:r>
      <w:r>
        <w:rPr>
          <w:rFonts w:hint="eastAsia"/>
          <w:highlight w:val="none"/>
          <w:lang w:val="en-US" w:eastAsia="zh-CN"/>
        </w:rPr>
        <w:t xml:space="preserve">  </w:t>
      </w:r>
      <w:r>
        <w:rPr>
          <w:highlight w:val="none"/>
        </w:rPr>
        <w:t>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jc w:val="both"/>
        <w:textAlignment w:val="auto"/>
        <w:rPr>
          <w:highlight w:val="none"/>
        </w:rPr>
      </w:pPr>
      <w:r>
        <w:rPr>
          <w:highlight w:val="none"/>
        </w:rPr>
        <w:t>根据甲方委托(招标代理机构)对      进行招标采购（招标编号：</w:t>
      </w:r>
      <w:r>
        <w:rPr>
          <w:highlight w:val="none"/>
          <w:u w:val="single"/>
        </w:rPr>
        <w:t xml:space="preserve">     </w:t>
      </w:r>
      <w:r>
        <w:rPr>
          <w:highlight w:val="none"/>
        </w:rPr>
        <w:t xml:space="preserve">） </w:t>
      </w:r>
      <w:r>
        <w:rPr>
          <w:spacing w:val="-14"/>
          <w:highlight w:val="none"/>
        </w:rPr>
        <w:t>的招标结果，乙方为中标人，现依照招标文件、</w:t>
      </w:r>
      <w:r>
        <w:rPr>
          <w:spacing w:val="-3"/>
          <w:highlight w:val="none"/>
        </w:rPr>
        <w:t>（</w:t>
      </w:r>
      <w:r>
        <w:rPr>
          <w:highlight w:val="none"/>
        </w:rPr>
        <w:t>中标人</w:t>
      </w:r>
      <w:r>
        <w:rPr>
          <w:spacing w:val="-41"/>
          <w:highlight w:val="none"/>
        </w:rPr>
        <w:t>）</w:t>
      </w:r>
      <w:r>
        <w:rPr>
          <w:highlight w:val="none"/>
        </w:rPr>
        <w:t>投标文件及有关法律、法规、规章规定的内容，双方达成如下协议：</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1、合同标的和合同价格</w:t>
      </w:r>
    </w:p>
    <w:tbl>
      <w:tblPr>
        <w:tblStyle w:val="13"/>
        <w:tblW w:w="8742"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1271"/>
        <w:gridCol w:w="1606"/>
        <w:gridCol w:w="1752"/>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177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服务名称</w:t>
            </w:r>
          </w:p>
        </w:tc>
        <w:tc>
          <w:tcPr>
            <w:tcW w:w="127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数 量</w:t>
            </w:r>
          </w:p>
        </w:tc>
        <w:tc>
          <w:tcPr>
            <w:tcW w:w="160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单 价</w:t>
            </w:r>
          </w:p>
        </w:tc>
        <w:tc>
          <w:tcPr>
            <w:tcW w:w="175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总 价</w:t>
            </w:r>
          </w:p>
        </w:tc>
        <w:tc>
          <w:tcPr>
            <w:tcW w:w="233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1777"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777"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777"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777"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2、服务方式和服务地点</w:t>
      </w:r>
    </w:p>
    <w:p>
      <w:pPr>
        <w:pStyle w:val="17"/>
        <w:keepNext w:val="0"/>
        <w:keepLines w:val="0"/>
        <w:pageBreakBefore w:val="0"/>
        <w:widowControl w:val="0"/>
        <w:numPr>
          <w:ilvl w:val="0"/>
          <w:numId w:val="0"/>
        </w:numPr>
        <w:tabs>
          <w:tab w:val="left" w:pos="758"/>
        </w:tabs>
        <w:kinsoku/>
        <w:wordWrap/>
        <w:overflowPunct/>
        <w:topLinePunct w:val="0"/>
        <w:autoSpaceDE w:val="0"/>
        <w:autoSpaceDN w:val="0"/>
        <w:bidi w:val="0"/>
        <w:adjustRightInd/>
        <w:snapToGrid/>
        <w:spacing w:before="0" w:after="0" w:line="400" w:lineRule="exact"/>
        <w:ind w:right="0" w:rightChars="0" w:firstLine="480" w:firstLineChars="200"/>
        <w:jc w:val="both"/>
        <w:textAlignment w:val="auto"/>
        <w:rPr>
          <w:sz w:val="24"/>
          <w:highlight w:val="none"/>
        </w:rPr>
      </w:pPr>
      <w:r>
        <w:rPr>
          <w:rFonts w:hint="eastAsia"/>
          <w:sz w:val="24"/>
          <w:highlight w:val="none"/>
          <w:lang w:val="en-US" w:eastAsia="zh-CN"/>
        </w:rPr>
        <w:t>2.1</w:t>
      </w:r>
      <w:r>
        <w:rPr>
          <w:sz w:val="24"/>
          <w:highlight w:val="none"/>
        </w:rPr>
        <w:t>服务方式：</w:t>
      </w:r>
    </w:p>
    <w:p>
      <w:pPr>
        <w:pStyle w:val="17"/>
        <w:keepNext w:val="0"/>
        <w:keepLines w:val="0"/>
        <w:pageBreakBefore w:val="0"/>
        <w:widowControl w:val="0"/>
        <w:numPr>
          <w:ilvl w:val="0"/>
          <w:numId w:val="0"/>
        </w:numPr>
        <w:tabs>
          <w:tab w:val="left" w:pos="758"/>
        </w:tabs>
        <w:kinsoku/>
        <w:wordWrap/>
        <w:overflowPunct/>
        <w:topLinePunct w:val="0"/>
        <w:autoSpaceDE w:val="0"/>
        <w:autoSpaceDN w:val="0"/>
        <w:bidi w:val="0"/>
        <w:adjustRightInd/>
        <w:snapToGrid/>
        <w:spacing w:before="0" w:after="0" w:line="400" w:lineRule="exact"/>
        <w:ind w:right="0" w:rightChars="0" w:firstLine="480" w:firstLineChars="200"/>
        <w:jc w:val="both"/>
        <w:textAlignment w:val="auto"/>
        <w:rPr>
          <w:sz w:val="24"/>
          <w:highlight w:val="none"/>
        </w:rPr>
      </w:pPr>
      <w:r>
        <w:rPr>
          <w:rFonts w:hint="eastAsia"/>
          <w:sz w:val="24"/>
          <w:highlight w:val="none"/>
          <w:lang w:val="en-US" w:eastAsia="zh-CN"/>
        </w:rPr>
        <w:t>2.2</w:t>
      </w:r>
      <w:r>
        <w:rPr>
          <w:sz w:val="24"/>
          <w:highlight w:val="none"/>
        </w:rPr>
        <w:t>服务地点：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3、供货清单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firstLine="480" w:firstLineChars="200"/>
        <w:jc w:val="both"/>
        <w:textAlignment w:val="auto"/>
        <w:rPr>
          <w:highlight w:val="none"/>
        </w:rPr>
      </w:pPr>
      <w:r>
        <w:rPr>
          <w:highlight w:val="none"/>
        </w:rPr>
        <w:t>3.1 供货清单：名称及数量。（采购人对包装及运输有特别要求的，应作具体约定。）</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4、付款方式与条件</w:t>
      </w:r>
    </w:p>
    <w:p>
      <w:pPr>
        <w:pStyle w:val="17"/>
        <w:keepNext w:val="0"/>
        <w:keepLines w:val="0"/>
        <w:pageBreakBefore w:val="0"/>
        <w:widowControl w:val="0"/>
        <w:numPr>
          <w:ilvl w:val="0"/>
          <w:numId w:val="0"/>
        </w:numPr>
        <w:tabs>
          <w:tab w:val="left" w:pos="1118"/>
        </w:tabs>
        <w:kinsoku/>
        <w:wordWrap/>
        <w:overflowPunct/>
        <w:topLinePunct w:val="0"/>
        <w:autoSpaceDE w:val="0"/>
        <w:autoSpaceDN w:val="0"/>
        <w:bidi w:val="0"/>
        <w:adjustRightInd/>
        <w:snapToGrid/>
        <w:spacing w:before="0" w:after="0" w:line="400" w:lineRule="exact"/>
        <w:ind w:left="-420" w:leftChars="0" w:right="0" w:rightChars="0" w:firstLine="960" w:firstLineChars="400"/>
        <w:jc w:val="both"/>
        <w:textAlignment w:val="auto"/>
        <w:rPr>
          <w:sz w:val="24"/>
          <w:highlight w:val="none"/>
        </w:rPr>
      </w:pPr>
      <w:r>
        <w:rPr>
          <w:rFonts w:hint="eastAsia"/>
          <w:sz w:val="24"/>
          <w:highlight w:val="none"/>
          <w:lang w:val="en-US" w:eastAsia="zh-CN"/>
        </w:rPr>
        <w:t>4.1</w:t>
      </w:r>
      <w:r>
        <w:rPr>
          <w:sz w:val="24"/>
          <w:highlight w:val="none"/>
        </w:rPr>
        <w:t>货物交货付款</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jc w:val="both"/>
        <w:textAlignment w:val="auto"/>
        <w:rPr>
          <w:highlight w:val="none"/>
        </w:rPr>
      </w:pPr>
      <w:r>
        <w:rPr>
          <w:spacing w:val="-7"/>
          <w:highlight w:val="none"/>
        </w:rPr>
        <w:t>全部货物交货并经验收合格后，甲方凭收讫货物的验收凭证和货物验收合格</w:t>
      </w:r>
      <w:r>
        <w:rPr>
          <w:spacing w:val="-10"/>
          <w:highlight w:val="none"/>
        </w:rPr>
        <w:t>文件等材料以</w:t>
      </w:r>
      <w:r>
        <w:rPr>
          <w:spacing w:val="-10"/>
          <w:highlight w:val="none"/>
          <w:u w:val="single"/>
        </w:rPr>
        <w:t xml:space="preserve"> </w:t>
      </w:r>
      <w:r>
        <w:rPr>
          <w:rFonts w:hint="eastAsia"/>
          <w:spacing w:val="-10"/>
          <w:highlight w:val="none"/>
          <w:u w:val="single"/>
          <w:lang w:val="en-US" w:eastAsia="zh-CN"/>
        </w:rPr>
        <w:t xml:space="preserve">  </w:t>
      </w:r>
      <w:r>
        <w:rPr>
          <w:spacing w:val="-10"/>
          <w:highlight w:val="none"/>
          <w:u w:val="single"/>
        </w:rPr>
        <w:t xml:space="preserve">  </w:t>
      </w:r>
      <w:r>
        <w:rPr>
          <w:rFonts w:hint="eastAsia"/>
          <w:spacing w:val="-10"/>
          <w:highlight w:val="none"/>
          <w:u w:val="single"/>
          <w:lang w:val="en-US" w:eastAsia="zh-CN"/>
        </w:rPr>
        <w:t xml:space="preserve"> </w:t>
      </w:r>
      <w:r>
        <w:rPr>
          <w:spacing w:val="-10"/>
          <w:highlight w:val="none"/>
          <w:u w:val="single"/>
        </w:rPr>
        <w:t xml:space="preserve"> </w:t>
      </w:r>
      <w:r>
        <w:rPr>
          <w:spacing w:val="-10"/>
          <w:highlight w:val="none"/>
        </w:rPr>
        <w:t>方式向乙方一次性支付</w:t>
      </w:r>
      <w:r>
        <w:rPr>
          <w:spacing w:val="-10"/>
          <w:highlight w:val="none"/>
          <w:u w:val="single"/>
        </w:rPr>
        <w:t xml:space="preserve"> </w:t>
      </w:r>
      <w:r>
        <w:rPr>
          <w:rFonts w:hint="eastAsia"/>
          <w:spacing w:val="-10"/>
          <w:highlight w:val="none"/>
          <w:u w:val="single"/>
          <w:lang w:val="en-US" w:eastAsia="zh-CN"/>
        </w:rPr>
        <w:t xml:space="preserve">   </w:t>
      </w:r>
      <w:r>
        <w:rPr>
          <w:spacing w:val="-10"/>
          <w:highlight w:val="none"/>
          <w:u w:val="single"/>
        </w:rPr>
        <w:t xml:space="preserve">  </w:t>
      </w:r>
      <w:r>
        <w:rPr>
          <w:spacing w:val="-10"/>
          <w:highlight w:val="none"/>
        </w:rPr>
        <w:t>%的货物价款。</w:t>
      </w:r>
      <w:r>
        <w:rPr>
          <w:highlight w:val="none"/>
        </w:rPr>
        <w:t>（若乙方有支付履约保证金的，可在支付货款时予以扣除。）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现场交货条件下，乙方要求付款应提交下列单证和文件。</w:t>
      </w:r>
    </w:p>
    <w:p>
      <w:pPr>
        <w:pStyle w:val="9"/>
        <w:keepNext w:val="0"/>
        <w:keepLines w:val="0"/>
        <w:pageBreakBefore w:val="0"/>
        <w:widowControl w:val="0"/>
        <w:tabs>
          <w:tab w:val="left" w:pos="393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a.金额为有关合同货物价格</w:t>
      </w:r>
      <w:r>
        <w:rPr>
          <w:rFonts w:hint="eastAsia"/>
          <w:highlight w:val="none"/>
          <w:u w:val="single"/>
          <w:lang w:val="en-US" w:eastAsia="zh-CN"/>
        </w:rPr>
        <w:t xml:space="preserve">        </w:t>
      </w:r>
      <w:r>
        <w:rPr>
          <w:highlight w:val="none"/>
        </w:rPr>
        <w:t>%的正式发票。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b.制造厂家出具的货物质量合格证书。</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rFonts w:hint="eastAsia"/>
          <w:highlight w:val="none"/>
          <w:lang w:val="en-US" w:eastAsia="zh-CN"/>
        </w:rPr>
        <w:t>c.</w:t>
      </w:r>
      <w:r>
        <w:rPr>
          <w:sz w:val="24"/>
          <w:highlight w:val="none"/>
        </w:rPr>
        <w:t>甲方已收讫货物的验收凭证。</w:t>
      </w:r>
    </w:p>
    <w:p>
      <w:pPr>
        <w:pStyle w:val="1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right="0" w:rightChars="0"/>
        <w:jc w:val="both"/>
        <w:textAlignment w:val="auto"/>
        <w:rPr>
          <w:sz w:val="24"/>
          <w:highlight w:val="none"/>
        </w:rPr>
      </w:pPr>
      <w:r>
        <w:rPr>
          <w:rFonts w:hint="eastAsia"/>
          <w:sz w:val="24"/>
          <w:highlight w:val="none"/>
          <w:lang w:val="en-US" w:eastAsia="zh-CN"/>
        </w:rPr>
        <w:t>d.</w:t>
      </w:r>
      <w:r>
        <w:rPr>
          <w:sz w:val="24"/>
          <w:highlight w:val="none"/>
        </w:rPr>
        <w:t>甲方签发的验收合格文件。</w:t>
      </w:r>
    </w:p>
    <w:p>
      <w:pPr>
        <w:pStyle w:val="17"/>
        <w:keepNext w:val="0"/>
        <w:keepLines w:val="0"/>
        <w:pageBreakBefore w:val="0"/>
        <w:widowControl w:val="0"/>
        <w:numPr>
          <w:ilvl w:val="0"/>
          <w:numId w:val="0"/>
        </w:numPr>
        <w:tabs>
          <w:tab w:val="left" w:pos="1018"/>
          <w:tab w:val="left" w:pos="5457"/>
        </w:tabs>
        <w:kinsoku/>
        <w:wordWrap/>
        <w:overflowPunct/>
        <w:topLinePunct w:val="0"/>
        <w:autoSpaceDE w:val="0"/>
        <w:autoSpaceDN w:val="0"/>
        <w:bidi w:val="0"/>
        <w:adjustRightInd/>
        <w:snapToGrid/>
        <w:spacing w:before="0" w:after="0" w:line="400" w:lineRule="exact"/>
        <w:ind w:left="-420" w:leftChars="0" w:right="0" w:rightChars="0" w:firstLine="720" w:firstLineChars="300"/>
        <w:jc w:val="both"/>
        <w:textAlignment w:val="auto"/>
        <w:rPr>
          <w:sz w:val="24"/>
          <w:highlight w:val="none"/>
        </w:rPr>
      </w:pPr>
      <w:r>
        <w:rPr>
          <w:rFonts w:hint="eastAsia"/>
          <w:sz w:val="24"/>
          <w:highlight w:val="none"/>
          <w:lang w:val="en-US" w:eastAsia="zh-CN"/>
        </w:rPr>
        <w:t>4.2</w:t>
      </w:r>
      <w:r>
        <w:rPr>
          <w:sz w:val="24"/>
          <w:highlight w:val="none"/>
        </w:rPr>
        <w:t>分期支付货款的，余下的货款应于</w:t>
      </w:r>
      <w:r>
        <w:rPr>
          <w:sz w:val="24"/>
          <w:highlight w:val="none"/>
          <w:u w:val="single"/>
        </w:rPr>
        <w:tab/>
      </w:r>
      <w:r>
        <w:rPr>
          <w:sz w:val="24"/>
          <w:highlight w:val="none"/>
        </w:rPr>
        <w:t>（时间）支付。</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5、质量要求和技术标准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质量条款可细分为产品质量、包装质量、技术资料质量等内容。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（质量要求和技术标准应按招标文件要求填列。）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6、验收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spacing w:val="-2"/>
          <w:highlight w:val="none"/>
        </w:rPr>
        <w:t>货物验收标准和方法应按招标文件要求填列。</w:t>
      </w:r>
      <w:r>
        <w:rPr>
          <w:spacing w:val="-29"/>
          <w:highlight w:val="none"/>
        </w:rPr>
        <w:t>）</w:t>
      </w:r>
      <w:r>
        <w:rPr>
          <w:spacing w:val="-3"/>
          <w:highlight w:val="none"/>
        </w:rPr>
        <w:t>验收结果经双方确认后，双方代表必须按规定的验收交接单上的项目对照本合同填好验收结果并签名盖章。</w:t>
      </w:r>
      <w:r>
        <w:rPr>
          <w:spacing w:val="-8"/>
          <w:highlight w:val="none"/>
        </w:rPr>
        <w:t>验收可细分为到货时的外在质量的验收，投产前的质量验收，大型设备可能还存在更多的验收步骤和验收方式，采购人可在招标文件中细化规定。</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7、质量保证</w:t>
      </w:r>
    </w:p>
    <w:p>
      <w:pPr>
        <w:pStyle w:val="9"/>
        <w:keepNext w:val="0"/>
        <w:keepLines w:val="0"/>
        <w:pageBreakBefore w:val="0"/>
        <w:widowControl w:val="0"/>
        <w:tabs>
          <w:tab w:val="left" w:pos="5997"/>
          <w:tab w:val="left" w:pos="6148"/>
          <w:tab w:val="left" w:pos="6237"/>
        </w:tabs>
        <w:kinsoku/>
        <w:wordWrap/>
        <w:overflowPunct/>
        <w:topLinePunct w:val="0"/>
        <w:autoSpaceDE w:val="0"/>
        <w:autoSpaceDN w:val="0"/>
        <w:bidi w:val="0"/>
        <w:adjustRightInd/>
        <w:snapToGrid/>
        <w:spacing w:before="0" w:after="0" w:line="400" w:lineRule="exact"/>
        <w:ind w:left="0" w:right="0" w:firstLine="240" w:firstLineChars="100"/>
        <w:jc w:val="both"/>
        <w:textAlignment w:val="auto"/>
        <w:rPr>
          <w:highlight w:val="none"/>
        </w:rPr>
      </w:pPr>
      <w:r>
        <w:rPr>
          <w:highlight w:val="none"/>
        </w:rPr>
        <w:t>各合同包货物质保期要求均为货物经最终验收合格后</w:t>
      </w:r>
      <w:r>
        <w:rPr>
          <w:highlight w:val="none"/>
          <w:u w:val="single"/>
        </w:rPr>
        <w:tab/>
      </w:r>
      <w:r>
        <w:rPr>
          <w:highlight w:val="none"/>
          <w:u w:val="single"/>
        </w:rPr>
        <w:tab/>
      </w:r>
      <w:r>
        <w:rPr>
          <w:rFonts w:hint="eastAsia"/>
          <w:highlight w:val="none"/>
          <w:u w:val="single"/>
          <w:lang w:val="en-US" w:eastAsia="zh-CN"/>
        </w:rPr>
        <w:t xml:space="preserve"> </w:t>
      </w:r>
      <w:r>
        <w:rPr>
          <w:highlight w:val="none"/>
        </w:rPr>
        <w:t>个月，在质量保证期内设备运行发生故障时，乙方在接到甲方故障通知后</w:t>
      </w:r>
      <w:r>
        <w:rPr>
          <w:highlight w:val="none"/>
          <w:u w:val="single"/>
        </w:rPr>
        <w:tab/>
      </w:r>
      <w:r>
        <w:rPr>
          <w:highlight w:val="none"/>
          <w:u w:val="single"/>
        </w:rPr>
        <w:tab/>
      </w:r>
      <w:r>
        <w:rPr>
          <w:highlight w:val="none"/>
        </w:rPr>
        <w:t>小时内应委派专业技术人员到现场免费提供咨询</w:t>
      </w:r>
      <w:r>
        <w:rPr>
          <w:spacing w:val="-32"/>
          <w:highlight w:val="none"/>
        </w:rPr>
        <w:t>、</w:t>
      </w:r>
      <w:r>
        <w:rPr>
          <w:highlight w:val="none"/>
        </w:rPr>
        <w:t>维修和更换零部件等服务</w:t>
      </w:r>
      <w:r>
        <w:rPr>
          <w:spacing w:val="-29"/>
          <w:highlight w:val="none"/>
        </w:rPr>
        <w:t>，</w:t>
      </w:r>
      <w:r>
        <w:rPr>
          <w:highlight w:val="none"/>
        </w:rPr>
        <w:t>并及时填写维修报</w:t>
      </w:r>
      <w:r>
        <w:rPr>
          <w:spacing w:val="-29"/>
          <w:highlight w:val="none"/>
        </w:rPr>
        <w:t>告</w:t>
      </w:r>
      <w:r>
        <w:rPr>
          <w:highlight w:val="none"/>
        </w:rPr>
        <w:t>（包括故障原因</w:t>
      </w:r>
      <w:r>
        <w:rPr>
          <w:spacing w:val="-70"/>
          <w:highlight w:val="none"/>
        </w:rPr>
        <w:t>、</w:t>
      </w:r>
      <w:r>
        <w:rPr>
          <w:highlight w:val="none"/>
        </w:rPr>
        <w:t>处理情况及甲方意见等</w:t>
      </w:r>
      <w:r>
        <w:rPr>
          <w:spacing w:val="-72"/>
          <w:highlight w:val="none"/>
        </w:rPr>
        <w:t>）</w:t>
      </w:r>
      <w:r>
        <w:rPr>
          <w:highlight w:val="none"/>
        </w:rPr>
        <w:t>报甲方备案</w:t>
      </w:r>
      <w:r>
        <w:rPr>
          <w:spacing w:val="-68"/>
          <w:highlight w:val="none"/>
        </w:rPr>
        <w:t>，</w:t>
      </w:r>
      <w:r>
        <w:rPr>
          <w:highlight w:val="none"/>
        </w:rPr>
        <w:t>若</w:t>
      </w:r>
      <w:r>
        <w:rPr>
          <w:highlight w:val="none"/>
          <w:u w:val="single"/>
        </w:rPr>
        <w:tab/>
      </w:r>
      <w:r>
        <w:rPr>
          <w:highlight w:val="none"/>
          <w:u w:val="single"/>
        </w:rPr>
        <w:tab/>
      </w:r>
      <w:r>
        <w:rPr>
          <w:highlight w:val="none"/>
        </w:rPr>
        <w:t>小时内无法排除故障，则应先提供同档次备用机供甲方使用</w:t>
      </w:r>
      <w:r>
        <w:rPr>
          <w:spacing w:val="-46"/>
          <w:highlight w:val="none"/>
        </w:rPr>
        <w:t>。</w:t>
      </w:r>
      <w:r>
        <w:rPr>
          <w:highlight w:val="none"/>
        </w:rPr>
        <w:t>其中发生一切费用由乙方承担</w:t>
      </w:r>
      <w:r>
        <w:rPr>
          <w:spacing w:val="-44"/>
          <w:highlight w:val="none"/>
        </w:rPr>
        <w:t>。</w:t>
      </w:r>
      <w:r>
        <w:rPr>
          <w:highlight w:val="none"/>
        </w:rPr>
        <w:t>质量保证期内乙方有责任对设备进行不定期的巡查检修</w:t>
      </w:r>
      <w:r>
        <w:rPr>
          <w:spacing w:val="-89"/>
          <w:highlight w:val="none"/>
        </w:rPr>
        <w:t>。</w:t>
      </w:r>
      <w:r>
        <w:rPr>
          <w:highlight w:val="none"/>
        </w:rPr>
        <w:t>投标人视自身能力在投标文件中提供更优、更合理的维修服务承诺。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8、违约责任</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8.1 未按期交货的违约责任：</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9、违约终止合同</w:t>
      </w:r>
    </w:p>
    <w:p>
      <w:pPr>
        <w:pStyle w:val="17"/>
        <w:keepNext w:val="0"/>
        <w:keepLines w:val="0"/>
        <w:pageBreakBefore w:val="0"/>
        <w:widowControl w:val="0"/>
        <w:numPr>
          <w:ilvl w:val="1"/>
          <w:numId w:val="6"/>
        </w:numPr>
        <w:tabs>
          <w:tab w:val="left" w:pos="1018"/>
        </w:tabs>
        <w:kinsoku/>
        <w:wordWrap/>
        <w:overflowPunct/>
        <w:topLinePunct w:val="0"/>
        <w:autoSpaceDE w:val="0"/>
        <w:autoSpaceDN w:val="0"/>
        <w:bidi w:val="0"/>
        <w:adjustRightInd/>
        <w:snapToGrid/>
        <w:spacing w:before="0" w:after="0" w:line="400" w:lineRule="exact"/>
        <w:ind w:left="0" w:right="0" w:firstLine="480"/>
        <w:jc w:val="both"/>
        <w:textAlignment w:val="auto"/>
        <w:rPr>
          <w:sz w:val="24"/>
          <w:highlight w:val="none"/>
        </w:rPr>
      </w:pPr>
      <w:r>
        <w:rPr>
          <w:spacing w:val="-2"/>
          <w:sz w:val="24"/>
          <w:highlight w:val="none"/>
        </w:rPr>
        <w:t>在补救违约而采取的任何其他措施未能实现的情况下，即在甲方发出的</w:t>
      </w:r>
      <w:r>
        <w:rPr>
          <w:spacing w:val="-12"/>
          <w:sz w:val="24"/>
          <w:highlight w:val="none"/>
        </w:rPr>
        <w:t xml:space="preserve">违约通知后 </w:t>
      </w:r>
      <w:r>
        <w:rPr>
          <w:sz w:val="24"/>
          <w:highlight w:val="none"/>
        </w:rPr>
        <w:t>30</w:t>
      </w:r>
      <w:r>
        <w:rPr>
          <w:spacing w:val="-20"/>
          <w:sz w:val="24"/>
          <w:highlight w:val="none"/>
        </w:rPr>
        <w:t xml:space="preserve"> 天内</w:t>
      </w:r>
      <w:r>
        <w:rPr>
          <w:sz w:val="24"/>
          <w:highlight w:val="none"/>
        </w:rPr>
        <w:t>（或经甲方书面确认的更长时间内）仍未纠正其下述任何一种违约行为，甲方有权向乙方发出书面违约通知，甲方终止本合同：</w:t>
      </w:r>
    </w:p>
    <w:p>
      <w:pPr>
        <w:pStyle w:val="17"/>
        <w:keepNext w:val="0"/>
        <w:keepLines w:val="0"/>
        <w:pageBreakBefore w:val="0"/>
        <w:widowControl w:val="0"/>
        <w:numPr>
          <w:ilvl w:val="0"/>
          <w:numId w:val="0"/>
        </w:numPr>
        <w:tabs>
          <w:tab w:val="left" w:pos="1229"/>
        </w:tabs>
        <w:kinsoku/>
        <w:wordWrap/>
        <w:overflowPunct/>
        <w:topLinePunct w:val="0"/>
        <w:autoSpaceDE w:val="0"/>
        <w:autoSpaceDN w:val="0"/>
        <w:bidi w:val="0"/>
        <w:adjustRightInd/>
        <w:snapToGrid/>
        <w:spacing w:before="0" w:after="0" w:line="400" w:lineRule="exact"/>
        <w:ind w:left="480" w:leftChars="0" w:right="0" w:rightChars="0"/>
        <w:jc w:val="both"/>
        <w:textAlignment w:val="auto"/>
        <w:rPr>
          <w:sz w:val="24"/>
          <w:highlight w:val="none"/>
        </w:rPr>
      </w:pPr>
      <w:r>
        <w:rPr>
          <w:rFonts w:hint="eastAsia"/>
          <w:sz w:val="24"/>
          <w:highlight w:val="none"/>
          <w:lang w:val="en-US" w:eastAsia="zh-CN"/>
        </w:rPr>
        <w:t>9.1.1</w:t>
      </w:r>
      <w:r>
        <w:rPr>
          <w:sz w:val="24"/>
          <w:highlight w:val="none"/>
        </w:rPr>
        <w:t>如果乙方未能在合同规定的期限内或双方另行确定的延期交货时间内交付合同约定的货物。</w:t>
      </w:r>
    </w:p>
    <w:p>
      <w:pPr>
        <w:pStyle w:val="17"/>
        <w:keepNext w:val="0"/>
        <w:keepLines w:val="0"/>
        <w:pageBreakBefore w:val="0"/>
        <w:widowControl w:val="0"/>
        <w:numPr>
          <w:ilvl w:val="0"/>
          <w:numId w:val="0"/>
        </w:numPr>
        <w:tabs>
          <w:tab w:val="left" w:pos="1229"/>
        </w:tabs>
        <w:kinsoku/>
        <w:wordWrap/>
        <w:overflowPunct/>
        <w:topLinePunct w:val="0"/>
        <w:autoSpaceDE w:val="0"/>
        <w:autoSpaceDN w:val="0"/>
        <w:bidi w:val="0"/>
        <w:adjustRightInd/>
        <w:snapToGrid/>
        <w:spacing w:before="0" w:after="0" w:line="400" w:lineRule="exact"/>
        <w:ind w:left="480" w:leftChars="0" w:right="0" w:rightChars="0"/>
        <w:jc w:val="both"/>
        <w:textAlignment w:val="auto"/>
        <w:rPr>
          <w:sz w:val="24"/>
          <w:highlight w:val="none"/>
        </w:rPr>
      </w:pPr>
      <w:r>
        <w:rPr>
          <w:rFonts w:hint="eastAsia"/>
          <w:sz w:val="24"/>
          <w:highlight w:val="none"/>
          <w:lang w:val="en-US" w:eastAsia="zh-CN"/>
        </w:rPr>
        <w:t>9.1.2</w:t>
      </w:r>
      <w:r>
        <w:rPr>
          <w:sz w:val="24"/>
          <w:highlight w:val="none"/>
        </w:rPr>
        <w:t>乙方未能履行合同项下的任何其他义务。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10、不可抗力</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9"/>
          <w:highlight w:val="none"/>
        </w:rPr>
        <w:t>因不可抗力造成违约的，遭受不可抗力一方应及时向对方通报不能履行或不能完</w:t>
      </w:r>
      <w:r>
        <w:rPr>
          <w:spacing w:val="-12"/>
          <w:highlight w:val="none"/>
        </w:rPr>
        <w:t xml:space="preserve">全履行的理由，并在随后取得有关主管机关证明后的 </w:t>
      </w:r>
      <w:r>
        <w:rPr>
          <w:highlight w:val="none"/>
        </w:rPr>
        <w:t>15</w:t>
      </w:r>
      <w:r>
        <w:rPr>
          <w:spacing w:val="-8"/>
          <w:highlight w:val="none"/>
        </w:rPr>
        <w:t xml:space="preserve"> 日内向另一方提供不可</w:t>
      </w:r>
      <w:r>
        <w:rPr>
          <w:spacing w:val="-5"/>
          <w:highlight w:val="none"/>
        </w:rPr>
        <w:t>抗力发生以及持续期间的充分证据。基于以上行为，允许遭受不可抗力一方延期履行、部分履行或者不履行合同，并根据情况可部分或全部免于承担违约责任。</w:t>
      </w:r>
      <w:r>
        <w:rPr>
          <w:spacing w:val="-10"/>
          <w:highlight w:val="none"/>
        </w:rPr>
        <w:t>本合同中的不可抗力指不能预见、不能避免并不能克服的客观情况。包括但不限</w:t>
      </w:r>
      <w:r>
        <w:rPr>
          <w:spacing w:val="-11"/>
          <w:highlight w:val="none"/>
        </w:rPr>
        <w:t>于：自然灾害如地震、台风、洪水、火灾；政府行为、法律规定或其适用的变化或者其他任何无法预见、避免或者控制的事件。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11</w:t>
      </w:r>
      <w:r>
        <w:rPr>
          <w:spacing w:val="-10"/>
          <w:highlight w:val="none"/>
        </w:rPr>
        <w:t>、合同纠纷处理方式：因本合同或与本合同有关的一切事项发生争议，由双方友好协商解决。协商不成的，任何一方均可选择以下任一方式解决：</w:t>
      </w:r>
    </w:p>
    <w:p>
      <w:pPr>
        <w:pStyle w:val="9"/>
        <w:keepNext w:val="0"/>
        <w:keepLines w:val="0"/>
        <w:pageBreakBefore w:val="0"/>
        <w:widowControl w:val="0"/>
        <w:tabs>
          <w:tab w:val="left" w:pos="597"/>
          <w:tab w:val="left" w:pos="191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highlight w:val="none"/>
        </w:rPr>
        <w:tab/>
      </w:r>
      <w:r>
        <w:rPr>
          <w:highlight w:val="none"/>
        </w:rPr>
        <w:t>）向</w:t>
      </w:r>
      <w:r>
        <w:rPr>
          <w:highlight w:val="none"/>
          <w:u w:val="single"/>
        </w:rPr>
        <w:tab/>
      </w:r>
      <w:r>
        <w:rPr>
          <w:highlight w:val="none"/>
        </w:rPr>
        <w:t>（甲方所在地）仲裁委员会申请仲裁；</w:t>
      </w:r>
    </w:p>
    <w:p>
      <w:pPr>
        <w:pStyle w:val="9"/>
        <w:keepNext w:val="0"/>
        <w:keepLines w:val="0"/>
        <w:pageBreakBefore w:val="0"/>
        <w:widowControl w:val="0"/>
        <w:tabs>
          <w:tab w:val="left" w:pos="59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highlight w:val="none"/>
        </w:rPr>
        <w:tab/>
      </w:r>
      <w:r>
        <w:rPr>
          <w:highlight w:val="none"/>
        </w:rPr>
        <w:t>）向有管辖权的人民法院提起诉讼。</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12、其他约定</w:t>
      </w:r>
    </w:p>
    <w:p>
      <w:pPr>
        <w:pStyle w:val="17"/>
        <w:keepNext w:val="0"/>
        <w:keepLines w:val="0"/>
        <w:pageBreakBefore w:val="0"/>
        <w:widowControl w:val="0"/>
        <w:numPr>
          <w:ilvl w:val="0"/>
          <w:numId w:val="0"/>
        </w:numPr>
        <w:tabs>
          <w:tab w:val="left" w:pos="65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12.1</w:t>
      </w:r>
      <w:r>
        <w:rPr>
          <w:sz w:val="24"/>
          <w:highlight w:val="none"/>
        </w:rPr>
        <w:t>本采购项目的招标文件、中标人的投标文件以及相关的澄清确认函（如果有的话）均为本合同不可分割的一部分，与本合同具有同等法律效力。</w:t>
      </w:r>
    </w:p>
    <w:p>
      <w:pPr>
        <w:pStyle w:val="17"/>
        <w:keepNext w:val="0"/>
        <w:keepLines w:val="0"/>
        <w:pageBreakBefore w:val="0"/>
        <w:widowControl w:val="0"/>
        <w:numPr>
          <w:ilvl w:val="0"/>
          <w:numId w:val="0"/>
        </w:numPr>
        <w:tabs>
          <w:tab w:val="left" w:pos="1258"/>
        </w:tabs>
        <w:kinsoku/>
        <w:wordWrap/>
        <w:overflowPunct/>
        <w:topLinePunct w:val="0"/>
        <w:autoSpaceDE w:val="0"/>
        <w:autoSpaceDN w:val="0"/>
        <w:bidi w:val="0"/>
        <w:adjustRightInd/>
        <w:snapToGrid/>
        <w:spacing w:before="0" w:after="0" w:line="400" w:lineRule="exact"/>
        <w:ind w:right="0" w:rightChars="0"/>
        <w:jc w:val="both"/>
        <w:textAlignment w:val="auto"/>
        <w:rPr>
          <w:sz w:val="24"/>
          <w:highlight w:val="none"/>
        </w:rPr>
      </w:pPr>
      <w:r>
        <w:rPr>
          <w:rFonts w:hint="eastAsia"/>
          <w:sz w:val="24"/>
          <w:highlight w:val="none"/>
          <w:lang w:val="en-US" w:eastAsia="zh-CN"/>
        </w:rPr>
        <w:t>12.2</w:t>
      </w:r>
      <w:r>
        <w:rPr>
          <w:sz w:val="24"/>
          <w:highlight w:val="none"/>
        </w:rPr>
        <w:t>本合同未尽事宜，双方另行补充。</w:t>
      </w:r>
    </w:p>
    <w:p>
      <w:pPr>
        <w:pStyle w:val="17"/>
        <w:keepNext w:val="0"/>
        <w:keepLines w:val="0"/>
        <w:pageBreakBefore w:val="0"/>
        <w:widowControl w:val="0"/>
        <w:numPr>
          <w:ilvl w:val="0"/>
          <w:numId w:val="0"/>
        </w:numPr>
        <w:tabs>
          <w:tab w:val="left" w:pos="1258"/>
        </w:tabs>
        <w:kinsoku/>
        <w:wordWrap/>
        <w:overflowPunct/>
        <w:topLinePunct w:val="0"/>
        <w:autoSpaceDE w:val="0"/>
        <w:autoSpaceDN w:val="0"/>
        <w:bidi w:val="0"/>
        <w:adjustRightInd/>
        <w:snapToGrid/>
        <w:spacing w:before="0" w:after="0" w:line="400" w:lineRule="exact"/>
        <w:ind w:right="0" w:rightChars="0"/>
        <w:jc w:val="both"/>
        <w:textAlignment w:val="auto"/>
        <w:rPr>
          <w:sz w:val="24"/>
          <w:highlight w:val="none"/>
        </w:rPr>
      </w:pPr>
      <w:r>
        <w:rPr>
          <w:rFonts w:hint="eastAsia"/>
          <w:spacing w:val="-4"/>
          <w:sz w:val="24"/>
          <w:highlight w:val="none"/>
          <w:lang w:val="en-US" w:eastAsia="zh-CN"/>
        </w:rPr>
        <w:t>12.3</w:t>
      </w:r>
      <w:r>
        <w:rPr>
          <w:spacing w:val="-4"/>
          <w:sz w:val="24"/>
          <w:highlight w:val="none"/>
        </w:rPr>
        <w:t>本合同一式三份，经双方授权代表签字并加盖公章后生效。甲方、乙方各执一份，送招标代理机构各备案一份，具有同等效力。</w:t>
      </w:r>
    </w:p>
    <w:p>
      <w:pPr>
        <w:pStyle w:val="17"/>
        <w:keepNext w:val="0"/>
        <w:keepLines w:val="0"/>
        <w:pageBreakBefore w:val="0"/>
        <w:widowControl w:val="0"/>
        <w:numPr>
          <w:ilvl w:val="0"/>
          <w:numId w:val="0"/>
        </w:numPr>
        <w:tabs>
          <w:tab w:val="left" w:pos="65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12.4</w:t>
      </w:r>
      <w:r>
        <w:rPr>
          <w:spacing w:val="-5"/>
          <w:sz w:val="24"/>
          <w:highlight w:val="none"/>
        </w:rPr>
        <w:t xml:space="preserve">甲方应当自合同签订之日起 </w:t>
      </w:r>
      <w:r>
        <w:rPr>
          <w:sz w:val="24"/>
          <w:highlight w:val="none"/>
        </w:rPr>
        <w:t>2</w:t>
      </w:r>
      <w:r>
        <w:rPr>
          <w:spacing w:val="-8"/>
          <w:sz w:val="24"/>
          <w:highlight w:val="none"/>
        </w:rPr>
        <w:t xml:space="preserve"> 个工作日内，将合同在贵州省政府采购网上公告，但合同中涉及国家秘密、商业秘密的内容除外。</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35"/>
          <w:highlight w:val="none"/>
        </w:rPr>
      </w:pPr>
    </w:p>
    <w:p>
      <w:pPr>
        <w:pStyle w:val="9"/>
        <w:keepNext w:val="0"/>
        <w:keepLines w:val="0"/>
        <w:pageBreakBefore w:val="0"/>
        <w:widowControl w:val="0"/>
        <w:tabs>
          <w:tab w:val="left" w:pos="837"/>
          <w:tab w:val="left" w:pos="4677"/>
          <w:tab w:val="left" w:pos="539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甲</w:t>
      </w:r>
      <w:r>
        <w:rPr>
          <w:highlight w:val="none"/>
        </w:rPr>
        <w:tab/>
      </w:r>
      <w:r>
        <w:rPr>
          <w:highlight w:val="none"/>
        </w:rPr>
        <w:t>方：</w:t>
      </w:r>
      <w:r>
        <w:rPr>
          <w:highlight w:val="none"/>
        </w:rPr>
        <w:tab/>
      </w:r>
      <w:r>
        <w:rPr>
          <w:highlight w:val="none"/>
        </w:rPr>
        <w:t>乙</w:t>
      </w:r>
      <w:r>
        <w:rPr>
          <w:highlight w:val="none"/>
        </w:rPr>
        <w:tab/>
      </w:r>
      <w:r>
        <w:rPr>
          <w:highlight w:val="none"/>
        </w:rPr>
        <w:t>方：</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单位地址：</w:t>
      </w:r>
      <w:r>
        <w:rPr>
          <w:highlight w:val="none"/>
        </w:rPr>
        <w:tab/>
      </w:r>
      <w:r>
        <w:rPr>
          <w:highlight w:val="none"/>
        </w:rPr>
        <w:t>单位地址：</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法定代表人：</w:t>
      </w:r>
      <w:r>
        <w:rPr>
          <w:highlight w:val="none"/>
        </w:rPr>
        <w:tab/>
      </w:r>
      <w:r>
        <w:rPr>
          <w:highlight w:val="none"/>
        </w:rPr>
        <w:t>法定代表人：</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委托代理人：</w:t>
      </w:r>
      <w:r>
        <w:rPr>
          <w:highlight w:val="none"/>
        </w:rPr>
        <w:tab/>
      </w:r>
      <w:r>
        <w:rPr>
          <w:highlight w:val="none"/>
        </w:rPr>
        <w:t>委托代理人：</w:t>
      </w:r>
    </w:p>
    <w:p>
      <w:pPr>
        <w:pStyle w:val="9"/>
        <w:keepNext w:val="0"/>
        <w:keepLines w:val="0"/>
        <w:pageBreakBefore w:val="0"/>
        <w:widowControl w:val="0"/>
        <w:tabs>
          <w:tab w:val="left" w:pos="837"/>
          <w:tab w:val="left" w:pos="4631"/>
          <w:tab w:val="left" w:pos="5351"/>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电</w:t>
      </w:r>
      <w:r>
        <w:rPr>
          <w:highlight w:val="none"/>
        </w:rPr>
        <w:tab/>
      </w:r>
      <w:r>
        <w:rPr>
          <w:highlight w:val="none"/>
        </w:rPr>
        <w:t>话：</w:t>
      </w:r>
      <w:r>
        <w:rPr>
          <w:highlight w:val="none"/>
        </w:rPr>
        <w:tab/>
      </w:r>
      <w:r>
        <w:rPr>
          <w:highlight w:val="none"/>
        </w:rPr>
        <w:t>电</w:t>
      </w:r>
      <w:r>
        <w:rPr>
          <w:highlight w:val="none"/>
        </w:rPr>
        <w:tab/>
      </w:r>
      <w:r>
        <w:rPr>
          <w:highlight w:val="none"/>
        </w:rPr>
        <w:t>话：</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19"/>
          <w:highlight w:val="none"/>
        </w:rPr>
      </w:pP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开户银行：</w:t>
      </w:r>
      <w:r>
        <w:rPr>
          <w:highlight w:val="none"/>
        </w:rPr>
        <w:tab/>
      </w:r>
      <w:r>
        <w:rPr>
          <w:highlight w:val="none"/>
        </w:rPr>
        <w:t>开户银行：</w:t>
      </w:r>
    </w:p>
    <w:p>
      <w:pPr>
        <w:pStyle w:val="9"/>
        <w:keepNext w:val="0"/>
        <w:keepLines w:val="0"/>
        <w:pageBreakBefore w:val="0"/>
        <w:widowControl w:val="0"/>
        <w:tabs>
          <w:tab w:val="left" w:pos="837"/>
          <w:tab w:val="left" w:pos="4677"/>
          <w:tab w:val="left" w:pos="539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账</w:t>
      </w:r>
      <w:r>
        <w:rPr>
          <w:highlight w:val="none"/>
        </w:rPr>
        <w:tab/>
      </w:r>
      <w:r>
        <w:rPr>
          <w:highlight w:val="none"/>
        </w:rPr>
        <w:t>号：</w:t>
      </w:r>
      <w:r>
        <w:rPr>
          <w:highlight w:val="none"/>
        </w:rPr>
        <w:tab/>
      </w:r>
      <w:r>
        <w:rPr>
          <w:highlight w:val="none"/>
        </w:rPr>
        <w:t>账</w:t>
      </w:r>
      <w:r>
        <w:rPr>
          <w:highlight w:val="none"/>
        </w:rPr>
        <w:tab/>
      </w:r>
      <w:r>
        <w:rPr>
          <w:highlight w:val="none"/>
        </w:rPr>
        <w:t>号：</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sectPr>
          <w:footerReference r:id="rId7" w:type="default"/>
          <w:pgSz w:w="11910" w:h="16840"/>
          <w:pgMar w:top="1480" w:right="160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8"/>
          <w:highlight w:val="none"/>
        </w:rPr>
      </w:pPr>
    </w:p>
    <w:p>
      <w:pPr>
        <w:pStyle w:val="8"/>
        <w:keepNext w:val="0"/>
        <w:keepLines w:val="0"/>
        <w:pageBreakBefore w:val="0"/>
        <w:widowControl w:val="0"/>
        <w:tabs>
          <w:tab w:val="left" w:pos="3359"/>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合同附件：</w:t>
      </w:r>
      <w:r>
        <w:rPr>
          <w:highlight w:val="none"/>
        </w:rPr>
        <w:tab/>
      </w:r>
      <w:r>
        <w:rPr>
          <w:w w:val="95"/>
          <w:highlight w:val="none"/>
        </w:rPr>
        <w:t>售后服务承诺</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b/>
          <w:sz w:val="24"/>
          <w:highlight w:val="none"/>
        </w:rPr>
      </w:pPr>
      <w:r>
        <w:rPr>
          <w:b/>
          <w:w w:val="95"/>
          <w:sz w:val="24"/>
          <w:highlight w:val="none"/>
        </w:rPr>
        <w:t>一、售后服务承诺</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1</w:t>
      </w:r>
      <w:r>
        <w:rPr>
          <w:spacing w:val="-9"/>
          <w:highlight w:val="none"/>
        </w:rPr>
        <w:t>、质量保证：我司对本次所投标的产品均为厂家原厂原包装，符合国家质量管理体</w:t>
      </w:r>
      <w:r>
        <w:rPr>
          <w:spacing w:val="-7"/>
          <w:highlight w:val="none"/>
        </w:rPr>
        <w:t>系，通过国家检测机构检测，并提供产品相关资料</w:t>
      </w:r>
      <w:r>
        <w:rPr>
          <w:highlight w:val="none"/>
        </w:rPr>
        <w:t>（</w:t>
      </w:r>
      <w:r>
        <w:rPr>
          <w:spacing w:val="-4"/>
          <w:highlight w:val="none"/>
        </w:rPr>
        <w:t>包含说明书，产品装箱单、合格证及保修凭证等）。</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2、供货安装时间：货到</w:t>
      </w:r>
      <w:r>
        <w:rPr>
          <w:highlight w:val="none"/>
          <w:u w:val="single"/>
        </w:rPr>
        <w:t xml:space="preserve">   </w:t>
      </w:r>
      <w:r>
        <w:rPr>
          <w:highlight w:val="none"/>
        </w:rPr>
        <w:t>个日历天内，合同约定除外。</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3、培训及验收：</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360"/>
        <w:jc w:val="both"/>
        <w:textAlignment w:val="auto"/>
        <w:rPr>
          <w:rFonts w:hint="eastAsia" w:eastAsia="宋体"/>
          <w:highlight w:val="none"/>
          <w:lang w:eastAsia="zh-CN"/>
        </w:rPr>
      </w:pPr>
      <w:r>
        <w:rPr>
          <w:highlight w:val="none"/>
        </w:rPr>
        <w:t>负责免费送货、安装到采购方指定地点，直至正常</w:t>
      </w:r>
      <w:r>
        <w:rPr>
          <w:rFonts w:hint="eastAsia"/>
          <w:highlight w:val="none"/>
          <w:lang w:val="en-US" w:eastAsia="zh-CN"/>
        </w:rPr>
        <w:t>投入使用</w:t>
      </w:r>
      <w:r>
        <w:rPr>
          <w:highlight w:val="none"/>
        </w:rPr>
        <w:t>及服务合格后办理验收手续</w:t>
      </w:r>
      <w:r>
        <w:rPr>
          <w:rFonts w:hint="eastAsia"/>
          <w:highlight w:val="none"/>
          <w:lang w:eastAsia="zh-CN"/>
        </w:rPr>
        <w:t>。</w:t>
      </w:r>
    </w:p>
    <w:p>
      <w:pPr>
        <w:pStyle w:val="8"/>
        <w:keepNext w:val="0"/>
        <w:keepLines w:val="0"/>
        <w:pageBreakBefore w:val="0"/>
        <w:widowControl w:val="0"/>
        <w:tabs>
          <w:tab w:val="left" w:pos="1051"/>
        </w:tabs>
        <w:kinsoku/>
        <w:wordWrap/>
        <w:overflowPunct/>
        <w:topLinePunct w:val="0"/>
        <w:autoSpaceDE w:val="0"/>
        <w:autoSpaceDN w:val="0"/>
        <w:bidi w:val="0"/>
        <w:adjustRightInd/>
        <w:snapToGrid/>
        <w:spacing w:before="0" w:after="0"/>
        <w:ind w:left="0" w:right="0"/>
        <w:jc w:val="both"/>
        <w:textAlignment w:val="auto"/>
        <w:rPr>
          <w:highlight w:val="none"/>
        </w:rPr>
      </w:pPr>
      <w:r>
        <w:rPr>
          <w:rFonts w:hint="eastAsia"/>
          <w:highlight w:val="none"/>
          <w:lang w:eastAsia="zh-CN"/>
        </w:rPr>
        <w:t>一、</w:t>
      </w:r>
      <w:r>
        <w:rPr>
          <w:w w:val="95"/>
          <w:highlight w:val="none"/>
        </w:rPr>
        <w:t>设备保修：</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b/>
          <w:sz w:val="24"/>
          <w:highlight w:val="none"/>
        </w:rPr>
      </w:pPr>
      <w:r>
        <w:rPr>
          <w:b/>
          <w:w w:val="95"/>
          <w:sz w:val="24"/>
          <w:highlight w:val="none"/>
        </w:rPr>
        <w:t>（1）、质保期内的售后承诺</w:t>
      </w:r>
    </w:p>
    <w:p>
      <w:pPr>
        <w:keepNext w:val="0"/>
        <w:keepLines w:val="0"/>
        <w:pageBreakBefore w:val="0"/>
        <w:widowControl w:val="0"/>
        <w:kinsoku/>
        <w:wordWrap/>
        <w:overflowPunct/>
        <w:topLinePunct w:val="0"/>
        <w:autoSpaceDE w:val="0"/>
        <w:autoSpaceDN w:val="0"/>
        <w:bidi w:val="0"/>
        <w:adjustRightInd/>
        <w:snapToGrid/>
        <w:spacing w:before="0" w:after="0" w:line="338" w:lineRule="auto"/>
        <w:ind w:left="0" w:right="0" w:firstLine="0"/>
        <w:jc w:val="both"/>
        <w:textAlignment w:val="auto"/>
        <w:rPr>
          <w:sz w:val="24"/>
          <w:highlight w:val="none"/>
        </w:rPr>
      </w:pPr>
      <w:r>
        <w:rPr>
          <w:b/>
          <w:sz w:val="24"/>
          <w:highlight w:val="none"/>
        </w:rPr>
        <w:t>（2）、质保期外的售后承诺</w:t>
      </w:r>
      <w:r>
        <w:rPr>
          <w:sz w:val="24"/>
          <w:highlight w:val="none"/>
        </w:rPr>
        <w:t>以下情况不属保修范围：</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a)人为损坏或不按规定操作造成器件损坏；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b)环境不符合要求或保养不恰当造成器件损坏、潮解；</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c)维修&amp;响应时间：</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d)售后服务保障：</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e)独立的售后服务体系，提供专业的技术服务；</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f)不定期提醒用户对设备进行专业的保养及维护；</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g)</w:t>
      </w:r>
      <w:r>
        <w:rPr>
          <w:spacing w:val="-5"/>
          <w:highlight w:val="none"/>
        </w:rPr>
        <w:t>客户服务中心的调度会定期对用户进行回访，倾听您的建议及意见，解决您的实际问题，最大程度地满足用户的需求。</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h)服务体系、人员、时间等：</w:t>
      </w:r>
    </w:p>
    <w:p>
      <w:pPr>
        <w:keepNext w:val="0"/>
        <w:keepLines w:val="0"/>
        <w:pageBreakBefore w:val="0"/>
        <w:widowControl w:val="0"/>
        <w:tabs>
          <w:tab w:val="left" w:pos="8214"/>
        </w:tabs>
        <w:kinsoku/>
        <w:wordWrap/>
        <w:overflowPunct/>
        <w:topLinePunct w:val="0"/>
        <w:autoSpaceDE w:val="0"/>
        <w:autoSpaceDN w:val="0"/>
        <w:bidi w:val="0"/>
        <w:adjustRightInd/>
        <w:snapToGrid/>
        <w:spacing w:before="0" w:after="0" w:line="336" w:lineRule="auto"/>
        <w:ind w:left="0" w:right="0" w:firstLine="180"/>
        <w:jc w:val="both"/>
        <w:textAlignment w:val="auto"/>
        <w:rPr>
          <w:sz w:val="24"/>
          <w:highlight w:val="none"/>
        </w:rPr>
      </w:pPr>
      <w:r>
        <w:rPr>
          <w:sz w:val="24"/>
          <w:highlight w:val="none"/>
        </w:rPr>
        <w:t>l)其他服务承诺</w:t>
      </w:r>
      <w:r>
        <w:rPr>
          <w:sz w:val="24"/>
          <w:highlight w:val="none"/>
          <w:u w:val="single"/>
        </w:rPr>
        <w:tab/>
      </w:r>
      <w:r>
        <w:rPr>
          <w:sz w:val="24"/>
          <w:highlight w:val="none"/>
        </w:rPr>
        <w:t>。</w:t>
      </w:r>
    </w:p>
    <w:p>
      <w:pPr>
        <w:keepNext w:val="0"/>
        <w:keepLines w:val="0"/>
        <w:pageBreakBefore w:val="0"/>
        <w:widowControl w:val="0"/>
        <w:tabs>
          <w:tab w:val="left" w:pos="8214"/>
        </w:tabs>
        <w:kinsoku/>
        <w:wordWrap/>
        <w:overflowPunct/>
        <w:topLinePunct w:val="0"/>
        <w:autoSpaceDE w:val="0"/>
        <w:autoSpaceDN w:val="0"/>
        <w:bidi w:val="0"/>
        <w:adjustRightInd/>
        <w:snapToGrid/>
        <w:spacing w:before="0" w:after="0" w:line="336" w:lineRule="auto"/>
        <w:ind w:left="0" w:right="0" w:firstLine="180"/>
        <w:jc w:val="both"/>
        <w:textAlignment w:val="auto"/>
        <w:rPr>
          <w:b/>
          <w:sz w:val="24"/>
          <w:highlight w:val="none"/>
        </w:rPr>
      </w:pPr>
      <w:r>
        <w:rPr>
          <w:b/>
          <w:w w:val="95"/>
          <w:sz w:val="24"/>
          <w:highlight w:val="none"/>
        </w:rPr>
        <w:t>二、服务</w:t>
      </w:r>
    </w:p>
    <w:p>
      <w:pPr>
        <w:pStyle w:val="9"/>
        <w:keepNext w:val="0"/>
        <w:keepLines w:val="0"/>
        <w:pageBreakBefore w:val="0"/>
        <w:widowControl w:val="0"/>
        <w:tabs>
          <w:tab w:val="left" w:pos="4917"/>
          <w:tab w:val="left" w:pos="563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服务热线：</w:t>
      </w:r>
      <w:r>
        <w:rPr>
          <w:highlight w:val="none"/>
        </w:rPr>
        <w:tab/>
      </w:r>
      <w:r>
        <w:rPr>
          <w:highlight w:val="none"/>
        </w:rPr>
        <w:t>传</w:t>
      </w:r>
      <w:r>
        <w:rPr>
          <w:highlight w:val="none"/>
        </w:rPr>
        <w:tab/>
      </w:r>
      <w:r>
        <w:rPr>
          <w:highlight w:val="none"/>
        </w:rPr>
        <w:t>真：</w:t>
      </w:r>
    </w:p>
    <w:p>
      <w:pPr>
        <w:pStyle w:val="9"/>
        <w:keepNext w:val="0"/>
        <w:keepLines w:val="0"/>
        <w:pageBreakBefore w:val="0"/>
        <w:widowControl w:val="0"/>
        <w:tabs>
          <w:tab w:val="left" w:pos="4917"/>
          <w:tab w:val="left" w:pos="563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Http://</w:t>
      </w:r>
      <w:r>
        <w:rPr>
          <w:highlight w:val="none"/>
        </w:rPr>
        <w:tab/>
      </w:r>
      <w:r>
        <w:rPr>
          <w:highlight w:val="none"/>
        </w:rPr>
        <w:t>邮</w:t>
      </w:r>
      <w:r>
        <w:rPr>
          <w:highlight w:val="none"/>
        </w:rPr>
        <w:tab/>
      </w:r>
      <w:r>
        <w:rPr>
          <w:highlight w:val="none"/>
        </w:rPr>
        <w:t>箱：</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pgSz w:w="11910" w:h="16840"/>
          <w:pgMar w:top="1580" w:right="120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8"/>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w w:val="95"/>
          <w:highlight w:val="none"/>
        </w:rPr>
        <w:t>合同条款</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tabs>
          <w:tab w:val="left" w:pos="1442"/>
        </w:tabs>
        <w:kinsoku/>
        <w:wordWrap/>
        <w:overflowPunct/>
        <w:topLinePunct w:val="0"/>
        <w:autoSpaceDE w:val="0"/>
        <w:autoSpaceDN w:val="0"/>
        <w:bidi w:val="0"/>
        <w:adjustRightInd/>
        <w:snapToGrid/>
        <w:spacing w:before="0" w:after="0"/>
        <w:ind w:left="0" w:right="0" w:firstLine="0"/>
        <w:jc w:val="both"/>
        <w:textAlignment w:val="auto"/>
        <w:rPr>
          <w:b/>
          <w:sz w:val="24"/>
          <w:highlight w:val="none"/>
        </w:rPr>
      </w:pPr>
      <w:r>
        <w:rPr>
          <w:b/>
          <w:sz w:val="24"/>
          <w:highlight w:val="none"/>
        </w:rPr>
        <w:t>1．定义</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1.1 本合同下列术语应解释为：</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1.1.1</w:t>
      </w:r>
      <w:r>
        <w:rPr>
          <w:sz w:val="24"/>
          <w:highlight w:val="none"/>
        </w:rPr>
        <w:t>“合同”系指买卖双方自愿签署并达成的、载明双方权利义务的协议，</w:t>
      </w:r>
      <w:r>
        <w:rPr>
          <w:spacing w:val="-9"/>
          <w:sz w:val="24"/>
          <w:highlight w:val="none"/>
        </w:rPr>
        <w:t>包括所有的附件、附录、补充协议、确认书等以及招标文件所提到的构成合同的所有文件。</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1.1.2</w:t>
      </w:r>
      <w:r>
        <w:rPr>
          <w:sz w:val="24"/>
          <w:highlight w:val="none"/>
        </w:rPr>
        <w:t>“合同价”系指根据本合同规定卖方在正确地完全履行合同义务后买方应支付给卖方的价款，包括与交货有关的费用（包括但不限于运输费、包装费、保险费）与安装、调试等标准伴随服务的费用。（有特殊约定的除外）</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4"/>
          <w:sz w:val="24"/>
          <w:highlight w:val="none"/>
          <w:lang w:val="en-US" w:eastAsia="zh-CN"/>
        </w:rPr>
        <w:t>1.1.3</w:t>
      </w:r>
      <w:r>
        <w:rPr>
          <w:spacing w:val="-4"/>
          <w:sz w:val="24"/>
          <w:highlight w:val="none"/>
        </w:rPr>
        <w:t>“货物”系指卖方根据合同规定须向买方提供的一切设备、机械和</w:t>
      </w:r>
      <w:r>
        <w:rPr>
          <w:sz w:val="24"/>
          <w:highlight w:val="none"/>
        </w:rPr>
        <w:t>/或其他材料。</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1.1.4</w:t>
      </w:r>
      <w:r>
        <w:rPr>
          <w:sz w:val="24"/>
          <w:highlight w:val="none"/>
        </w:rPr>
        <w:t>“服务”系指根据合同规定卖方承担与供货有关的辅助服务，如运输、</w:t>
      </w:r>
      <w:r>
        <w:rPr>
          <w:spacing w:val="-7"/>
          <w:sz w:val="24"/>
          <w:highlight w:val="none"/>
        </w:rPr>
        <w:t>以及其他的伴随服务，例如安装、调试、提供技术援助、培训和合同中规定卖方应承担的其他义务。</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1.1.5</w:t>
      </w:r>
      <w:r>
        <w:rPr>
          <w:sz w:val="24"/>
          <w:highlight w:val="none"/>
        </w:rPr>
        <w:t>“合同条款”是指本合同条款。</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1.1.6</w:t>
      </w:r>
      <w:r>
        <w:rPr>
          <w:sz w:val="24"/>
          <w:highlight w:val="none"/>
        </w:rPr>
        <w:t>“买方”系指购买货物和服务的国家机关、事业单位、团体组织；“卖方”系指提供本合同项下货物和服务的投标人。</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z w:val="24"/>
          <w:highlight w:val="none"/>
          <w:lang w:val="en-US" w:eastAsia="zh-CN"/>
        </w:rPr>
        <w:t>1.1.7</w:t>
      </w:r>
      <w:r>
        <w:rPr>
          <w:sz w:val="24"/>
          <w:highlight w:val="none"/>
        </w:rPr>
        <w:t>“用户指定地点”系指本合同项下卖方指定的货物送达、安装、运行的场所。</w:t>
      </w:r>
    </w:p>
    <w:p>
      <w:pPr>
        <w:pStyle w:val="17"/>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1.1.8</w:t>
      </w:r>
      <w:r>
        <w:rPr>
          <w:sz w:val="24"/>
          <w:highlight w:val="none"/>
        </w:rPr>
        <w:t>“天”指日历天数。</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2．适用性</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2.1 本合同条款适用于没有被本合同其他部分的条款所取代的范围。</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3．原产地</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8" w:lineRule="auto"/>
        <w:ind w:left="240" w:leftChars="0" w:right="0" w:rightChars="0" w:firstLine="240" w:firstLineChars="100"/>
        <w:jc w:val="both"/>
        <w:textAlignment w:val="auto"/>
        <w:rPr>
          <w:sz w:val="24"/>
          <w:highlight w:val="none"/>
        </w:rPr>
      </w:pPr>
      <w:r>
        <w:rPr>
          <w:rFonts w:hint="eastAsia"/>
          <w:sz w:val="24"/>
          <w:highlight w:val="none"/>
          <w:lang w:val="en-US" w:eastAsia="zh-CN"/>
        </w:rPr>
        <w:t>3.1</w:t>
      </w:r>
      <w:r>
        <w:rPr>
          <w:sz w:val="24"/>
          <w:highlight w:val="none"/>
        </w:rPr>
        <w:t>本合同项下所提供的货物及服务均应来自于中华人民共和国或与其有正常贸易关系的国家和地区。</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360" w:leftChars="0" w:right="0" w:rightChars="0"/>
        <w:jc w:val="both"/>
        <w:textAlignment w:val="auto"/>
        <w:rPr>
          <w:highlight w:val="none"/>
        </w:rPr>
      </w:pPr>
      <w:r>
        <w:rPr>
          <w:rFonts w:hint="eastAsia"/>
          <w:sz w:val="24"/>
          <w:highlight w:val="none"/>
          <w:lang w:val="en-US" w:eastAsia="zh-CN"/>
        </w:rPr>
        <w:t>3.2</w:t>
      </w:r>
      <w:r>
        <w:rPr>
          <w:sz w:val="24"/>
          <w:highlight w:val="none"/>
        </w:rPr>
        <w:t>本款所述的“原产地”系指货物开采、生长、生产或提供有关服务的来</w:t>
      </w:r>
      <w:r>
        <w:rPr>
          <w:spacing w:val="-16"/>
          <w:sz w:val="24"/>
          <w:highlight w:val="none"/>
        </w:rPr>
        <w:t>源地，且具备合法有效的“原产地”证明或凭证。所述的“货物”是指通过制造、</w:t>
      </w:r>
      <w:r>
        <w:rPr>
          <w:spacing w:val="-5"/>
          <w:highlight w:val="none"/>
        </w:rPr>
        <w:t>加工或用重要的和主要元部件装配而成的，其基本特征、功能或效用应是商业上公认的与元部件有着实质性区别的产品。</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4．标 准</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4"/>
          <w:sz w:val="24"/>
          <w:highlight w:val="none"/>
          <w:lang w:val="en-US" w:eastAsia="zh-CN"/>
        </w:rPr>
        <w:t>4.1</w:t>
      </w:r>
      <w:r>
        <w:rPr>
          <w:spacing w:val="-4"/>
          <w:sz w:val="24"/>
          <w:highlight w:val="none"/>
        </w:rPr>
        <w:t>本合同下交付的货物应符合招标文件所述技术规格的标准。如果没有提及</w:t>
      </w:r>
      <w:r>
        <w:rPr>
          <w:spacing w:val="-9"/>
          <w:sz w:val="24"/>
          <w:highlight w:val="none"/>
        </w:rPr>
        <w:t>适用标准，则应符合中华人民共和国现行国家标准、行业标准或地方标准。这些标准必须是有关机构发布的最新版本的标准。</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6"/>
          <w:sz w:val="24"/>
          <w:highlight w:val="none"/>
          <w:lang w:val="en-US" w:eastAsia="zh-CN"/>
        </w:rPr>
        <w:t>4.2</w:t>
      </w:r>
      <w:r>
        <w:rPr>
          <w:spacing w:val="-6"/>
          <w:sz w:val="24"/>
          <w:highlight w:val="none"/>
        </w:rPr>
        <w:t>除非招标文件内技术规格中另有规定，计量单位均采用中华人民共和国法定计量单位。</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5．使用合同文件和资料</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400" w:lineRule="exact"/>
        <w:ind w:left="0" w:leftChars="0" w:right="0" w:rightChars="0"/>
        <w:jc w:val="both"/>
        <w:textAlignment w:val="auto"/>
        <w:rPr>
          <w:sz w:val="24"/>
          <w:highlight w:val="none"/>
        </w:rPr>
      </w:pPr>
      <w:r>
        <w:rPr>
          <w:rFonts w:hint="eastAsia"/>
          <w:spacing w:val="-9"/>
          <w:sz w:val="24"/>
          <w:highlight w:val="none"/>
          <w:lang w:val="en-US" w:eastAsia="zh-CN"/>
        </w:rPr>
        <w:t>5.1</w:t>
      </w:r>
      <w:r>
        <w:rPr>
          <w:spacing w:val="-9"/>
          <w:sz w:val="24"/>
          <w:highlight w:val="none"/>
        </w:rPr>
        <w:t>没有买方事先书面同意，卖方不得将由买方或代表买方提供的有关合同或</w:t>
      </w:r>
      <w:r>
        <w:rPr>
          <w:spacing w:val="-13"/>
          <w:sz w:val="24"/>
          <w:highlight w:val="none"/>
        </w:rPr>
        <w:t>任何合同条文、规格、计划、图纸、模型、样品或资料提供给与履行本合同无关</w:t>
      </w:r>
      <w:r>
        <w:rPr>
          <w:spacing w:val="-14"/>
          <w:sz w:val="24"/>
          <w:highlight w:val="none"/>
        </w:rPr>
        <w:t>的任何其他人。即使向与履行本合同有关的人员提供，也应注意保密并限于履行合同必须的范围。</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400" w:lineRule="exact"/>
        <w:ind w:left="0" w:leftChars="0" w:right="0" w:rightChars="0"/>
        <w:jc w:val="both"/>
        <w:textAlignment w:val="auto"/>
        <w:rPr>
          <w:highlight w:val="none"/>
        </w:rPr>
      </w:pPr>
      <w:r>
        <w:rPr>
          <w:rFonts w:hint="eastAsia"/>
          <w:spacing w:val="-7"/>
          <w:sz w:val="24"/>
          <w:highlight w:val="none"/>
          <w:lang w:val="en-US" w:eastAsia="zh-CN"/>
        </w:rPr>
        <w:t>5.2</w:t>
      </w:r>
      <w:r>
        <w:rPr>
          <w:spacing w:val="-7"/>
          <w:sz w:val="24"/>
          <w:highlight w:val="none"/>
        </w:rPr>
        <w:t>没有买方事先书面同意，除了履行本合同之外，卖方不应使用合同条款第</w:t>
      </w:r>
      <w:r>
        <w:rPr>
          <w:highlight w:val="none"/>
        </w:rPr>
        <w:t>5.1 条所列举的任何文件和资料。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240"/>
        <w:jc w:val="both"/>
        <w:textAlignment w:val="auto"/>
        <w:rPr>
          <w:highlight w:val="none"/>
        </w:rPr>
      </w:pPr>
      <w:r>
        <w:rPr>
          <w:highlight w:val="none"/>
        </w:rPr>
        <w:t>5.3</w:t>
      </w:r>
      <w:r>
        <w:rPr>
          <w:spacing w:val="-4"/>
          <w:highlight w:val="none"/>
        </w:rPr>
        <w:t xml:space="preserve"> 除了合同标的物本身以外，合同条款</w:t>
      </w:r>
      <w:r>
        <w:rPr>
          <w:highlight w:val="none"/>
        </w:rPr>
        <w:t>5.1</w:t>
      </w:r>
      <w:r>
        <w:rPr>
          <w:spacing w:val="-8"/>
          <w:highlight w:val="none"/>
        </w:rPr>
        <w:t>条列举的任何文件是买方的财</w:t>
      </w:r>
      <w:r>
        <w:rPr>
          <w:spacing w:val="-9"/>
          <w:highlight w:val="none"/>
        </w:rPr>
        <w:t>产。如果买方有要求，卖方在完成合同后应将这些文件</w:t>
      </w:r>
      <w:r>
        <w:rPr>
          <w:highlight w:val="none"/>
        </w:rPr>
        <w:t>（原件及复制件</w:t>
      </w:r>
      <w:r>
        <w:rPr>
          <w:spacing w:val="-22"/>
          <w:highlight w:val="none"/>
        </w:rPr>
        <w:t>）</w:t>
      </w:r>
      <w:r>
        <w:rPr>
          <w:highlight w:val="none"/>
        </w:rPr>
        <w:t>还给买方。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6．知识产权</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r>
        <w:rPr>
          <w:highlight w:val="none"/>
        </w:rPr>
        <w:t>6.1 卖方应保证，买方在中华人民共和国使用该货物或货物的任何一部分时，免受第三方提出的侵犯其专利权、商标权、著作权或其他知识产权的起诉。</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7．检验、测试和验收</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7.1</w:t>
      </w:r>
      <w:r>
        <w:rPr>
          <w:sz w:val="24"/>
          <w:highlight w:val="none"/>
        </w:rPr>
        <w:t>买方或其代表有权检验/或测试货物，以确认货物是否符合合同货物数量</w:t>
      </w:r>
      <w:r>
        <w:rPr>
          <w:spacing w:val="-8"/>
          <w:sz w:val="24"/>
          <w:highlight w:val="none"/>
        </w:rPr>
        <w:t>及品种的规格要求。检测费用由卖方承担。合同条款和技术规格将说明买方要求</w:t>
      </w:r>
      <w:r>
        <w:rPr>
          <w:spacing w:val="-13"/>
          <w:sz w:val="24"/>
          <w:highlight w:val="none"/>
        </w:rPr>
        <w:t>进行的检验和测试，以及在何处进行这些检验和测试。买方将及时以书面形式把进行检验和/或测试代表的身份通知卖方。</w:t>
      </w:r>
    </w:p>
    <w:p>
      <w:pPr>
        <w:pStyle w:val="17"/>
        <w:keepNext w:val="0"/>
        <w:keepLines w:val="0"/>
        <w:pageBreakBefore w:val="0"/>
        <w:widowControl w:val="0"/>
        <w:numPr>
          <w:ilvl w:val="0"/>
          <w:numId w:val="0"/>
        </w:numPr>
        <w:tabs>
          <w:tab w:val="left" w:pos="1018"/>
        </w:tabs>
        <w:kinsoku/>
        <w:wordWrap/>
        <w:overflowPunct/>
        <w:topLinePunct w:val="0"/>
        <w:autoSpaceDE w:val="0"/>
        <w:autoSpaceDN w:val="0"/>
        <w:bidi w:val="0"/>
        <w:adjustRightInd/>
        <w:snapToGrid/>
        <w:spacing w:before="0" w:after="0" w:line="240" w:lineRule="auto"/>
        <w:ind w:left="-480" w:leftChars="0" w:right="0" w:rightChars="0" w:firstLine="960" w:firstLineChars="400"/>
        <w:jc w:val="both"/>
        <w:textAlignment w:val="auto"/>
        <w:rPr>
          <w:sz w:val="24"/>
          <w:highlight w:val="none"/>
        </w:rPr>
      </w:pPr>
      <w:r>
        <w:rPr>
          <w:rFonts w:hint="eastAsia"/>
          <w:sz w:val="24"/>
          <w:highlight w:val="none"/>
          <w:lang w:val="en-US" w:eastAsia="zh-CN"/>
        </w:rPr>
        <w:t>7.2</w:t>
      </w:r>
      <w:r>
        <w:rPr>
          <w:sz w:val="24"/>
          <w:highlight w:val="none"/>
        </w:rPr>
        <w:t>检验和测试在卖方的最终目的地进行。</w:t>
      </w:r>
    </w:p>
    <w:p>
      <w:pPr>
        <w:pStyle w:val="17"/>
        <w:keepNext w:val="0"/>
        <w:keepLines w:val="0"/>
        <w:pageBreakBefore w:val="0"/>
        <w:widowControl w:val="0"/>
        <w:numPr>
          <w:ilvl w:val="0"/>
          <w:numId w:val="0"/>
        </w:numPr>
        <w:tabs>
          <w:tab w:val="left" w:pos="1018"/>
        </w:tabs>
        <w:kinsoku/>
        <w:wordWrap/>
        <w:overflowPunct/>
        <w:topLinePunct w:val="0"/>
        <w:autoSpaceDE w:val="0"/>
        <w:autoSpaceDN w:val="0"/>
        <w:bidi w:val="0"/>
        <w:adjustRightInd/>
        <w:snapToGrid/>
        <w:spacing w:before="0" w:after="0" w:line="336" w:lineRule="auto"/>
        <w:ind w:left="420" w:leftChars="0" w:right="0" w:rightChars="0"/>
        <w:jc w:val="both"/>
        <w:textAlignment w:val="auto"/>
        <w:rPr>
          <w:sz w:val="24"/>
          <w:highlight w:val="none"/>
        </w:rPr>
      </w:pPr>
      <w:r>
        <w:rPr>
          <w:rFonts w:hint="eastAsia"/>
          <w:spacing w:val="-2"/>
          <w:sz w:val="24"/>
          <w:highlight w:val="none"/>
          <w:lang w:val="en-US" w:eastAsia="zh-CN"/>
        </w:rPr>
        <w:t>7.3</w:t>
      </w:r>
      <w:r>
        <w:rPr>
          <w:spacing w:val="-2"/>
          <w:sz w:val="24"/>
          <w:highlight w:val="none"/>
        </w:rPr>
        <w:t>如果任何被检验或测试的货物不能满足规格的要求，买方可以拒绝接受</w:t>
      </w:r>
      <w:r>
        <w:rPr>
          <w:spacing w:val="-10"/>
          <w:sz w:val="24"/>
          <w:highlight w:val="none"/>
        </w:rPr>
        <w:t>该货物，卖方应按买方要求及时更换被拒绝的货物，或者免费进行必要的修改以满足规格的要求。</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360" w:leftChars="0" w:right="0" w:rightChars="0"/>
        <w:jc w:val="both"/>
        <w:textAlignment w:val="auto"/>
        <w:rPr>
          <w:sz w:val="24"/>
          <w:highlight w:val="none"/>
        </w:rPr>
      </w:pPr>
      <w:r>
        <w:rPr>
          <w:rFonts w:hint="eastAsia"/>
          <w:sz w:val="24"/>
          <w:highlight w:val="none"/>
          <w:lang w:val="en-US" w:eastAsia="zh-CN"/>
        </w:rPr>
        <w:t>7.4</w:t>
      </w:r>
      <w:r>
        <w:rPr>
          <w:sz w:val="24"/>
          <w:highlight w:val="none"/>
        </w:rPr>
        <w:t>买方在货物到达现场后，买方责成最终用户对货物的质量、数量进行检验或测试，并出具签字确认的验收单据。</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pacing w:val="-8"/>
          <w:sz w:val="24"/>
          <w:highlight w:val="none"/>
          <w:lang w:val="en-US" w:eastAsia="zh-CN"/>
        </w:rPr>
        <w:t>7.5</w:t>
      </w:r>
      <w:r>
        <w:rPr>
          <w:spacing w:val="-8"/>
          <w:sz w:val="24"/>
          <w:highlight w:val="none"/>
        </w:rPr>
        <w:t>在交货前，卖方应让制造商对货物的质量、规格、性能、数量和重量等进行详细而全面的检验，并出具一份证明货物符合合同规定的检验证书。</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7"/>
          <w:sz w:val="24"/>
          <w:highlight w:val="none"/>
          <w:lang w:val="en-US" w:eastAsia="zh-CN"/>
        </w:rPr>
        <w:t>7.6</w:t>
      </w:r>
      <w:r>
        <w:rPr>
          <w:spacing w:val="-7"/>
          <w:sz w:val="24"/>
          <w:highlight w:val="none"/>
        </w:rPr>
        <w:t xml:space="preserve">如果在合同条款第 </w:t>
      </w:r>
      <w:r>
        <w:rPr>
          <w:sz w:val="24"/>
          <w:highlight w:val="none"/>
        </w:rPr>
        <w:t>14</w:t>
      </w:r>
      <w:r>
        <w:rPr>
          <w:spacing w:val="-8"/>
          <w:sz w:val="24"/>
          <w:highlight w:val="none"/>
        </w:rPr>
        <w:t xml:space="preserve"> 条规定的保证期内，根据检验结果发现货物的质量</w:t>
      </w:r>
      <w:r>
        <w:rPr>
          <w:spacing w:val="-13"/>
          <w:sz w:val="24"/>
          <w:highlight w:val="none"/>
        </w:rPr>
        <w:t>或规格与合同要求不符，或货物被证实有缺陷，包括潜在的缺陷或使用不合适的材料，买方有权向卖方提出索赔。</w:t>
      </w:r>
    </w:p>
    <w:p>
      <w:pPr>
        <w:pStyle w:val="17"/>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5"/>
          <w:sz w:val="24"/>
          <w:highlight w:val="none"/>
          <w:lang w:val="en-US" w:eastAsia="zh-CN"/>
        </w:rPr>
        <w:t>7.7</w:t>
      </w:r>
      <w:r>
        <w:rPr>
          <w:spacing w:val="-5"/>
          <w:sz w:val="24"/>
          <w:highlight w:val="none"/>
        </w:rPr>
        <w:t>验收严格按教育内部审计规范执行，中标人在验收时提供发票、产品产地发货单等进行核对。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8．包 装</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8.1</w:t>
      </w:r>
      <w:r>
        <w:rPr>
          <w:spacing w:val="-4"/>
          <w:highlight w:val="none"/>
        </w:rPr>
        <w:t xml:space="preserve"> 卖方应提供货物运至合同规定的最终目的地所需要的包装</w:t>
      </w:r>
      <w:r>
        <w:rPr>
          <w:highlight w:val="none"/>
        </w:rPr>
        <w:t>（包装费用由乙方负责</w:t>
      </w:r>
      <w:r>
        <w:rPr>
          <w:spacing w:val="-43"/>
          <w:highlight w:val="none"/>
        </w:rPr>
        <w:t>）</w:t>
      </w:r>
      <w:r>
        <w:rPr>
          <w:spacing w:val="-13"/>
          <w:highlight w:val="none"/>
        </w:rPr>
        <w:t>，以防止货物在转运中损坏或变质。这类包装应采取防潮、防晒、防锈、防腐蚀、防震动及防止其他损坏的必要措施，从而保证货物能够经受多次搬运、装卸及长途运输。卖方应承担由于其包装或其防护措施不妥而引起货物锈蚀、损</w:t>
      </w:r>
      <w:r>
        <w:rPr>
          <w:spacing w:val="-17"/>
          <w:highlight w:val="none"/>
        </w:rPr>
        <w:t>坏和丢失的任何损失的责任或费用。在运输过程中，货物出现毁损、灭、失等情形由卖方负责。</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9．交货和单据</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firstLine="240"/>
        <w:jc w:val="both"/>
        <w:textAlignment w:val="auto"/>
        <w:rPr>
          <w:highlight w:val="none"/>
        </w:rPr>
      </w:pPr>
      <w:r>
        <w:rPr>
          <w:highlight w:val="none"/>
        </w:rPr>
        <w:t>9.1</w:t>
      </w:r>
      <w:r>
        <w:rPr>
          <w:spacing w:val="-3"/>
          <w:highlight w:val="none"/>
        </w:rPr>
        <w:t xml:space="preserve"> 卖方应按照“货物需求一览表”规定的条件及合同规定的时间内交货，并提供有关单据。</w:t>
      </w:r>
    </w:p>
    <w:p>
      <w:pPr>
        <w:pStyle w:val="8"/>
        <w:keepNext w:val="0"/>
        <w:keepLines w:val="0"/>
        <w:pageBreakBefore w:val="0"/>
        <w:widowControl w:val="0"/>
        <w:tabs>
          <w:tab w:val="left" w:pos="1552"/>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10．运输</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10.1 卖方负责合同项下货物的运输，且运抵买方指定地点，并承担运费。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11．伴随服务</w:t>
      </w:r>
    </w:p>
    <w:p>
      <w:pPr>
        <w:pStyle w:val="17"/>
        <w:keepNext w:val="0"/>
        <w:keepLines w:val="0"/>
        <w:pageBreakBefore w:val="0"/>
        <w:widowControl w:val="0"/>
        <w:numPr>
          <w:ilvl w:val="1"/>
          <w:numId w:val="7"/>
        </w:numPr>
        <w:tabs>
          <w:tab w:val="left" w:pos="95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z w:val="24"/>
          <w:highlight w:val="none"/>
        </w:rPr>
        <w:t>卖方可能被要求提供下列服务中的任一或所有服务，包括“合同条款资料表”规定的附加服务(如果有的话)：</w:t>
      </w:r>
    </w:p>
    <w:p>
      <w:pPr>
        <w:pStyle w:val="17"/>
        <w:keepNext w:val="0"/>
        <w:keepLines w:val="0"/>
        <w:pageBreakBefore w:val="0"/>
        <w:widowControl w:val="0"/>
        <w:numPr>
          <w:ilvl w:val="2"/>
          <w:numId w:val="7"/>
        </w:numPr>
        <w:tabs>
          <w:tab w:val="left" w:pos="1138"/>
        </w:tabs>
        <w:kinsoku/>
        <w:wordWrap/>
        <w:overflowPunct/>
        <w:topLinePunct w:val="0"/>
        <w:autoSpaceDE w:val="0"/>
        <w:autoSpaceDN w:val="0"/>
        <w:bidi w:val="0"/>
        <w:adjustRightInd/>
        <w:snapToGrid/>
        <w:spacing w:before="0" w:after="0" w:line="240" w:lineRule="auto"/>
        <w:ind w:left="0" w:right="0" w:firstLine="240"/>
        <w:jc w:val="both"/>
        <w:textAlignment w:val="auto"/>
        <w:rPr>
          <w:sz w:val="24"/>
          <w:highlight w:val="none"/>
        </w:rPr>
      </w:pPr>
      <w:r>
        <w:rPr>
          <w:sz w:val="24"/>
          <w:highlight w:val="none"/>
        </w:rPr>
        <w:t>实施或监督所供货物的现场组装和/或试运行；</w:t>
      </w:r>
    </w:p>
    <w:p>
      <w:pPr>
        <w:pStyle w:val="17"/>
        <w:keepNext w:val="0"/>
        <w:keepLines w:val="0"/>
        <w:pageBreakBefore w:val="0"/>
        <w:widowControl w:val="0"/>
        <w:numPr>
          <w:ilvl w:val="2"/>
          <w:numId w:val="7"/>
        </w:numPr>
        <w:tabs>
          <w:tab w:val="left" w:pos="1138"/>
        </w:tabs>
        <w:kinsoku/>
        <w:wordWrap/>
        <w:overflowPunct/>
        <w:topLinePunct w:val="0"/>
        <w:autoSpaceDE w:val="0"/>
        <w:autoSpaceDN w:val="0"/>
        <w:bidi w:val="0"/>
        <w:adjustRightInd/>
        <w:snapToGrid/>
        <w:spacing w:before="0" w:after="0" w:line="240" w:lineRule="auto"/>
        <w:ind w:left="0" w:right="0" w:firstLine="240"/>
        <w:jc w:val="both"/>
        <w:textAlignment w:val="auto"/>
        <w:rPr>
          <w:sz w:val="24"/>
          <w:highlight w:val="none"/>
        </w:rPr>
      </w:pPr>
      <w:r>
        <w:rPr>
          <w:sz w:val="24"/>
          <w:highlight w:val="none"/>
        </w:rPr>
        <w:t>提供货物组装和/或维修所需的工具；</w:t>
      </w:r>
    </w:p>
    <w:p>
      <w:pPr>
        <w:pStyle w:val="17"/>
        <w:keepNext w:val="0"/>
        <w:keepLines w:val="0"/>
        <w:pageBreakBefore w:val="0"/>
        <w:widowControl w:val="0"/>
        <w:numPr>
          <w:ilvl w:val="2"/>
          <w:numId w:val="7"/>
        </w:numPr>
        <w:tabs>
          <w:tab w:val="left" w:pos="1138"/>
        </w:tabs>
        <w:kinsoku/>
        <w:wordWrap/>
        <w:overflowPunct/>
        <w:topLinePunct w:val="0"/>
        <w:autoSpaceDE w:val="0"/>
        <w:autoSpaceDN w:val="0"/>
        <w:bidi w:val="0"/>
        <w:adjustRightInd/>
        <w:snapToGrid/>
        <w:spacing w:before="0" w:after="0" w:line="240" w:lineRule="auto"/>
        <w:ind w:left="0" w:right="0" w:firstLine="240"/>
        <w:jc w:val="both"/>
        <w:textAlignment w:val="auto"/>
        <w:rPr>
          <w:sz w:val="24"/>
          <w:highlight w:val="none"/>
        </w:rPr>
      </w:pPr>
      <w:r>
        <w:rPr>
          <w:sz w:val="24"/>
          <w:highlight w:val="none"/>
        </w:rPr>
        <w:t>为所供货物的每一适当的单台设备提供详细的操作和维护手册；</w:t>
      </w:r>
    </w:p>
    <w:p>
      <w:pPr>
        <w:pStyle w:val="17"/>
        <w:keepNext w:val="0"/>
        <w:keepLines w:val="0"/>
        <w:pageBreakBefore w:val="0"/>
        <w:widowControl w:val="0"/>
        <w:numPr>
          <w:ilvl w:val="2"/>
          <w:numId w:val="7"/>
        </w:numPr>
        <w:tabs>
          <w:tab w:val="left" w:pos="113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z w:val="24"/>
          <w:highlight w:val="none"/>
        </w:rPr>
        <w:t>在双方商定的一定期限内对所供货物实施运行或监督或维护或修理， 但前提条件是该服务并不能免除卖方在合同保证期内所承担的义务；</w:t>
      </w:r>
    </w:p>
    <w:p>
      <w:pPr>
        <w:pStyle w:val="17"/>
        <w:keepNext w:val="0"/>
        <w:keepLines w:val="0"/>
        <w:pageBreakBefore w:val="0"/>
        <w:widowControl w:val="0"/>
        <w:numPr>
          <w:ilvl w:val="2"/>
          <w:numId w:val="7"/>
        </w:numPr>
        <w:tabs>
          <w:tab w:val="left" w:pos="1138"/>
        </w:tabs>
        <w:kinsoku/>
        <w:wordWrap/>
        <w:overflowPunct/>
        <w:topLinePunct w:val="0"/>
        <w:autoSpaceDE w:val="0"/>
        <w:autoSpaceDN w:val="0"/>
        <w:bidi w:val="0"/>
        <w:adjustRightInd/>
        <w:snapToGrid/>
        <w:spacing w:before="0" w:after="0" w:line="338" w:lineRule="auto"/>
        <w:ind w:left="0" w:right="0" w:firstLine="240"/>
        <w:jc w:val="both"/>
        <w:textAlignment w:val="auto"/>
        <w:rPr>
          <w:sz w:val="24"/>
          <w:highlight w:val="none"/>
        </w:rPr>
      </w:pPr>
      <w:r>
        <w:rPr>
          <w:sz w:val="24"/>
          <w:highlight w:val="none"/>
        </w:rPr>
        <w:t>在卖方厂家和/或在用户指定地点就所供货物的组装、试运行、运行、维护和或修理对买方人员进行培训。</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11.2</w:t>
      </w:r>
      <w:r>
        <w:rPr>
          <w:sz w:val="24"/>
          <w:highlight w:val="none"/>
        </w:rPr>
        <w:t>如果卖方提供的伴随服务的费用未含在货物的合同价中，双方应事先就</w:t>
      </w:r>
      <w:r>
        <w:rPr>
          <w:spacing w:val="-10"/>
          <w:sz w:val="24"/>
          <w:highlight w:val="none"/>
        </w:rPr>
        <w:t>其达成协议，但其费用单价不应超过卖方向其他人提供类似服务所收取的现行单价。无事先约定的，上述卖方应提供伴随服务的费用视为已包含在合同价中。</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420" w:leftChars="0" w:right="0" w:rightChars="0"/>
        <w:jc w:val="both"/>
        <w:textAlignment w:val="auto"/>
        <w:rPr>
          <w:sz w:val="24"/>
          <w:highlight w:val="none"/>
        </w:rPr>
      </w:pPr>
      <w:r>
        <w:rPr>
          <w:rFonts w:hint="eastAsia"/>
          <w:sz w:val="24"/>
          <w:highlight w:val="none"/>
          <w:lang w:val="en-US" w:eastAsia="zh-CN"/>
        </w:rPr>
        <w:t>11.3</w:t>
      </w:r>
      <w:r>
        <w:rPr>
          <w:sz w:val="24"/>
          <w:highlight w:val="none"/>
        </w:rPr>
        <w:t>卖方应提供“合同条款资料表”中规定的所有服务。为履行要求的伴随服务的报价或双方商定的费用应包括在合同价中。</w:t>
      </w:r>
    </w:p>
    <w:p>
      <w:pPr>
        <w:pStyle w:val="17"/>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38" w:lineRule="auto"/>
        <w:ind w:left="420" w:leftChars="0" w:right="0" w:rightChars="0"/>
        <w:jc w:val="both"/>
        <w:textAlignment w:val="auto"/>
        <w:rPr>
          <w:sz w:val="24"/>
          <w:highlight w:val="none"/>
        </w:rPr>
      </w:pPr>
      <w:r>
        <w:rPr>
          <w:rFonts w:hint="eastAsia"/>
          <w:spacing w:val="-6"/>
          <w:sz w:val="24"/>
          <w:highlight w:val="none"/>
          <w:lang w:val="en-US" w:eastAsia="zh-CN"/>
        </w:rPr>
        <w:t>11.4</w:t>
      </w:r>
      <w:r>
        <w:rPr>
          <w:spacing w:val="-6"/>
          <w:sz w:val="24"/>
          <w:highlight w:val="none"/>
        </w:rPr>
        <w:t>若卖方未在规定时间内到场维修，买方可另找人维修，维修费从质保金中扣除。</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12．备 件</w:t>
      </w:r>
    </w:p>
    <w:p>
      <w:pPr>
        <w:pStyle w:val="17"/>
        <w:keepNext w:val="0"/>
        <w:keepLines w:val="0"/>
        <w:pageBreakBefore w:val="0"/>
        <w:widowControl w:val="0"/>
        <w:numPr>
          <w:ilvl w:val="1"/>
          <w:numId w:val="8"/>
        </w:numPr>
        <w:tabs>
          <w:tab w:val="left" w:pos="958"/>
        </w:tabs>
        <w:kinsoku/>
        <w:wordWrap/>
        <w:overflowPunct/>
        <w:topLinePunct w:val="0"/>
        <w:autoSpaceDE w:val="0"/>
        <w:autoSpaceDN w:val="0"/>
        <w:bidi w:val="0"/>
        <w:adjustRightInd/>
        <w:snapToGrid/>
        <w:spacing w:before="0" w:after="0" w:line="338" w:lineRule="auto"/>
        <w:ind w:left="0" w:right="0" w:firstLine="240"/>
        <w:jc w:val="both"/>
        <w:textAlignment w:val="auto"/>
        <w:rPr>
          <w:sz w:val="24"/>
          <w:highlight w:val="none"/>
        </w:rPr>
      </w:pPr>
      <w:r>
        <w:rPr>
          <w:sz w:val="24"/>
          <w:highlight w:val="none"/>
        </w:rPr>
        <w:t>正如合同条款所规定，卖方可能被要求提供下列与备件有关的材料、通知和资料：</w:t>
      </w:r>
    </w:p>
    <w:p>
      <w:pPr>
        <w:pStyle w:val="17"/>
        <w:keepNext w:val="0"/>
        <w:keepLines w:val="0"/>
        <w:pageBreakBefore w:val="0"/>
        <w:widowControl w:val="0"/>
        <w:numPr>
          <w:ilvl w:val="2"/>
          <w:numId w:val="8"/>
        </w:numPr>
        <w:tabs>
          <w:tab w:val="left" w:pos="113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z w:val="24"/>
          <w:highlight w:val="none"/>
        </w:rPr>
        <w:t>买方从卖方选购备件，但前提条件是该选择并不能免除卖方在合同保证期内所承担的义务；</w:t>
      </w:r>
    </w:p>
    <w:p>
      <w:pPr>
        <w:pStyle w:val="17"/>
        <w:keepNext w:val="0"/>
        <w:keepLines w:val="0"/>
        <w:pageBreakBefore w:val="0"/>
        <w:widowControl w:val="0"/>
        <w:numPr>
          <w:ilvl w:val="2"/>
          <w:numId w:val="8"/>
        </w:numPr>
        <w:tabs>
          <w:tab w:val="left" w:pos="113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pacing w:val="-3"/>
          <w:sz w:val="24"/>
          <w:highlight w:val="none"/>
        </w:rPr>
        <w:t>在备件停止生产的情况下，卖方应事先将要停止生产的计划通知买方， 使买方有足够的时间采购所需的备件；</w:t>
      </w:r>
    </w:p>
    <w:p>
      <w:pPr>
        <w:pStyle w:val="17"/>
        <w:keepNext w:val="0"/>
        <w:keepLines w:val="0"/>
        <w:pageBreakBefore w:val="0"/>
        <w:widowControl w:val="0"/>
        <w:numPr>
          <w:ilvl w:val="2"/>
          <w:numId w:val="8"/>
        </w:numPr>
        <w:tabs>
          <w:tab w:val="left" w:pos="1138"/>
        </w:tabs>
        <w:kinsoku/>
        <w:wordWrap/>
        <w:overflowPunct/>
        <w:topLinePunct w:val="0"/>
        <w:autoSpaceDE w:val="0"/>
        <w:autoSpaceDN w:val="0"/>
        <w:bidi w:val="0"/>
        <w:adjustRightInd/>
        <w:snapToGrid/>
        <w:spacing w:before="0" w:after="0" w:line="338" w:lineRule="auto"/>
        <w:ind w:left="0" w:right="0" w:firstLine="240"/>
        <w:jc w:val="both"/>
        <w:textAlignment w:val="auto"/>
        <w:rPr>
          <w:sz w:val="24"/>
          <w:highlight w:val="none"/>
        </w:rPr>
      </w:pPr>
      <w:r>
        <w:rPr>
          <w:sz w:val="24"/>
          <w:highlight w:val="none"/>
        </w:rPr>
        <w:t>在备件停止生产后，如果买方要求，卖方应免费向买方提供备件的蓝图、图纸和规格。</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12.2 卖方应按照“合同条款资料表”技术规格中的规定提供所需的备件。</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13．保 证</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13.1</w:t>
      </w:r>
      <w:r>
        <w:rPr>
          <w:sz w:val="24"/>
          <w:highlight w:val="none"/>
        </w:rPr>
        <w:t>卖方应保证合同项下所供货物是全新的、未使用过的，是最新或目前的</w:t>
      </w:r>
      <w:r>
        <w:rPr>
          <w:spacing w:val="-9"/>
          <w:sz w:val="24"/>
          <w:highlight w:val="none"/>
        </w:rPr>
        <w:t>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w:t>
      </w:r>
      <w:r>
        <w:rPr>
          <w:spacing w:val="-14"/>
          <w:sz w:val="24"/>
          <w:highlight w:val="none"/>
        </w:rPr>
        <w:t>行为或疏忽而产生的缺陷，这些缺陷是所供货物在买方现行条件下正常使用可能产生的。</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13.2</w:t>
      </w:r>
      <w:r>
        <w:rPr>
          <w:sz w:val="24"/>
          <w:highlight w:val="none"/>
        </w:rPr>
        <w:t>本保证应在货物最终验收后的一定期限内保持有效，或在最后一批货物</w:t>
      </w:r>
      <w:r>
        <w:rPr>
          <w:spacing w:val="-3"/>
          <w:sz w:val="24"/>
          <w:highlight w:val="none"/>
        </w:rPr>
        <w:t>交付后的一定期限内保持有效（</w:t>
      </w:r>
      <w:r>
        <w:rPr>
          <w:spacing w:val="-2"/>
          <w:sz w:val="24"/>
          <w:highlight w:val="none"/>
        </w:rPr>
        <w:t>上述情况见“合同条款资料表”</w:t>
      </w:r>
      <w:r>
        <w:rPr>
          <w:spacing w:val="-20"/>
          <w:sz w:val="24"/>
          <w:highlight w:val="none"/>
        </w:rPr>
        <w:t>），</w:t>
      </w:r>
      <w:r>
        <w:rPr>
          <w:sz w:val="24"/>
          <w:highlight w:val="none"/>
        </w:rPr>
        <w:t>以期限最长的为准。</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13.3</w:t>
      </w:r>
      <w:r>
        <w:rPr>
          <w:sz w:val="24"/>
          <w:highlight w:val="none"/>
        </w:rPr>
        <w:t>买方应尽快以书面形式通知卖方保证期内所发现的缺陷。</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13.4</w:t>
      </w:r>
      <w:r>
        <w:rPr>
          <w:sz w:val="24"/>
          <w:highlight w:val="none"/>
        </w:rPr>
        <w:t>卖方收到通知后应在“合同条款资料表”规定的时间内及时免费维修或更换有缺陷的货物或部件。</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13.5</w:t>
      </w:r>
      <w:r>
        <w:rPr>
          <w:sz w:val="24"/>
          <w:highlight w:val="none"/>
        </w:rPr>
        <w:t>如果卖方收到通知后在合同规定的时间内没有及时维修、重作、更换以</w:t>
      </w:r>
      <w:r>
        <w:rPr>
          <w:spacing w:val="-9"/>
          <w:sz w:val="24"/>
          <w:highlight w:val="none"/>
        </w:rPr>
        <w:t>弥补缺陷，买方可采取必要的补救措施，但其风险和费用将由卖方承担，买方根据合同约定对卖方行使的其他权利不受影响。</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14．索 赔</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11"/>
          <w:sz w:val="24"/>
          <w:highlight w:val="none"/>
          <w:lang w:val="en-US" w:eastAsia="zh-CN"/>
        </w:rPr>
        <w:t>14.1</w:t>
      </w:r>
      <w:r>
        <w:rPr>
          <w:spacing w:val="-11"/>
          <w:sz w:val="24"/>
          <w:highlight w:val="none"/>
        </w:rPr>
        <w:t xml:space="preserve">卖方提供货物有质量问题，买方在合同条款第 </w:t>
      </w:r>
      <w:r>
        <w:rPr>
          <w:sz w:val="24"/>
          <w:highlight w:val="none"/>
        </w:rPr>
        <w:t>13</w:t>
      </w:r>
      <w:r>
        <w:rPr>
          <w:spacing w:val="-8"/>
          <w:sz w:val="24"/>
          <w:highlight w:val="none"/>
        </w:rPr>
        <w:t xml:space="preserve"> 条或合同的其他条款规</w:t>
      </w:r>
      <w:r>
        <w:rPr>
          <w:spacing w:val="-14"/>
          <w:sz w:val="24"/>
          <w:highlight w:val="none"/>
        </w:rPr>
        <w:t xml:space="preserve">定的检验、安装、调试、验收和质量保证期内提出了索赔，卖方应在 </w:t>
      </w:r>
      <w:r>
        <w:rPr>
          <w:sz w:val="24"/>
          <w:highlight w:val="none"/>
          <w:u w:val="single"/>
        </w:rPr>
        <w:t>7</w:t>
      </w:r>
      <w:r>
        <w:rPr>
          <w:spacing w:val="-12"/>
          <w:sz w:val="24"/>
          <w:highlight w:val="none"/>
        </w:rPr>
        <w:t xml:space="preserve"> 日内按照买方同意的下列一种或几种方式结合起来解决索赔事宜：</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14.1.1</w:t>
      </w:r>
      <w:r>
        <w:rPr>
          <w:sz w:val="24"/>
          <w:highlight w:val="none"/>
        </w:rPr>
        <w:t>卖方同意退货并用合同规定的货币将货款退还给买方，并承担由此发</w:t>
      </w:r>
      <w:r>
        <w:rPr>
          <w:spacing w:val="-12"/>
          <w:sz w:val="24"/>
          <w:highlight w:val="none"/>
        </w:rPr>
        <w:t>生的一切损失和费用，包括利息、银行手续费、运费、保险费、检验费、仓储费、</w:t>
      </w:r>
      <w:r>
        <w:rPr>
          <w:spacing w:val="-14"/>
          <w:sz w:val="24"/>
          <w:highlight w:val="none"/>
        </w:rPr>
        <w:t xml:space="preserve">装卸费以及为看管和保护退回货物所需的其他必要费用，并支付合同总价款 </w:t>
      </w:r>
      <w:r>
        <w:rPr>
          <w:sz w:val="24"/>
          <w:highlight w:val="none"/>
        </w:rPr>
        <w:t>5% 的违约金。</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3"/>
          <w:sz w:val="24"/>
          <w:highlight w:val="none"/>
          <w:lang w:val="en-US" w:eastAsia="zh-CN"/>
        </w:rPr>
        <w:t>14.1.2</w:t>
      </w:r>
      <w:r>
        <w:rPr>
          <w:spacing w:val="-3"/>
          <w:sz w:val="24"/>
          <w:highlight w:val="none"/>
        </w:rPr>
        <w:t>用符合合同规定的规格、质量和性能要求的新零件、部件和</w:t>
      </w:r>
      <w:r>
        <w:rPr>
          <w:sz w:val="24"/>
          <w:highlight w:val="none"/>
        </w:rPr>
        <w:t>/或设备来更换有缺陷的部分和/或修补缺陷部分，卖方应承担一切费用和风险并负担买方</w:t>
      </w:r>
      <w:r>
        <w:rPr>
          <w:spacing w:val="-3"/>
          <w:sz w:val="24"/>
          <w:highlight w:val="none"/>
        </w:rPr>
        <w:t xml:space="preserve">蒙受的全部损失费用。同时，卖方应按合同条款第 </w:t>
      </w:r>
      <w:r>
        <w:rPr>
          <w:sz w:val="24"/>
          <w:highlight w:val="none"/>
        </w:rPr>
        <w:t>14</w:t>
      </w:r>
      <w:r>
        <w:rPr>
          <w:spacing w:val="-8"/>
          <w:sz w:val="24"/>
          <w:highlight w:val="none"/>
        </w:rPr>
        <w:t xml:space="preserve"> 条规定，相应延长所更换</w:t>
      </w:r>
      <w:r>
        <w:rPr>
          <w:spacing w:val="-12"/>
          <w:sz w:val="24"/>
          <w:highlight w:val="none"/>
        </w:rPr>
        <w:t>货物的质量保证期。在延长期满未能履行的，视为违约，由卖方支付合同总价款</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5%的违约金给买方，并赔偿实际损失。</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14.1.32</w:t>
      </w:r>
      <w:r>
        <w:rPr>
          <w:sz w:val="24"/>
          <w:highlight w:val="none"/>
        </w:rPr>
        <w:t>如果在买方发出索赔通知后三十(30)天内，卖方未作答复，上述索赔</w:t>
      </w:r>
      <w:r>
        <w:rPr>
          <w:spacing w:val="-9"/>
          <w:sz w:val="24"/>
          <w:highlight w:val="none"/>
        </w:rPr>
        <w:t>应视为已被卖方接受。如卖方未能在买方发出索赔通知后三十</w:t>
      </w:r>
      <w:r>
        <w:rPr>
          <w:sz w:val="24"/>
          <w:highlight w:val="none"/>
        </w:rPr>
        <w:t>(30)天内或买方同</w:t>
      </w:r>
      <w:r>
        <w:rPr>
          <w:spacing w:val="-8"/>
          <w:sz w:val="24"/>
          <w:highlight w:val="none"/>
        </w:rPr>
        <w:t>意的延长期限内，按照买方同意的上述规定的任何一种方法解决索赔事宜，买方</w:t>
      </w:r>
      <w:r>
        <w:rPr>
          <w:spacing w:val="-12"/>
          <w:sz w:val="24"/>
          <w:highlight w:val="none"/>
        </w:rPr>
        <w:t>将从议付货款或从卖方开具的履约保证金中扣回索赔金额。不足以赔偿买方损失</w:t>
      </w:r>
      <w:r>
        <w:rPr>
          <w:spacing w:val="-10"/>
          <w:sz w:val="24"/>
          <w:highlight w:val="none"/>
        </w:rPr>
        <w:t xml:space="preserve">的，买方有权向卖方追偿，并由卖方支付合同总价款 </w:t>
      </w:r>
      <w:r>
        <w:rPr>
          <w:sz w:val="24"/>
          <w:highlight w:val="none"/>
        </w:rPr>
        <w:t>5%的违约金给买方给买方， 并赔偿实际损失</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15．付 款</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15.1 本合同项下的付款方法和条件在“合同条款资料表”中有规定。</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16．价 格</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16.1 卖方在本合同项下提交货物和履行服务的价格在合同中给出。</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17．变更指令</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8"/>
          <w:sz w:val="24"/>
          <w:highlight w:val="none"/>
          <w:lang w:val="en-US" w:eastAsia="zh-CN"/>
        </w:rPr>
        <w:t>17.1</w:t>
      </w:r>
      <w:r>
        <w:rPr>
          <w:spacing w:val="-8"/>
          <w:sz w:val="24"/>
          <w:highlight w:val="none"/>
        </w:rPr>
        <w:t xml:space="preserve">根据合同条款第 </w:t>
      </w:r>
      <w:r>
        <w:rPr>
          <w:sz w:val="24"/>
          <w:highlight w:val="none"/>
        </w:rPr>
        <w:t>30</w:t>
      </w:r>
      <w:r>
        <w:rPr>
          <w:spacing w:val="-8"/>
          <w:sz w:val="24"/>
          <w:highlight w:val="none"/>
        </w:rPr>
        <w:t xml:space="preserve"> 条的规定，买方可以在任何时候书面向卖方发出指令，在本合同的一般范围内变更下述四项内容：</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left="-780" w:leftChars="0" w:right="0" w:rightChars="0" w:firstLine="960" w:firstLineChars="400"/>
        <w:jc w:val="both"/>
        <w:textAlignment w:val="auto"/>
        <w:rPr>
          <w:sz w:val="24"/>
          <w:highlight w:val="none"/>
        </w:rPr>
      </w:pPr>
      <w:r>
        <w:rPr>
          <w:rFonts w:hint="eastAsia"/>
          <w:sz w:val="24"/>
          <w:highlight w:val="none"/>
          <w:lang w:val="en-US" w:eastAsia="zh-CN"/>
        </w:rPr>
        <w:t>17.1.1</w:t>
      </w:r>
      <w:r>
        <w:rPr>
          <w:sz w:val="24"/>
          <w:highlight w:val="none"/>
        </w:rPr>
        <w:t>本合同项下提供的货物是专为买方制造时，变更图纸、设计或规格；</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left="-780" w:leftChars="0" w:right="0" w:rightChars="0" w:firstLine="960" w:firstLineChars="400"/>
        <w:jc w:val="both"/>
        <w:textAlignment w:val="auto"/>
        <w:rPr>
          <w:sz w:val="24"/>
          <w:highlight w:val="none"/>
        </w:rPr>
      </w:pPr>
      <w:r>
        <w:rPr>
          <w:rFonts w:hint="eastAsia"/>
          <w:sz w:val="24"/>
          <w:highlight w:val="none"/>
          <w:lang w:val="en-US" w:eastAsia="zh-CN"/>
        </w:rPr>
        <w:t>17.1.2</w:t>
      </w:r>
      <w:r>
        <w:rPr>
          <w:sz w:val="24"/>
          <w:highlight w:val="none"/>
        </w:rPr>
        <w:t>运输或包装的方法；</w:t>
      </w:r>
    </w:p>
    <w:p>
      <w:pPr>
        <w:pStyle w:val="17"/>
        <w:keepNext w:val="0"/>
        <w:keepLines w:val="0"/>
        <w:pageBreakBefore w:val="0"/>
        <w:widowControl w:val="0"/>
        <w:numPr>
          <w:ilvl w:val="0"/>
          <w:numId w:val="0"/>
        </w:numPr>
        <w:tabs>
          <w:tab w:val="left" w:pos="1107"/>
        </w:tabs>
        <w:kinsoku/>
        <w:wordWrap/>
        <w:overflowPunct/>
        <w:topLinePunct w:val="0"/>
        <w:autoSpaceDE w:val="0"/>
        <w:autoSpaceDN w:val="0"/>
        <w:bidi w:val="0"/>
        <w:adjustRightInd/>
        <w:snapToGrid/>
        <w:spacing w:before="0" w:after="0" w:line="240" w:lineRule="auto"/>
        <w:ind w:right="0" w:rightChars="0"/>
        <w:jc w:val="both"/>
        <w:textAlignment w:val="auto"/>
        <w:rPr>
          <w:sz w:val="24"/>
          <w:highlight w:val="none"/>
        </w:rPr>
      </w:pPr>
      <w:r>
        <w:rPr>
          <w:rFonts w:hint="eastAsia"/>
          <w:sz w:val="24"/>
          <w:highlight w:val="none"/>
          <w:lang w:val="en-US" w:eastAsia="zh-CN"/>
        </w:rPr>
        <w:t>17.1.3</w:t>
      </w:r>
      <w:r>
        <w:rPr>
          <w:sz w:val="24"/>
          <w:highlight w:val="none"/>
        </w:rPr>
        <w:t>交货地点；</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right="0" w:rightChars="0"/>
        <w:jc w:val="both"/>
        <w:textAlignment w:val="auto"/>
        <w:rPr>
          <w:sz w:val="24"/>
          <w:highlight w:val="none"/>
        </w:rPr>
      </w:pPr>
      <w:r>
        <w:rPr>
          <w:rFonts w:hint="eastAsia"/>
          <w:sz w:val="24"/>
          <w:highlight w:val="none"/>
          <w:lang w:val="en-US" w:eastAsia="zh-CN"/>
        </w:rPr>
        <w:t>17.1.4</w:t>
      </w:r>
      <w:r>
        <w:rPr>
          <w:sz w:val="24"/>
          <w:highlight w:val="none"/>
        </w:rPr>
        <w:t>卖方提供的服务。</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17.2 如果上述变更使卖方履行合同义务的费用或时间增加或减少，将对合同</w:t>
      </w:r>
      <w:r>
        <w:rPr>
          <w:spacing w:val="-5"/>
          <w:highlight w:val="none"/>
        </w:rPr>
        <w:t>价或交货时间或两者进行公平的调整，同时相应修改合同。卖方根据本条进行调整的要求必须在收到买方的变更指令后三十（30）天内提出。</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18．合同修改</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18.1</w:t>
      </w:r>
      <w:r>
        <w:rPr>
          <w:spacing w:val="-7"/>
          <w:highlight w:val="none"/>
        </w:rPr>
        <w:t xml:space="preserve"> 除了合同条款第 </w:t>
      </w:r>
      <w:r>
        <w:rPr>
          <w:highlight w:val="none"/>
        </w:rPr>
        <w:t>17</w:t>
      </w:r>
      <w:r>
        <w:rPr>
          <w:spacing w:val="-13"/>
          <w:highlight w:val="none"/>
        </w:rPr>
        <w:t xml:space="preserve"> 条的情况，不应对合同条款进行任何变更或修改，除非双方同意并签订书面的合同修改书。</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19．转 让</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19.1 除买方事先书面同意外，卖方不得部分转让或全部转让其应履行的合同义务，如有违反，由卖方支付买方合同总价款 5%的违约金，并赔偿实际损失。</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20．分 包</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20.1 未经买方同意，卖方不得将合同分包。</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21．卖方履约延误</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21.1</w:t>
      </w:r>
      <w:r>
        <w:rPr>
          <w:sz w:val="24"/>
          <w:highlight w:val="none"/>
        </w:rPr>
        <w:t>卖方应按照“货物需求一览表”中买方规定的时间表交货和提供服务。</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21.2</w:t>
      </w:r>
      <w:r>
        <w:rPr>
          <w:sz w:val="24"/>
          <w:highlight w:val="none"/>
        </w:rPr>
        <w:t>在履行合同过程中，如果卖方及其分包人遇到妨碍按时交货和提供服务的情况时，应及时以书面形式将拖延的事实，可能拖延的时间和原因通知买方。</w:t>
      </w:r>
      <w:r>
        <w:rPr>
          <w:spacing w:val="-7"/>
          <w:sz w:val="24"/>
          <w:highlight w:val="none"/>
        </w:rPr>
        <w:t>买方在收到卖方通知后，应尽快对情况进行评价，并确定是否同意延长交货时间以及是否收取误期赔偿费。延期应通过修改合同的方式由双方认可。</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8"/>
          <w:sz w:val="24"/>
          <w:highlight w:val="none"/>
          <w:lang w:val="en-US" w:eastAsia="zh-CN"/>
        </w:rPr>
        <w:t>21.3</w:t>
      </w:r>
      <w:r>
        <w:rPr>
          <w:spacing w:val="-8"/>
          <w:sz w:val="24"/>
          <w:highlight w:val="none"/>
        </w:rPr>
        <w:t xml:space="preserve">除了合同条款第 </w:t>
      </w:r>
      <w:r>
        <w:rPr>
          <w:sz w:val="24"/>
          <w:highlight w:val="none"/>
        </w:rPr>
        <w:t>24</w:t>
      </w:r>
      <w:r>
        <w:rPr>
          <w:spacing w:val="-13"/>
          <w:sz w:val="24"/>
          <w:highlight w:val="none"/>
        </w:rPr>
        <w:t xml:space="preserve"> 条的情况外，除非拖延是根据合同规定取得同意而不</w:t>
      </w:r>
      <w:r>
        <w:rPr>
          <w:spacing w:val="-15"/>
          <w:sz w:val="24"/>
          <w:highlight w:val="none"/>
        </w:rPr>
        <w:t xml:space="preserve">收取误期赔偿费之外，卖方拖延交货，将按合同条款第 </w:t>
      </w:r>
      <w:r>
        <w:rPr>
          <w:sz w:val="24"/>
          <w:highlight w:val="none"/>
        </w:rPr>
        <w:t>22</w:t>
      </w:r>
      <w:r>
        <w:rPr>
          <w:spacing w:val="-8"/>
          <w:sz w:val="24"/>
          <w:highlight w:val="none"/>
        </w:rPr>
        <w:t xml:space="preserve"> 条的规定被收取误期赔偿费。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22．误期赔偿费</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r>
        <w:rPr>
          <w:highlight w:val="none"/>
        </w:rPr>
        <w:t>22.1</w:t>
      </w:r>
      <w:r>
        <w:rPr>
          <w:spacing w:val="-8"/>
          <w:highlight w:val="none"/>
        </w:rPr>
        <w:t xml:space="preserve"> 除合同条款第 </w:t>
      </w:r>
      <w:r>
        <w:rPr>
          <w:highlight w:val="none"/>
        </w:rPr>
        <w:t>25</w:t>
      </w:r>
      <w:r>
        <w:rPr>
          <w:spacing w:val="-13"/>
          <w:highlight w:val="none"/>
        </w:rPr>
        <w:t xml:space="preserve"> 条规定的情况外，如果卖方没有按照合同规定的时间</w:t>
      </w:r>
      <w:r>
        <w:rPr>
          <w:spacing w:val="-14"/>
          <w:highlight w:val="none"/>
        </w:rPr>
        <w:t>交货和提供服务，买方应在不影响合同项下的其他补救措施的情况下，从合同价</w:t>
      </w:r>
      <w:r>
        <w:rPr>
          <w:spacing w:val="-15"/>
          <w:highlight w:val="none"/>
        </w:rPr>
        <w:t>中扣除误期赔偿费。每延误一日的赔偿费按迟交货物交货价或未提供服务的服务</w:t>
      </w:r>
      <w:r>
        <w:rPr>
          <w:spacing w:val="-16"/>
          <w:highlight w:val="none"/>
        </w:rPr>
        <w:t>费用的万分之三计收，直至交货或提供服务为止。误期赔偿费的最高限额为合同价格的百分之五(5％)。一旦达到误期赔偿费的最高限额，买方有权根据合同条</w:t>
      </w:r>
      <w:r>
        <w:rPr>
          <w:spacing w:val="-31"/>
          <w:highlight w:val="none"/>
        </w:rPr>
        <w:t xml:space="preserve">款第 </w:t>
      </w:r>
      <w:r>
        <w:rPr>
          <w:highlight w:val="none"/>
        </w:rPr>
        <w:t>24</w:t>
      </w:r>
      <w:r>
        <w:rPr>
          <w:spacing w:val="-8"/>
          <w:highlight w:val="none"/>
        </w:rPr>
        <w:t xml:space="preserve"> 条的规定终止合同。</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23．卖方其他违约责任</w:t>
      </w:r>
    </w:p>
    <w:p>
      <w:pPr>
        <w:pStyle w:val="17"/>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240" w:lineRule="auto"/>
        <w:ind w:left="-600" w:leftChars="0" w:right="0" w:rightChars="0"/>
        <w:jc w:val="both"/>
        <w:textAlignment w:val="auto"/>
        <w:rPr>
          <w:sz w:val="24"/>
          <w:highlight w:val="none"/>
        </w:rPr>
      </w:pPr>
      <w:r>
        <w:rPr>
          <w:rFonts w:hint="eastAsia"/>
          <w:spacing w:val="-9"/>
          <w:sz w:val="24"/>
          <w:highlight w:val="none"/>
          <w:lang w:val="en-US" w:eastAsia="zh-CN"/>
        </w:rPr>
        <w:t>23.1</w:t>
      </w:r>
      <w:r>
        <w:rPr>
          <w:spacing w:val="-9"/>
          <w:sz w:val="24"/>
          <w:highlight w:val="none"/>
        </w:rPr>
        <w:t xml:space="preserve">卖方出现除第 </w:t>
      </w:r>
      <w:r>
        <w:rPr>
          <w:sz w:val="24"/>
          <w:highlight w:val="none"/>
        </w:rPr>
        <w:t>23</w:t>
      </w:r>
      <w:r>
        <w:rPr>
          <w:spacing w:val="-8"/>
          <w:sz w:val="24"/>
          <w:highlight w:val="none"/>
        </w:rPr>
        <w:t xml:space="preserve"> 条之外的违约情形时，违约责任如下：</w:t>
      </w:r>
    </w:p>
    <w:p>
      <w:pPr>
        <w:pStyle w:val="17"/>
        <w:keepNext w:val="0"/>
        <w:keepLines w:val="0"/>
        <w:pageBreakBefore w:val="0"/>
        <w:widowControl w:val="0"/>
        <w:numPr>
          <w:ilvl w:val="2"/>
          <w:numId w:val="9"/>
        </w:numPr>
        <w:tabs>
          <w:tab w:val="left" w:pos="1378"/>
        </w:tabs>
        <w:kinsoku/>
        <w:wordWrap/>
        <w:overflowPunct/>
        <w:topLinePunct w:val="0"/>
        <w:autoSpaceDE w:val="0"/>
        <w:autoSpaceDN w:val="0"/>
        <w:bidi w:val="0"/>
        <w:adjustRightInd/>
        <w:snapToGrid/>
        <w:spacing w:before="0" w:after="0" w:line="336" w:lineRule="auto"/>
        <w:ind w:left="0" w:right="0" w:firstLine="480"/>
        <w:jc w:val="both"/>
        <w:textAlignment w:val="auto"/>
        <w:rPr>
          <w:sz w:val="24"/>
          <w:highlight w:val="none"/>
        </w:rPr>
      </w:pPr>
      <w:r>
        <w:rPr>
          <w:rFonts w:hint="eastAsia"/>
          <w:sz w:val="24"/>
          <w:highlight w:val="none"/>
          <w:lang w:val="en-US" w:eastAsia="zh-CN"/>
        </w:rPr>
        <w:t>23.1.1</w:t>
      </w:r>
      <w:r>
        <w:rPr>
          <w:sz w:val="24"/>
          <w:highlight w:val="none"/>
        </w:rPr>
        <w:t>自违约行为或事件发生之日，每日支付违约金，其金额为合同总价的万分之三；</w:t>
      </w:r>
    </w:p>
    <w:p>
      <w:pPr>
        <w:pStyle w:val="17"/>
        <w:keepNext w:val="0"/>
        <w:keepLines w:val="0"/>
        <w:pageBreakBefore w:val="0"/>
        <w:widowControl w:val="0"/>
        <w:numPr>
          <w:ilvl w:val="2"/>
          <w:numId w:val="9"/>
        </w:numPr>
        <w:tabs>
          <w:tab w:val="left" w:pos="1378"/>
        </w:tabs>
        <w:kinsoku/>
        <w:wordWrap/>
        <w:overflowPunct/>
        <w:topLinePunct w:val="0"/>
        <w:autoSpaceDE w:val="0"/>
        <w:autoSpaceDN w:val="0"/>
        <w:bidi w:val="0"/>
        <w:adjustRightInd/>
        <w:snapToGrid/>
        <w:spacing w:before="0" w:after="0" w:line="338" w:lineRule="auto"/>
        <w:ind w:left="0" w:right="0" w:firstLine="480"/>
        <w:jc w:val="both"/>
        <w:textAlignment w:val="auto"/>
        <w:rPr>
          <w:sz w:val="24"/>
          <w:highlight w:val="none"/>
        </w:rPr>
      </w:pPr>
      <w:r>
        <w:rPr>
          <w:rFonts w:hint="eastAsia"/>
          <w:sz w:val="24"/>
          <w:highlight w:val="none"/>
          <w:lang w:val="en-US" w:eastAsia="zh-CN"/>
        </w:rPr>
        <w:t>23.1.2</w:t>
      </w:r>
      <w:r>
        <w:rPr>
          <w:sz w:val="24"/>
          <w:highlight w:val="none"/>
        </w:rPr>
        <w:t>违约天数为违约行为或事件发生之日至违约行为纠正或违约情形消除之日；</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480" w:leftChars="0" w:right="0" w:rightChars="0"/>
        <w:jc w:val="both"/>
        <w:textAlignment w:val="auto"/>
        <w:rPr>
          <w:sz w:val="24"/>
          <w:highlight w:val="none"/>
        </w:rPr>
      </w:pPr>
      <w:r>
        <w:rPr>
          <w:rFonts w:hint="eastAsia"/>
          <w:sz w:val="24"/>
          <w:highlight w:val="none"/>
          <w:lang w:val="en-US" w:eastAsia="zh-CN"/>
        </w:rPr>
        <w:t>23.1.3</w:t>
      </w:r>
      <w:r>
        <w:rPr>
          <w:sz w:val="24"/>
          <w:highlight w:val="none"/>
        </w:rPr>
        <w:t>违约金=日违约金×违约天数。</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480" w:leftChars="0" w:right="0" w:rightChars="0"/>
        <w:jc w:val="both"/>
        <w:textAlignment w:val="auto"/>
        <w:rPr>
          <w:sz w:val="24"/>
          <w:highlight w:val="none"/>
        </w:rPr>
      </w:pPr>
      <w:r>
        <w:rPr>
          <w:rFonts w:hint="eastAsia"/>
          <w:sz w:val="24"/>
          <w:highlight w:val="none"/>
          <w:lang w:val="en-US" w:eastAsia="zh-CN"/>
        </w:rPr>
        <w:t>23.1.4</w:t>
      </w:r>
      <w:r>
        <w:rPr>
          <w:sz w:val="24"/>
          <w:highlight w:val="none"/>
        </w:rPr>
        <w:t>实际损失大于违约金的，违约方还应支付差额部分。</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24．违约终止合同</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24.1</w:t>
      </w:r>
      <w:r>
        <w:rPr>
          <w:sz w:val="24"/>
          <w:highlight w:val="none"/>
        </w:rPr>
        <w:t>在买方对卖方违约而采取的任何补救措施不受影响的情况下，买方可向卖方发出书面违约通知书，提出终止部分或全部合同；</w:t>
      </w:r>
    </w:p>
    <w:p>
      <w:pPr>
        <w:pStyle w:val="17"/>
        <w:keepNext w:val="0"/>
        <w:keepLines w:val="0"/>
        <w:pageBreakBefore w:val="0"/>
        <w:widowControl w:val="0"/>
        <w:numPr>
          <w:ilvl w:val="0"/>
          <w:numId w:val="0"/>
        </w:numPr>
        <w:tabs>
          <w:tab w:val="left" w:pos="112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3"/>
          <w:sz w:val="24"/>
          <w:highlight w:val="none"/>
          <w:lang w:val="en-US" w:eastAsia="zh-CN"/>
        </w:rPr>
        <w:t>24.1.1</w:t>
      </w:r>
      <w:r>
        <w:rPr>
          <w:spacing w:val="-3"/>
          <w:sz w:val="24"/>
          <w:highlight w:val="none"/>
        </w:rPr>
        <w:t xml:space="preserve">如果卖方未能在合同规定的限期或买方根据合同条款第 </w:t>
      </w:r>
      <w:r>
        <w:rPr>
          <w:sz w:val="24"/>
          <w:highlight w:val="none"/>
        </w:rPr>
        <w:t>21.2</w:t>
      </w:r>
      <w:r>
        <w:rPr>
          <w:spacing w:val="-15"/>
          <w:sz w:val="24"/>
          <w:highlight w:val="none"/>
        </w:rPr>
        <w:t xml:space="preserve"> 条的规定同意延长的期限内提供部分或全部货物；</w:t>
      </w:r>
    </w:p>
    <w:p>
      <w:pPr>
        <w:pStyle w:val="17"/>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right="0" w:rightChars="0" w:firstLine="240" w:firstLineChars="100"/>
        <w:jc w:val="both"/>
        <w:textAlignment w:val="auto"/>
        <w:rPr>
          <w:sz w:val="24"/>
          <w:highlight w:val="none"/>
        </w:rPr>
      </w:pPr>
      <w:r>
        <w:rPr>
          <w:rFonts w:hint="eastAsia"/>
          <w:sz w:val="24"/>
          <w:highlight w:val="none"/>
          <w:lang w:val="en-US" w:eastAsia="zh-CN"/>
        </w:rPr>
        <w:t>24.1.2</w:t>
      </w:r>
      <w:r>
        <w:rPr>
          <w:sz w:val="24"/>
          <w:highlight w:val="none"/>
        </w:rPr>
        <w:t>如果卖方未能履行合同规定的其他任何义务。</w:t>
      </w:r>
    </w:p>
    <w:p>
      <w:pPr>
        <w:pStyle w:val="17"/>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336" w:lineRule="auto"/>
        <w:ind w:right="0" w:rightChars="0" w:firstLine="228" w:firstLineChars="100"/>
        <w:jc w:val="both"/>
        <w:textAlignment w:val="auto"/>
        <w:rPr>
          <w:sz w:val="24"/>
          <w:highlight w:val="none"/>
        </w:rPr>
      </w:pPr>
      <w:r>
        <w:rPr>
          <w:rFonts w:hint="eastAsia"/>
          <w:spacing w:val="-6"/>
          <w:sz w:val="24"/>
          <w:highlight w:val="none"/>
          <w:lang w:val="en-US" w:eastAsia="zh-CN"/>
        </w:rPr>
        <w:t>24.2</w:t>
      </w:r>
      <w:r>
        <w:rPr>
          <w:spacing w:val="-6"/>
          <w:sz w:val="24"/>
          <w:highlight w:val="none"/>
        </w:rPr>
        <w:t xml:space="preserve">如果买方根据上述第 </w:t>
      </w:r>
      <w:r>
        <w:rPr>
          <w:sz w:val="24"/>
          <w:highlight w:val="none"/>
        </w:rPr>
        <w:t>24．1</w:t>
      </w:r>
      <w:r>
        <w:rPr>
          <w:spacing w:val="-8"/>
          <w:sz w:val="24"/>
          <w:highlight w:val="none"/>
        </w:rPr>
        <w:t>条的规定，终止了全部或部分合同，买方</w:t>
      </w:r>
      <w:r>
        <w:rPr>
          <w:spacing w:val="-11"/>
          <w:sz w:val="24"/>
          <w:highlight w:val="none"/>
        </w:rPr>
        <w:t>可以依其认为适当的条件和方法购买与未交货物类似的货物，卖方应承担买方因</w:t>
      </w:r>
      <w:r>
        <w:rPr>
          <w:spacing w:val="-15"/>
          <w:sz w:val="24"/>
          <w:highlight w:val="none"/>
        </w:rPr>
        <w:t>购买类似货物或服务而产生的额外支出。但是，卖方应继续执行合同中未终止的部分。</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25．不可抗力</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25.1</w:t>
      </w:r>
      <w:r>
        <w:rPr>
          <w:sz w:val="24"/>
          <w:highlight w:val="none"/>
        </w:rPr>
        <w:t>签约双方任何一方由于不可抗力事件的影响而不能执行合同时，履行合</w:t>
      </w:r>
      <w:r>
        <w:rPr>
          <w:spacing w:val="-7"/>
          <w:sz w:val="24"/>
          <w:highlight w:val="none"/>
        </w:rPr>
        <w:t>同的期限应予以延长，其延长的期限应相当于事件所影响的时间。不可抗力事件</w:t>
      </w:r>
      <w:r>
        <w:rPr>
          <w:spacing w:val="-12"/>
          <w:sz w:val="24"/>
          <w:highlight w:val="none"/>
        </w:rPr>
        <w:t>系指买卖双方在缔结合同时所不能预见的，并且其发生及其后果是无法避免和无法克服的事件，诸如战争、严重火灾、洪水、台风、地震等。</w:t>
      </w:r>
    </w:p>
    <w:p>
      <w:pPr>
        <w:pStyle w:val="17"/>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36" w:lineRule="auto"/>
        <w:ind w:left="360" w:leftChars="0" w:right="0" w:rightChars="0"/>
        <w:jc w:val="both"/>
        <w:textAlignment w:val="auto"/>
        <w:rPr>
          <w:sz w:val="24"/>
          <w:highlight w:val="none"/>
        </w:rPr>
      </w:pPr>
      <w:r>
        <w:rPr>
          <w:rFonts w:hint="eastAsia"/>
          <w:spacing w:val="-4"/>
          <w:sz w:val="24"/>
          <w:highlight w:val="none"/>
          <w:lang w:val="en-US" w:eastAsia="zh-CN"/>
        </w:rPr>
        <w:t>25.2</w:t>
      </w:r>
      <w:r>
        <w:rPr>
          <w:spacing w:val="-4"/>
          <w:sz w:val="24"/>
          <w:highlight w:val="none"/>
        </w:rPr>
        <w:t>受阻一方应在不可抗力事件发生后尽快用传真或电传通知对方，并于事</w:t>
      </w:r>
      <w:r>
        <w:rPr>
          <w:spacing w:val="-11"/>
          <w:sz w:val="24"/>
          <w:highlight w:val="none"/>
        </w:rPr>
        <w:t>件发生后十四（14）</w:t>
      </w:r>
      <w:r>
        <w:rPr>
          <w:sz w:val="24"/>
          <w:highlight w:val="none"/>
        </w:rPr>
        <w:t>天内将有关当局出具的证明用特快专递或挂号信寄给对方审阅确认。一旦发生不可抗事件的影响持续一百二十天（120）天以上，双方应通过友好协商在合理的时间内达成进一步履行合同的协议。</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26．因破产而终止合同</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360"/>
        <w:jc w:val="both"/>
        <w:textAlignment w:val="auto"/>
        <w:rPr>
          <w:highlight w:val="none"/>
        </w:rPr>
      </w:pPr>
      <w:r>
        <w:rPr>
          <w:highlight w:val="none"/>
        </w:rPr>
        <w:t xml:space="preserve">26.1 如果卖方破产或无清偿能力，买方可在任何时候以书面形式通知卖方， </w:t>
      </w:r>
      <w:r>
        <w:rPr>
          <w:spacing w:val="-7"/>
          <w:highlight w:val="none"/>
        </w:rPr>
        <w:t>提出终止合同而不给卖方补偿。该终止合同将不损害或影响买方已经采取或将要采取的任何行动或补救措施的权利。</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27．因买方的便利而终止合同</w:t>
      </w:r>
    </w:p>
    <w:p>
      <w:pPr>
        <w:pStyle w:val="17"/>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36" w:lineRule="auto"/>
        <w:ind w:left="360" w:leftChars="0" w:right="0" w:rightChars="0"/>
        <w:jc w:val="both"/>
        <w:textAlignment w:val="auto"/>
        <w:rPr>
          <w:sz w:val="24"/>
          <w:highlight w:val="none"/>
        </w:rPr>
      </w:pPr>
      <w:r>
        <w:rPr>
          <w:rFonts w:hint="eastAsia"/>
          <w:sz w:val="24"/>
          <w:highlight w:val="none"/>
          <w:lang w:val="en-US" w:eastAsia="zh-CN"/>
        </w:rPr>
        <w:t>27.1</w:t>
      </w:r>
      <w:r>
        <w:rPr>
          <w:sz w:val="24"/>
          <w:highlight w:val="none"/>
        </w:rPr>
        <w:t xml:space="preserve">买方可在任何时候出于自身的便利向卖方发出书面通知全部或部分终 </w:t>
      </w:r>
      <w:r>
        <w:rPr>
          <w:spacing w:val="-15"/>
          <w:sz w:val="24"/>
          <w:highlight w:val="none"/>
        </w:rPr>
        <w:t>止合同，终止通知应明确该终止合同是出于买方的便利，并明确合同终止的程度， 以及终止的生效日期。</w:t>
      </w:r>
    </w:p>
    <w:p>
      <w:pPr>
        <w:pStyle w:val="17"/>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336" w:lineRule="auto"/>
        <w:ind w:left="480" w:leftChars="0" w:right="0" w:rightChars="0"/>
        <w:jc w:val="both"/>
        <w:textAlignment w:val="auto"/>
        <w:rPr>
          <w:sz w:val="24"/>
          <w:highlight w:val="none"/>
        </w:rPr>
      </w:pPr>
      <w:r>
        <w:rPr>
          <w:rFonts w:hint="eastAsia"/>
          <w:sz w:val="24"/>
          <w:highlight w:val="none"/>
          <w:lang w:val="en-US" w:eastAsia="zh-CN"/>
        </w:rPr>
        <w:t>27.2</w:t>
      </w:r>
      <w:r>
        <w:rPr>
          <w:sz w:val="24"/>
          <w:highlight w:val="none"/>
        </w:rPr>
        <w:t>对卖方在收到终止通知后三十(30)天内已完成并准备装运的货物，经买方确认后买方应按原合同价格和条款予以接收，对于剩下的货物，买方可：</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480" w:leftChars="0" w:right="0" w:rightChars="0"/>
        <w:jc w:val="both"/>
        <w:textAlignment w:val="auto"/>
        <w:rPr>
          <w:sz w:val="24"/>
          <w:highlight w:val="none"/>
        </w:rPr>
      </w:pPr>
      <w:r>
        <w:rPr>
          <w:rFonts w:hint="eastAsia"/>
          <w:sz w:val="24"/>
          <w:highlight w:val="none"/>
          <w:lang w:val="en-US" w:eastAsia="zh-CN"/>
        </w:rPr>
        <w:t>27.2.1</w:t>
      </w:r>
      <w:r>
        <w:rPr>
          <w:sz w:val="24"/>
          <w:highlight w:val="none"/>
        </w:rPr>
        <w:t>仅对部分货物按照原来的合同价格和条款予以接受；或</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336" w:lineRule="auto"/>
        <w:ind w:left="480" w:leftChars="0" w:right="0" w:rightChars="0"/>
        <w:jc w:val="both"/>
        <w:textAlignment w:val="auto"/>
        <w:rPr>
          <w:sz w:val="24"/>
          <w:highlight w:val="none"/>
        </w:rPr>
      </w:pPr>
      <w:r>
        <w:rPr>
          <w:rFonts w:hint="eastAsia"/>
          <w:sz w:val="24"/>
          <w:highlight w:val="none"/>
          <w:lang w:val="en-US" w:eastAsia="zh-CN"/>
        </w:rPr>
        <w:t>27.2.2</w:t>
      </w:r>
      <w:r>
        <w:rPr>
          <w:sz w:val="24"/>
          <w:highlight w:val="none"/>
        </w:rPr>
        <w:t>取消对所剩货物的采购，并按双方商定的金额向卖方支付部分完成的货物和服务，以及卖方以前已采购的材料和部件的费用。</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28．争端的解决</w:t>
      </w:r>
    </w:p>
    <w:p>
      <w:pPr>
        <w:pStyle w:val="17"/>
        <w:keepNext w:val="0"/>
        <w:keepLines w:val="0"/>
        <w:pageBreakBefore w:val="0"/>
        <w:widowControl w:val="0"/>
        <w:numPr>
          <w:ilvl w:val="0"/>
          <w:numId w:val="0"/>
        </w:numPr>
        <w:tabs>
          <w:tab w:val="left" w:pos="1318"/>
        </w:tabs>
        <w:kinsoku/>
        <w:wordWrap/>
        <w:overflowPunct/>
        <w:topLinePunct w:val="0"/>
        <w:autoSpaceDE w:val="0"/>
        <w:autoSpaceDN w:val="0"/>
        <w:bidi w:val="0"/>
        <w:adjustRightInd/>
        <w:snapToGrid/>
        <w:spacing w:before="0" w:after="0" w:line="336" w:lineRule="auto"/>
        <w:ind w:left="600" w:leftChars="0" w:right="0" w:rightChars="0"/>
        <w:jc w:val="both"/>
        <w:textAlignment w:val="auto"/>
        <w:rPr>
          <w:sz w:val="24"/>
          <w:highlight w:val="none"/>
        </w:rPr>
      </w:pPr>
      <w:r>
        <w:rPr>
          <w:rFonts w:hint="eastAsia"/>
          <w:spacing w:val="-4"/>
          <w:sz w:val="24"/>
          <w:highlight w:val="none"/>
          <w:lang w:val="en-US" w:eastAsia="zh-CN"/>
        </w:rPr>
        <w:t>28.1</w:t>
      </w:r>
      <w:r>
        <w:rPr>
          <w:spacing w:val="-4"/>
          <w:sz w:val="24"/>
          <w:highlight w:val="none"/>
        </w:rPr>
        <w:t>合同实施或与合同有关的一切争端应通过双方友好协商解决，协商不成，提交当地仲裁委员会仲裁。</w:t>
      </w:r>
    </w:p>
    <w:p>
      <w:pPr>
        <w:pStyle w:val="17"/>
        <w:keepNext w:val="0"/>
        <w:keepLines w:val="0"/>
        <w:pageBreakBefore w:val="0"/>
        <w:widowControl w:val="0"/>
        <w:numPr>
          <w:ilvl w:val="0"/>
          <w:numId w:val="0"/>
        </w:numPr>
        <w:tabs>
          <w:tab w:val="left" w:pos="1318"/>
        </w:tabs>
        <w:kinsoku/>
        <w:wordWrap/>
        <w:overflowPunct/>
        <w:topLinePunct w:val="0"/>
        <w:autoSpaceDE w:val="0"/>
        <w:autoSpaceDN w:val="0"/>
        <w:bidi w:val="0"/>
        <w:adjustRightInd/>
        <w:snapToGrid/>
        <w:spacing w:before="0" w:after="0" w:line="240" w:lineRule="auto"/>
        <w:ind w:left="600" w:leftChars="0" w:right="0" w:rightChars="0"/>
        <w:jc w:val="both"/>
        <w:textAlignment w:val="auto"/>
        <w:rPr>
          <w:sz w:val="24"/>
          <w:highlight w:val="none"/>
        </w:rPr>
      </w:pPr>
      <w:r>
        <w:rPr>
          <w:rFonts w:hint="eastAsia"/>
          <w:sz w:val="24"/>
          <w:highlight w:val="none"/>
          <w:lang w:val="en-US" w:eastAsia="zh-CN"/>
        </w:rPr>
        <w:t>28.2</w:t>
      </w:r>
      <w:r>
        <w:rPr>
          <w:sz w:val="24"/>
          <w:highlight w:val="none"/>
        </w:rPr>
        <w:t>仲裁应由双方商定的仲裁委员会根据其仲裁规则和程序进行。</w:t>
      </w:r>
    </w:p>
    <w:p>
      <w:pPr>
        <w:pStyle w:val="17"/>
        <w:keepNext w:val="0"/>
        <w:keepLines w:val="0"/>
        <w:pageBreakBefore w:val="0"/>
        <w:widowControl w:val="0"/>
        <w:numPr>
          <w:ilvl w:val="0"/>
          <w:numId w:val="0"/>
        </w:numPr>
        <w:tabs>
          <w:tab w:val="left" w:pos="1318"/>
        </w:tabs>
        <w:kinsoku/>
        <w:wordWrap/>
        <w:overflowPunct/>
        <w:topLinePunct w:val="0"/>
        <w:autoSpaceDE w:val="0"/>
        <w:autoSpaceDN w:val="0"/>
        <w:bidi w:val="0"/>
        <w:adjustRightInd/>
        <w:snapToGrid/>
        <w:spacing w:before="0" w:after="0" w:line="240" w:lineRule="auto"/>
        <w:ind w:left="600" w:leftChars="0" w:right="0" w:rightChars="0"/>
        <w:jc w:val="both"/>
        <w:textAlignment w:val="auto"/>
        <w:rPr>
          <w:sz w:val="24"/>
          <w:highlight w:val="none"/>
        </w:rPr>
      </w:pPr>
      <w:r>
        <w:rPr>
          <w:rFonts w:hint="eastAsia"/>
          <w:spacing w:val="-17"/>
          <w:sz w:val="24"/>
          <w:highlight w:val="none"/>
          <w:lang w:val="en-US" w:eastAsia="zh-CN"/>
        </w:rPr>
        <w:t>28.3</w:t>
      </w:r>
      <w:r>
        <w:rPr>
          <w:spacing w:val="-17"/>
          <w:sz w:val="24"/>
          <w:highlight w:val="none"/>
        </w:rPr>
        <w:t>在仲裁期间，除正在进行仲裁的部分外，本合同其他部分应继续执行。</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29．适用法律</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29.1</w:t>
      </w:r>
      <w:r>
        <w:rPr>
          <w:spacing w:val="-9"/>
          <w:highlight w:val="none"/>
        </w:rPr>
        <w:t xml:space="preserve"> 本合同应按照中华人民共和国现行有效的法律、法规、规章进行解释。</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30．其 它</w:t>
      </w:r>
    </w:p>
    <w:p>
      <w:pPr>
        <w:pStyle w:val="17"/>
        <w:keepNext w:val="0"/>
        <w:keepLines w:val="0"/>
        <w:pageBreakBefore w:val="0"/>
        <w:widowControl w:val="0"/>
        <w:numPr>
          <w:ilvl w:val="0"/>
          <w:numId w:val="0"/>
        </w:numPr>
        <w:tabs>
          <w:tab w:val="left" w:pos="1229"/>
        </w:tabs>
        <w:kinsoku/>
        <w:wordWrap/>
        <w:overflowPunct/>
        <w:topLinePunct w:val="0"/>
        <w:autoSpaceDE w:val="0"/>
        <w:autoSpaceDN w:val="0"/>
        <w:bidi w:val="0"/>
        <w:adjustRightInd/>
        <w:snapToGrid/>
        <w:spacing w:before="0" w:after="0" w:line="336" w:lineRule="auto"/>
        <w:ind w:left="600" w:leftChars="0" w:right="0" w:rightChars="0"/>
        <w:jc w:val="both"/>
        <w:textAlignment w:val="auto"/>
        <w:rPr>
          <w:sz w:val="24"/>
          <w:highlight w:val="none"/>
        </w:rPr>
      </w:pPr>
      <w:r>
        <w:rPr>
          <w:rFonts w:hint="eastAsia"/>
          <w:sz w:val="24"/>
          <w:highlight w:val="none"/>
          <w:lang w:val="en-US" w:eastAsia="zh-CN"/>
        </w:rPr>
        <w:t>30.1</w:t>
      </w:r>
      <w:r>
        <w:rPr>
          <w:sz w:val="24"/>
          <w:highlight w:val="none"/>
        </w:rPr>
        <w:t>本合同一方给对方的通知应用书面形式或电传或传真送到合同中规定的对方的地址。电传或传真要经书面确认。</w:t>
      </w:r>
    </w:p>
    <w:p>
      <w:pPr>
        <w:pStyle w:val="17"/>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338" w:lineRule="auto"/>
        <w:ind w:left="480" w:leftChars="0" w:right="0" w:rightChars="0"/>
        <w:jc w:val="both"/>
        <w:textAlignment w:val="auto"/>
        <w:rPr>
          <w:sz w:val="24"/>
          <w:highlight w:val="none"/>
        </w:rPr>
      </w:pPr>
      <w:r>
        <w:rPr>
          <w:rFonts w:hint="eastAsia"/>
          <w:sz w:val="24"/>
          <w:highlight w:val="none"/>
          <w:lang w:val="en-US" w:eastAsia="zh-CN"/>
        </w:rPr>
        <w:t>30.2</w:t>
      </w:r>
      <w:r>
        <w:rPr>
          <w:sz w:val="24"/>
          <w:highlight w:val="none"/>
        </w:rPr>
        <w:t>本合同一方发出的通知、要求或其他通讯应依下列规定视作已经送达对方：</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780" w:leftChars="0" w:right="0" w:rightChars="0" w:firstLine="720" w:firstLineChars="300"/>
        <w:jc w:val="both"/>
        <w:textAlignment w:val="auto"/>
        <w:rPr>
          <w:sz w:val="24"/>
          <w:highlight w:val="none"/>
        </w:rPr>
      </w:pPr>
      <w:r>
        <w:rPr>
          <w:rFonts w:hint="eastAsia"/>
          <w:sz w:val="24"/>
          <w:highlight w:val="none"/>
          <w:lang w:val="en-US" w:eastAsia="zh-CN"/>
        </w:rPr>
        <w:t>30.1.1</w:t>
      </w:r>
      <w:r>
        <w:rPr>
          <w:sz w:val="24"/>
          <w:highlight w:val="none"/>
        </w:rPr>
        <w:t>如以挂号信邮寄，在投邮后三天后视为收讫；</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780" w:leftChars="0" w:right="0" w:rightChars="0" w:firstLine="720" w:firstLineChars="300"/>
        <w:jc w:val="both"/>
        <w:textAlignment w:val="auto"/>
        <w:rPr>
          <w:sz w:val="24"/>
          <w:highlight w:val="none"/>
        </w:rPr>
      </w:pPr>
      <w:r>
        <w:rPr>
          <w:rFonts w:hint="eastAsia"/>
          <w:sz w:val="24"/>
          <w:highlight w:val="none"/>
          <w:lang w:val="en-US" w:eastAsia="zh-CN"/>
        </w:rPr>
        <w:t>30.1.2</w:t>
      </w:r>
      <w:r>
        <w:rPr>
          <w:sz w:val="24"/>
          <w:highlight w:val="none"/>
        </w:rPr>
        <w:t>如直接交付，在交付时视为收讫；</w:t>
      </w:r>
    </w:p>
    <w:p>
      <w:pPr>
        <w:pStyle w:val="17"/>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780" w:leftChars="0" w:right="0" w:rightChars="0" w:firstLine="720" w:firstLineChars="300"/>
        <w:jc w:val="both"/>
        <w:textAlignment w:val="auto"/>
        <w:rPr>
          <w:sz w:val="24"/>
          <w:highlight w:val="none"/>
        </w:rPr>
      </w:pPr>
      <w:r>
        <w:rPr>
          <w:rFonts w:hint="eastAsia"/>
          <w:sz w:val="24"/>
          <w:highlight w:val="none"/>
          <w:lang w:val="en-US" w:eastAsia="zh-CN"/>
        </w:rPr>
        <w:t>30.1.3</w:t>
      </w:r>
      <w:r>
        <w:rPr>
          <w:sz w:val="24"/>
          <w:highlight w:val="none"/>
        </w:rPr>
        <w:t>如以特快专递发送，在发出二天后视为收讫。</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31．有关税费</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firstLine="240"/>
        <w:jc w:val="both"/>
        <w:textAlignment w:val="auto"/>
        <w:rPr>
          <w:highlight w:val="none"/>
        </w:rPr>
      </w:pPr>
      <w:r>
        <w:rPr>
          <w:highlight w:val="none"/>
        </w:rPr>
        <w:t>31.1 中国政府根据现行税法对买方征收的与本合同有关的一切税费均应由买方负担，对卖方征收的税费由卖方承担。</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32．合同生效及其他</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z w:val="24"/>
          <w:highlight w:val="none"/>
          <w:lang w:val="en-US" w:eastAsia="zh-CN"/>
        </w:rPr>
        <w:t>32.1</w:t>
      </w:r>
      <w:r>
        <w:rPr>
          <w:sz w:val="24"/>
          <w:highlight w:val="none"/>
        </w:rPr>
        <w:t>本通用合同条款应在双方签字、盖章以及合同正文中规定的其他条件成立后生效。</w:t>
      </w:r>
    </w:p>
    <w:p>
      <w:pPr>
        <w:pStyle w:val="17"/>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z w:val="24"/>
          <w:highlight w:val="none"/>
          <w:lang w:val="en-US" w:eastAsia="zh-CN"/>
        </w:rPr>
        <w:t>32.2</w:t>
      </w:r>
      <w:r>
        <w:rPr>
          <w:spacing w:val="-3"/>
          <w:sz w:val="24"/>
          <w:highlight w:val="none"/>
        </w:rPr>
        <w:t>本通用合同条款有附件（</w:t>
      </w:r>
      <w:r>
        <w:rPr>
          <w:spacing w:val="-2"/>
          <w:sz w:val="24"/>
          <w:highlight w:val="none"/>
        </w:rPr>
        <w:t>见“合同条款资料表”</w:t>
      </w:r>
      <w:r>
        <w:rPr>
          <w:spacing w:val="-20"/>
          <w:sz w:val="24"/>
          <w:highlight w:val="none"/>
        </w:rPr>
        <w:t>），</w:t>
      </w:r>
      <w:r>
        <w:rPr>
          <w:sz w:val="24"/>
          <w:highlight w:val="none"/>
        </w:rPr>
        <w:t>本通用合同条款的附件为合同不可分割的部分，并与合同其他条款具有同等效力。</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w w:val="95"/>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w w:val="95"/>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w w:val="95"/>
          <w:highlight w:val="none"/>
        </w:rPr>
        <w:t>合同条款资料表</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w w:val="95"/>
          <w:highlight w:val="none"/>
        </w:rPr>
      </w:pPr>
    </w:p>
    <w:p>
      <w:pPr>
        <w:rPr>
          <w:rFonts w:hint="eastAsia" w:eastAsia="宋体"/>
          <w:w w:val="95"/>
          <w:highlight w:val="none"/>
          <w:lang w:val="en-US" w:eastAsia="zh-CN"/>
        </w:rPr>
      </w:pPr>
      <w:r>
        <w:rPr>
          <w:spacing w:val="-4"/>
          <w:highlight w:val="none"/>
        </w:rPr>
        <w:t>本合同条款资料表为“合同条款”中有关条款的补充或修正，如两者有不一致，以本合同条款资料表为</w:t>
      </w:r>
      <w:r>
        <w:rPr>
          <w:rFonts w:hint="eastAsia"/>
          <w:spacing w:val="-4"/>
          <w:highlight w:val="none"/>
          <w:lang w:val="en-US" w:eastAsia="zh-CN"/>
        </w:rPr>
        <w:t>准。</w:t>
      </w:r>
    </w:p>
    <w:tbl>
      <w:tblPr>
        <w:tblStyle w:val="1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10" w:type="dxa"/>
            <w:vAlign w:val="center"/>
          </w:tcPr>
          <w:p>
            <w:pPr>
              <w:pStyle w:val="2"/>
              <w:jc w:val="center"/>
              <w:rPr>
                <w:rFonts w:hint="eastAsia" w:asciiTheme="majorEastAsia" w:hAnsiTheme="majorEastAsia" w:eastAsiaTheme="majorEastAsia" w:cstheme="majorEastAsia"/>
                <w:b/>
                <w:bCs w:val="0"/>
                <w:w w:val="95"/>
                <w:highlight w:val="none"/>
                <w:vertAlign w:val="baseline"/>
              </w:rPr>
            </w:pPr>
            <w:r>
              <w:rPr>
                <w:rFonts w:hint="eastAsia" w:asciiTheme="majorEastAsia" w:hAnsiTheme="majorEastAsia" w:eastAsiaTheme="majorEastAsia" w:cstheme="majorEastAsia"/>
                <w:b/>
                <w:bCs w:val="0"/>
                <w:sz w:val="24"/>
                <w:highlight w:val="none"/>
              </w:rPr>
              <w:t>序号</w:t>
            </w:r>
          </w:p>
        </w:tc>
        <w:tc>
          <w:tcPr>
            <w:tcW w:w="8415" w:type="dxa"/>
            <w:vAlign w:val="center"/>
          </w:tcPr>
          <w:p>
            <w:pPr>
              <w:pStyle w:val="2"/>
              <w:jc w:val="center"/>
              <w:rPr>
                <w:rFonts w:hint="eastAsia" w:asciiTheme="majorEastAsia" w:hAnsiTheme="majorEastAsia" w:eastAsiaTheme="majorEastAsia" w:cstheme="majorEastAsia"/>
                <w:b/>
                <w:bCs w:val="0"/>
                <w:w w:val="95"/>
                <w:highlight w:val="none"/>
                <w:vertAlign w:val="baseline"/>
              </w:rPr>
            </w:pPr>
            <w:r>
              <w:rPr>
                <w:rFonts w:hint="eastAsia" w:asciiTheme="majorEastAsia" w:hAnsiTheme="majorEastAsia" w:eastAsiaTheme="majorEastAsia" w:cstheme="majorEastAsia"/>
                <w:b/>
                <w:bCs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w w:val="95"/>
                <w:highlight w:val="none"/>
                <w:vertAlign w:val="baseline"/>
                <w:lang w:val="en-US" w:eastAsia="zh-CN"/>
              </w:rPr>
              <w:t>1</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2</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合同价格为：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3</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买方（采购人）：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4</w:t>
            </w:r>
          </w:p>
        </w:tc>
        <w:tc>
          <w:tcPr>
            <w:tcW w:w="8415" w:type="dxa"/>
          </w:tcPr>
          <w:p>
            <w:pPr>
              <w:pStyle w:val="2"/>
              <w:jc w:val="both"/>
              <w:rPr>
                <w:rFonts w:hint="eastAsia" w:asciiTheme="majorEastAsia" w:hAnsiTheme="majorEastAsia" w:eastAsiaTheme="majorEastAsia" w:cstheme="majorEastAsia"/>
                <w:b w:val="0"/>
                <w:bCs/>
                <w:sz w:val="24"/>
                <w:highlight w:val="none"/>
              </w:rPr>
            </w:pPr>
            <w:r>
              <w:rPr>
                <w:rFonts w:hint="eastAsia" w:asciiTheme="majorEastAsia" w:hAnsiTheme="majorEastAsia" w:eastAsiaTheme="majorEastAsia" w:cstheme="majorEastAsia"/>
                <w:b w:val="0"/>
                <w:bCs/>
                <w:sz w:val="24"/>
                <w:highlight w:val="none"/>
              </w:rPr>
              <w:t xml:space="preserve">卖方（中标方）： </w:t>
            </w:r>
          </w:p>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5</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交货安装、调试现场：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6</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内陆运输需办运输保险，费用在内陆运输费中，计入投标价。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7</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tcPr>
          <w:p>
            <w:pPr>
              <w:pStyle w:val="2"/>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8</w:t>
            </w:r>
          </w:p>
        </w:tc>
        <w:tc>
          <w:tcPr>
            <w:tcW w:w="8415" w:type="dxa"/>
          </w:tcPr>
          <w:p>
            <w:pPr>
              <w:pStyle w:val="2"/>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质量保证期必须符合国家相关规定。（质保期内卖方提供免费保养）</w:t>
            </w:r>
          </w:p>
        </w:tc>
      </w:tr>
    </w:tbl>
    <w:p>
      <w:pPr>
        <w:pStyle w:val="2"/>
        <w:rPr>
          <w:w w:val="95"/>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right="0"/>
        <w:jc w:val="both"/>
        <w:textAlignment w:val="auto"/>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sectPr>
          <w:footerReference r:id="rId8" w:type="default"/>
          <w:pgSz w:w="11910" w:h="16840"/>
          <w:pgMar w:top="1480" w:right="940" w:bottom="880" w:left="1680" w:header="0" w:footer="686" w:gutter="0"/>
          <w:pgBorders>
            <w:top w:val="none" w:sz="0" w:space="0"/>
            <w:left w:val="none" w:sz="0" w:space="0"/>
            <w:bottom w:val="none" w:sz="0" w:space="0"/>
            <w:right w:val="none" w:sz="0" w:space="0"/>
          </w:pgBorders>
          <w:pgNumType w:fmt="decimal"/>
        </w:sectPr>
      </w:pPr>
    </w:p>
    <w:p>
      <w:pPr>
        <w:pStyle w:val="8"/>
        <w:keepNext w:val="0"/>
        <w:keepLines w:val="0"/>
        <w:pageBreakBefore w:val="0"/>
        <w:widowControl w:val="0"/>
        <w:tabs>
          <w:tab w:val="left" w:pos="1319"/>
        </w:tabs>
        <w:kinsoku/>
        <w:wordWrap/>
        <w:overflowPunct/>
        <w:topLinePunct w:val="0"/>
        <w:autoSpaceDE w:val="0"/>
        <w:autoSpaceDN w:val="0"/>
        <w:bidi w:val="0"/>
        <w:adjustRightInd/>
        <w:snapToGrid/>
        <w:spacing w:before="0" w:after="0"/>
        <w:ind w:left="0" w:right="0"/>
        <w:jc w:val="both"/>
        <w:textAlignment w:val="auto"/>
        <w:rPr>
          <w:highlight w:val="none"/>
        </w:rPr>
      </w:pPr>
      <w:bookmarkStart w:id="1" w:name="第五部分  投标文件（格式）"/>
      <w:bookmarkEnd w:id="1"/>
    </w:p>
    <w:p>
      <w:pPr>
        <w:pStyle w:val="8"/>
        <w:keepNext w:val="0"/>
        <w:keepLines w:val="0"/>
        <w:pageBreakBefore w:val="0"/>
        <w:widowControl w:val="0"/>
        <w:tabs>
          <w:tab w:val="left" w:pos="1319"/>
        </w:tabs>
        <w:kinsoku/>
        <w:wordWrap/>
        <w:overflowPunct/>
        <w:topLinePunct w:val="0"/>
        <w:autoSpaceDE w:val="0"/>
        <w:autoSpaceDN w:val="0"/>
        <w:bidi w:val="0"/>
        <w:adjustRightInd/>
        <w:snapToGrid/>
        <w:spacing w:before="0" w:after="0"/>
        <w:ind w:left="0" w:right="0"/>
        <w:jc w:val="center"/>
        <w:textAlignment w:val="auto"/>
        <w:rPr>
          <w:sz w:val="36"/>
          <w:szCs w:val="36"/>
          <w:highlight w:val="none"/>
        </w:rPr>
      </w:pPr>
      <w:r>
        <w:rPr>
          <w:sz w:val="36"/>
          <w:szCs w:val="36"/>
          <w:highlight w:val="none"/>
        </w:rPr>
        <w:t>第</w:t>
      </w:r>
      <w:r>
        <w:rPr>
          <w:rFonts w:hint="eastAsia"/>
          <w:sz w:val="36"/>
          <w:szCs w:val="36"/>
          <w:highlight w:val="none"/>
          <w:lang w:val="en-US" w:eastAsia="zh-CN"/>
        </w:rPr>
        <w:t>六章</w:t>
      </w:r>
      <w:r>
        <w:rPr>
          <w:sz w:val="36"/>
          <w:szCs w:val="36"/>
          <w:highlight w:val="none"/>
        </w:rPr>
        <w:tab/>
      </w:r>
      <w:r>
        <w:rPr>
          <w:w w:val="95"/>
          <w:sz w:val="36"/>
          <w:szCs w:val="36"/>
          <w:highlight w:val="none"/>
        </w:rPr>
        <w:t>投标文件（格式）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24"/>
          <w:szCs w:val="36"/>
          <w:highlight w:val="none"/>
        </w:rPr>
      </w:pPr>
      <w:r>
        <w:rPr>
          <w:rFonts w:hint="eastAsia"/>
          <w:b/>
          <w:sz w:val="28"/>
          <w:szCs w:val="40"/>
          <w:highlight w:val="none"/>
        </w:rPr>
        <w:t>投标密封袋及文件封面格式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right"/>
        <w:textAlignment w:val="auto"/>
        <w:rPr>
          <w:rFonts w:hint="eastAsia"/>
          <w:b/>
          <w:bCs/>
          <w:sz w:val="28"/>
          <w:szCs w:val="36"/>
          <w:highlight w:val="none"/>
          <w:lang w:val="en-US" w:eastAsia="zh-CN"/>
        </w:rPr>
      </w:pPr>
      <w:r>
        <w:rPr>
          <w:rFonts w:hint="eastAsia"/>
          <w:b/>
          <w:bCs/>
          <w:sz w:val="28"/>
          <w:szCs w:val="36"/>
          <w:highlight w:val="none"/>
          <w:lang w:val="en-US" w:eastAsia="zh-CN"/>
        </w:rPr>
        <w:t>正本或副本</w:t>
      </w:r>
    </w:p>
    <w:p>
      <w:pPr>
        <w:pStyle w:val="2"/>
        <w:rPr>
          <w:rFonts w:hint="default"/>
          <w:highlight w:val="none"/>
          <w:lang w:val="en-US" w:eastAsia="zh-CN"/>
        </w:rPr>
      </w:pPr>
    </w:p>
    <w:p>
      <w:pPr>
        <w:pStyle w:val="2"/>
        <w:rPr>
          <w:sz w:val="20"/>
          <w:highlight w:val="none"/>
        </w:rPr>
      </w:pPr>
    </w:p>
    <w:p>
      <w:pPr>
        <w:pStyle w:val="2"/>
        <w:rPr>
          <w:sz w:val="20"/>
          <w:highlight w:val="none"/>
        </w:rPr>
      </w:pPr>
    </w:p>
    <w:p>
      <w:pPr>
        <w:pStyle w:val="2"/>
        <w:rPr>
          <w:rFonts w:hint="eastAsia"/>
          <w:sz w:val="24"/>
          <w:szCs w:val="32"/>
          <w:highlight w:val="none"/>
          <w:lang w:val="en-US" w:eastAsia="zh-CN"/>
        </w:rPr>
      </w:pPr>
      <w:r>
        <w:rPr>
          <w:rFonts w:hint="eastAsia"/>
          <w:sz w:val="24"/>
          <w:szCs w:val="32"/>
          <w:highlight w:val="none"/>
          <w:lang w:val="en-US" w:eastAsia="zh-CN"/>
        </w:rPr>
        <w:t>项目名称：</w:t>
      </w:r>
    </w:p>
    <w:p>
      <w:pPr>
        <w:pStyle w:val="2"/>
        <w:rPr>
          <w:rFonts w:hint="eastAsia"/>
          <w:sz w:val="24"/>
          <w:szCs w:val="32"/>
          <w:highlight w:val="none"/>
          <w:lang w:val="en-US" w:eastAsia="zh-CN"/>
        </w:rPr>
      </w:pPr>
    </w:p>
    <w:p>
      <w:pPr>
        <w:pStyle w:val="2"/>
        <w:rPr>
          <w:rFonts w:hint="default"/>
          <w:sz w:val="24"/>
          <w:szCs w:val="32"/>
          <w:highlight w:val="none"/>
          <w:lang w:val="en-US" w:eastAsia="zh-CN"/>
        </w:rPr>
        <w:sectPr>
          <w:pgSz w:w="11910" w:h="16840"/>
          <w:pgMar w:top="1580" w:right="1680" w:bottom="880" w:left="1680" w:header="0" w:footer="686" w:gutter="0"/>
          <w:pgBorders>
            <w:top w:val="none" w:sz="0" w:space="0"/>
            <w:left w:val="none" w:sz="0" w:space="0"/>
            <w:bottom w:val="none" w:sz="0" w:space="0"/>
            <w:right w:val="none" w:sz="0" w:space="0"/>
          </w:pgBorders>
          <w:pgNumType w:fmt="decimal"/>
        </w:sectPr>
      </w:pPr>
      <w:r>
        <w:rPr>
          <w:rFonts w:hint="eastAsia"/>
          <w:sz w:val="24"/>
          <w:szCs w:val="32"/>
          <w:highlight w:val="none"/>
          <w:lang w:val="en-US" w:eastAsia="zh-CN"/>
        </w:rPr>
        <w:t>项目编号：</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b/>
          <w:sz w:val="20"/>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b/>
          <w:sz w:val="20"/>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b/>
          <w:sz w:val="20"/>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b/>
          <w:sz w:val="72"/>
          <w:szCs w:val="72"/>
          <w:highlight w:val="none"/>
          <w:lang w:val="en-US" w:eastAsia="zh-CN"/>
        </w:rPr>
      </w:pPr>
      <w:r>
        <w:rPr>
          <w:rFonts w:hint="eastAsia"/>
          <w:b/>
          <w:sz w:val="72"/>
          <w:szCs w:val="72"/>
          <w:highlight w:val="none"/>
          <w:lang w:val="en-US" w:eastAsia="zh-CN"/>
        </w:rPr>
        <w:t>投标文件</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3"/>
          <w:highlight w:val="none"/>
        </w:rPr>
      </w:pP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供应商全称：</w:t>
      </w:r>
      <w:r>
        <w:rPr>
          <w:highlight w:val="none"/>
          <w:u w:val="single"/>
        </w:rPr>
        <w:t xml:space="preserve"> </w:t>
      </w:r>
      <w:r>
        <w:rPr>
          <w:highlight w:val="none"/>
          <w:u w:val="single"/>
        </w:rPr>
        <w:tab/>
      </w:r>
      <w:r>
        <w:rPr>
          <w:highlight w:val="none"/>
        </w:rPr>
        <w:t>（加盖单位公章）</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ascii="Times New Roman" w:eastAsia="Times New Roman"/>
          <w:spacing w:val="28"/>
          <w:highlight w:val="none"/>
          <w:u w:val="single"/>
        </w:rPr>
      </w:pPr>
      <w:r>
        <w:rPr>
          <w:spacing w:val="-1"/>
          <w:highlight w:val="none"/>
        </w:rPr>
        <w:t>法</w:t>
      </w:r>
      <w:r>
        <w:rPr>
          <w:highlight w:val="none"/>
        </w:rPr>
        <w:t>定代表(盖章或签字)：</w:t>
      </w:r>
      <w:r>
        <w:rPr>
          <w:rFonts w:ascii="Times New Roman" w:eastAsia="Times New Roman"/>
          <w:highlight w:val="none"/>
          <w:u w:val="single"/>
        </w:rPr>
        <w:t xml:space="preserve"> </w:t>
      </w:r>
      <w:r>
        <w:rPr>
          <w:rFonts w:ascii="Times New Roman" w:eastAsia="Times New Roman"/>
          <w:spacing w:val="-1"/>
          <w:highlight w:val="none"/>
          <w:u w:val="single"/>
        </w:rPr>
        <w:t xml:space="preserve">             </w:t>
      </w:r>
      <w:r>
        <w:rPr>
          <w:rFonts w:hint="eastAsia" w:ascii="Times New Roman"/>
          <w:spacing w:val="-1"/>
          <w:highlight w:val="none"/>
          <w:u w:val="single"/>
          <w:lang w:val="en-US" w:eastAsia="zh-CN"/>
        </w:rPr>
        <w:t xml:space="preserve">                                           </w:t>
      </w:r>
      <w:r>
        <w:rPr>
          <w:rFonts w:ascii="Times New Roman" w:eastAsia="Times New Roman"/>
          <w:spacing w:val="-1"/>
          <w:highlight w:val="none"/>
          <w:u w:val="single"/>
        </w:rPr>
        <w:t xml:space="preserve">    </w:t>
      </w:r>
      <w:r>
        <w:rPr>
          <w:rFonts w:ascii="Times New Roman" w:eastAsia="Times New Roman"/>
          <w:spacing w:val="28"/>
          <w:highlight w:val="none"/>
          <w:u w:val="single"/>
        </w:rPr>
        <w:t xml:space="preserve"> </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spacing w:val="-1"/>
          <w:highlight w:val="none"/>
        </w:rPr>
        <w:t>投</w:t>
      </w:r>
      <w:r>
        <w:rPr>
          <w:highlight w:val="none"/>
        </w:rPr>
        <w:t>标人地址：</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ascii="Times New Roman" w:eastAsia="Times New Roman"/>
          <w:spacing w:val="-1"/>
          <w:highlight w:val="none"/>
          <w:u w:val="single"/>
        </w:rPr>
      </w:pPr>
      <w:r>
        <w:rPr>
          <w:highlight w:val="none"/>
        </w:rPr>
        <w:t>联 系</w:t>
      </w:r>
      <w:r>
        <w:rPr>
          <w:spacing w:val="-1"/>
          <w:highlight w:val="none"/>
        </w:rPr>
        <w:t xml:space="preserve"> </w:t>
      </w:r>
      <w:r>
        <w:rPr>
          <w:highlight w:val="none"/>
        </w:rPr>
        <w:t>人：</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r>
        <w:rPr>
          <w:rFonts w:ascii="Times New Roman" w:eastAsia="Times New Roman"/>
          <w:spacing w:val="-1"/>
          <w:highlight w:val="none"/>
          <w:u w:val="single"/>
        </w:rPr>
        <w:t xml:space="preserve">                </w:t>
      </w:r>
      <w:r>
        <w:rPr>
          <w:rFonts w:hint="eastAsia" w:ascii="Times New Roman"/>
          <w:spacing w:val="-1"/>
          <w:highlight w:val="none"/>
          <w:u w:val="single"/>
          <w:lang w:val="en-US" w:eastAsia="zh-CN"/>
        </w:rPr>
        <w:t xml:space="preserve">    </w:t>
      </w:r>
      <w:r>
        <w:rPr>
          <w:rFonts w:ascii="Times New Roman" w:eastAsia="Times New Roman"/>
          <w:spacing w:val="-1"/>
          <w:highlight w:val="none"/>
          <w:u w:val="single"/>
        </w:rPr>
        <w:t xml:space="preserve">      </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spacing w:val="-1"/>
          <w:highlight w:val="none"/>
        </w:rPr>
        <w:t>联</w:t>
      </w:r>
      <w:r>
        <w:rPr>
          <w:highlight w:val="none"/>
        </w:rPr>
        <w:t>系电话：</w:t>
      </w:r>
      <w:r>
        <w:rPr>
          <w:rFonts w:hint="eastAsia"/>
          <w:highlight w:val="none"/>
          <w:u w:val="single"/>
          <w:lang w:val="en-US" w:eastAsia="zh-CN"/>
        </w:rPr>
        <w:t xml:space="preserve">                                          </w:t>
      </w:r>
    </w:p>
    <w:p>
      <w:pPr>
        <w:pStyle w:val="9"/>
        <w:keepNext w:val="0"/>
        <w:keepLines w:val="0"/>
        <w:pageBreakBefore w:val="0"/>
        <w:widowControl w:val="0"/>
        <w:tabs>
          <w:tab w:val="left" w:pos="1918"/>
          <w:tab w:val="left" w:pos="2518"/>
        </w:tabs>
        <w:kinsoku/>
        <w:wordWrap/>
        <w:overflowPunct/>
        <w:topLinePunct w:val="0"/>
        <w:autoSpaceDE w:val="0"/>
        <w:autoSpaceDN w:val="0"/>
        <w:bidi w:val="0"/>
        <w:adjustRightInd/>
        <w:snapToGrid/>
        <w:spacing w:before="0" w:after="0"/>
        <w:ind w:left="0" w:right="0"/>
        <w:jc w:val="center"/>
        <w:textAlignment w:val="auto"/>
        <w:rPr>
          <w:highlight w:val="none"/>
        </w:rPr>
      </w:pPr>
    </w:p>
    <w:p>
      <w:pPr>
        <w:pStyle w:val="9"/>
        <w:keepNext w:val="0"/>
        <w:keepLines w:val="0"/>
        <w:pageBreakBefore w:val="0"/>
        <w:widowControl w:val="0"/>
        <w:tabs>
          <w:tab w:val="left" w:pos="1918"/>
          <w:tab w:val="left" w:pos="2518"/>
        </w:tabs>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type w:val="continuous"/>
          <w:pgSz w:w="11910" w:h="16840"/>
          <w:pgMar w:top="1440" w:right="1680" w:bottom="860" w:left="1680" w:header="720" w:footer="720"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1"/>
          <w:highlight w:val="none"/>
        </w:rPr>
      </w:pPr>
    </w:p>
    <w:p>
      <w:pPr>
        <w:keepNext w:val="0"/>
        <w:keepLines w:val="0"/>
        <w:pageBreakBefore w:val="0"/>
        <w:widowControl w:val="0"/>
        <w:tabs>
          <w:tab w:val="left" w:pos="902"/>
        </w:tabs>
        <w:kinsoku/>
        <w:wordWrap/>
        <w:overflowPunct/>
        <w:topLinePunct w:val="0"/>
        <w:autoSpaceDE w:val="0"/>
        <w:autoSpaceDN w:val="0"/>
        <w:bidi w:val="0"/>
        <w:adjustRightInd/>
        <w:snapToGrid/>
        <w:spacing w:before="0" w:after="0"/>
        <w:ind w:left="0" w:right="0" w:firstLine="0"/>
        <w:jc w:val="center"/>
        <w:textAlignment w:val="auto"/>
        <w:rPr>
          <w:b/>
          <w:sz w:val="44"/>
          <w:szCs w:val="44"/>
          <w:highlight w:val="none"/>
        </w:rPr>
      </w:pPr>
      <w:r>
        <w:rPr>
          <w:b/>
          <w:sz w:val="44"/>
          <w:szCs w:val="44"/>
          <w:highlight w:val="none"/>
        </w:rPr>
        <w:t>目</w:t>
      </w:r>
      <w:r>
        <w:rPr>
          <w:rFonts w:hint="eastAsia"/>
          <w:b/>
          <w:sz w:val="44"/>
          <w:szCs w:val="44"/>
          <w:highlight w:val="none"/>
          <w:lang w:val="en-US" w:eastAsia="zh-CN"/>
        </w:rPr>
        <w:t xml:space="preserve"> </w:t>
      </w:r>
      <w:r>
        <w:rPr>
          <w:b/>
          <w:sz w:val="44"/>
          <w:szCs w:val="44"/>
          <w:highlight w:val="none"/>
        </w:rPr>
        <w:t>录</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b/>
          <w:bCs/>
          <w:sz w:val="28"/>
          <w:szCs w:val="28"/>
          <w:highlight w:val="none"/>
        </w:rPr>
      </w:pPr>
      <w:r>
        <w:rPr>
          <w:b/>
          <w:bCs/>
          <w:sz w:val="28"/>
          <w:szCs w:val="28"/>
          <w:highlight w:val="none"/>
        </w:rPr>
        <w:t>一、资格证明文件</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1</w:t>
      </w:r>
      <w:r>
        <w:rPr>
          <w:rFonts w:hint="eastAsia"/>
          <w:sz w:val="28"/>
          <w:szCs w:val="28"/>
          <w:highlight w:val="none"/>
          <w:lang w:eastAsia="zh-CN"/>
        </w:rPr>
        <w:t>、工商营业执照副本（三证合一）复印件加盖鲜章（或营业执照、税务登记证、组织机构代码证）</w:t>
      </w:r>
      <w:r>
        <w:rPr>
          <w:sz w:val="28"/>
          <w:szCs w:val="28"/>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2</w:t>
      </w:r>
      <w:r>
        <w:rPr>
          <w:rFonts w:hint="eastAsia"/>
          <w:sz w:val="28"/>
          <w:szCs w:val="28"/>
          <w:highlight w:val="none"/>
          <w:lang w:eastAsia="zh-CN"/>
        </w:rPr>
        <w:t>、</w:t>
      </w:r>
      <w:r>
        <w:rPr>
          <w:sz w:val="28"/>
          <w:szCs w:val="28"/>
          <w:highlight w:val="none"/>
        </w:rPr>
        <w:t>参加本次政府采购活动近三年内，在经营活动中无违法违规记录的声明函；</w:t>
      </w:r>
    </w:p>
    <w:p>
      <w:pPr>
        <w:pStyle w:val="9"/>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已递交的投标保证金电子凭证</w:t>
      </w:r>
    </w:p>
    <w:p>
      <w:pPr>
        <w:pStyle w:val="9"/>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市政公用</w:t>
      </w:r>
      <w:r>
        <w:rPr>
          <w:rFonts w:hint="eastAsia"/>
          <w:sz w:val="28"/>
          <w:szCs w:val="28"/>
          <w:highlight w:val="none"/>
        </w:rPr>
        <w:t>工程施工</w:t>
      </w:r>
      <w:r>
        <w:rPr>
          <w:rFonts w:hint="eastAsia"/>
          <w:sz w:val="28"/>
          <w:szCs w:val="28"/>
          <w:highlight w:val="none"/>
          <w:lang w:eastAsia="zh-CN"/>
        </w:rPr>
        <w:t>总承包</w:t>
      </w:r>
      <w:r>
        <w:rPr>
          <w:rFonts w:hint="eastAsia"/>
          <w:sz w:val="28"/>
          <w:szCs w:val="28"/>
          <w:highlight w:val="none"/>
        </w:rPr>
        <w:t>三级及以上资质</w:t>
      </w:r>
    </w:p>
    <w:p>
      <w:pPr>
        <w:pStyle w:val="9"/>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rPr>
        <w:t>有效期内的安全生产许可证；</w:t>
      </w:r>
    </w:p>
    <w:p>
      <w:pPr>
        <w:pStyle w:val="9"/>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eastAsia="zh-CN"/>
        </w:rPr>
        <w:t>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both"/>
        <w:textAlignment w:val="auto"/>
        <w:rPr>
          <w:b/>
          <w:bCs/>
          <w:sz w:val="28"/>
          <w:szCs w:val="28"/>
          <w:highlight w:val="none"/>
        </w:rPr>
      </w:pPr>
      <w:r>
        <w:rPr>
          <w:b/>
          <w:bCs/>
          <w:sz w:val="28"/>
          <w:szCs w:val="28"/>
          <w:highlight w:val="none"/>
        </w:rPr>
        <w:t>二、 商务及技术文件</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1、磋商响应声明函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2、法定代表人身份证明书、法定代表人授权委托书</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3、工程量清单</w:t>
      </w:r>
      <w:r>
        <w:rPr>
          <w:sz w:val="28"/>
          <w:szCs w:val="28"/>
          <w:highlight w:val="none"/>
        </w:rPr>
        <w:t>报价一览表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4</w:t>
      </w:r>
      <w:r>
        <w:rPr>
          <w:sz w:val="28"/>
          <w:szCs w:val="28"/>
          <w:highlight w:val="none"/>
        </w:rPr>
        <w:t>、企业情况表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5</w:t>
      </w:r>
      <w:r>
        <w:rPr>
          <w:sz w:val="28"/>
          <w:szCs w:val="28"/>
          <w:highlight w:val="none"/>
        </w:rPr>
        <w:t>、商务条款偏离表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6</w:t>
      </w:r>
      <w:r>
        <w:rPr>
          <w:sz w:val="28"/>
          <w:szCs w:val="28"/>
          <w:highlight w:val="none"/>
        </w:rPr>
        <w:t>、技术规格偏离表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7</w:t>
      </w:r>
      <w:r>
        <w:rPr>
          <w:sz w:val="28"/>
          <w:szCs w:val="28"/>
          <w:highlight w:val="none"/>
        </w:rPr>
        <w:t>、资格的声明函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8</w:t>
      </w:r>
      <w:r>
        <w:rPr>
          <w:sz w:val="28"/>
          <w:szCs w:val="28"/>
          <w:highlight w:val="none"/>
        </w:rPr>
        <w:t>、售后服务承诺及方案</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rFonts w:hint="eastAsia" w:eastAsia="宋体"/>
          <w:sz w:val="28"/>
          <w:szCs w:val="28"/>
          <w:highlight w:val="none"/>
          <w:lang w:val="en-US" w:eastAsia="zh-CN"/>
        </w:rPr>
      </w:pPr>
      <w:r>
        <w:rPr>
          <w:rFonts w:hint="eastAsia"/>
          <w:sz w:val="28"/>
          <w:szCs w:val="28"/>
          <w:highlight w:val="none"/>
          <w:lang w:val="en-US" w:eastAsia="zh-CN"/>
        </w:rPr>
        <w:t>9、施工组织设计方案</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10</w:t>
      </w:r>
      <w:r>
        <w:rPr>
          <w:sz w:val="28"/>
          <w:szCs w:val="28"/>
          <w:highlight w:val="none"/>
        </w:rPr>
        <w:t>、中小企业声明函（如有）</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1</w:t>
      </w:r>
      <w:r>
        <w:rPr>
          <w:rFonts w:hint="eastAsia"/>
          <w:sz w:val="28"/>
          <w:szCs w:val="28"/>
          <w:highlight w:val="none"/>
          <w:lang w:val="en-US" w:eastAsia="zh-CN"/>
        </w:rPr>
        <w:t>1</w:t>
      </w:r>
      <w:r>
        <w:rPr>
          <w:sz w:val="28"/>
          <w:szCs w:val="28"/>
          <w:highlight w:val="none"/>
        </w:rPr>
        <w:t>、投标人认为需要提供的其它材料（格式自拟）</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pgSz w:w="11910" w:h="16840"/>
          <w:pgMar w:top="1580" w:right="160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b/>
          <w:bCs/>
          <w:sz w:val="28"/>
          <w:szCs w:val="28"/>
          <w:highlight w:val="none"/>
        </w:rPr>
      </w:pPr>
      <w:r>
        <w:rPr>
          <w:b/>
          <w:bCs/>
          <w:sz w:val="28"/>
          <w:szCs w:val="28"/>
          <w:highlight w:val="none"/>
        </w:rPr>
        <w:t>一、资格证明文件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b/>
          <w:bCs/>
          <w:sz w:val="28"/>
          <w:szCs w:val="28"/>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b/>
          <w:w w:val="95"/>
          <w:sz w:val="28"/>
          <w:szCs w:val="21"/>
          <w:highlight w:val="none"/>
        </w:rPr>
      </w:pPr>
      <w:r>
        <w:rPr>
          <w:rFonts w:hint="eastAsia"/>
          <w:b/>
          <w:bCs/>
          <w:sz w:val="28"/>
          <w:szCs w:val="28"/>
          <w:highlight w:val="none"/>
          <w:lang w:val="en-US" w:eastAsia="zh-CN"/>
        </w:rPr>
        <w:t>1、</w:t>
      </w:r>
      <w:r>
        <w:rPr>
          <w:rFonts w:hint="eastAsia"/>
          <w:b/>
          <w:w w:val="95"/>
          <w:sz w:val="28"/>
          <w:szCs w:val="21"/>
          <w:highlight w:val="none"/>
        </w:rPr>
        <w:t>工商营业执照副本（三证合一）复印件加盖鲜章（或营业执照、税务登记证、组织机构代码证）</w:t>
      </w: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sz w:val="28"/>
          <w:szCs w:val="21"/>
          <w:highlight w:val="none"/>
        </w:rPr>
      </w:pPr>
      <w:r>
        <w:rPr>
          <w:rFonts w:hint="eastAsia"/>
          <w:b/>
          <w:w w:val="95"/>
          <w:sz w:val="28"/>
          <w:szCs w:val="21"/>
          <w:highlight w:val="none"/>
          <w:lang w:val="en-US" w:eastAsia="zh-CN"/>
        </w:rPr>
        <w:t>2、</w:t>
      </w:r>
      <w:r>
        <w:rPr>
          <w:b/>
          <w:w w:val="95"/>
          <w:sz w:val="28"/>
          <w:szCs w:val="21"/>
          <w:highlight w:val="none"/>
        </w:rPr>
        <w:t>参加本次政府采购活动近三年内，在经营活动中无违法违规</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sz w:val="28"/>
          <w:szCs w:val="21"/>
          <w:highlight w:val="none"/>
        </w:rPr>
      </w:pPr>
      <w:r>
        <w:rPr>
          <w:b/>
          <w:w w:val="95"/>
          <w:sz w:val="28"/>
          <w:szCs w:val="21"/>
          <w:highlight w:val="none"/>
        </w:rPr>
        <w:t>记录的声明函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2"/>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5"/>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致：</w:t>
      </w:r>
      <w:r>
        <w:rPr>
          <w:rFonts w:hint="eastAsia"/>
          <w:sz w:val="28"/>
          <w:highlight w:val="none"/>
          <w:u w:val="single"/>
          <w:lang w:val="en-US" w:eastAsia="zh-CN"/>
        </w:rPr>
        <w:t xml:space="preserve">           </w:t>
      </w:r>
      <w:r>
        <w:rPr>
          <w:sz w:val="28"/>
          <w:highlight w:val="none"/>
        </w:rPr>
        <w:t>（招标人）</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firstLine="559"/>
        <w:jc w:val="both"/>
        <w:textAlignment w:val="auto"/>
        <w:rPr>
          <w:sz w:val="28"/>
          <w:highlight w:val="none"/>
        </w:rPr>
      </w:pPr>
      <w:r>
        <w:rPr>
          <w:spacing w:val="-10"/>
          <w:sz w:val="28"/>
          <w:highlight w:val="none"/>
        </w:rPr>
        <w:t>我单位近三年内，无违法违规记录，如声明不实，我单位承担由</w:t>
      </w:r>
      <w:r>
        <w:rPr>
          <w:spacing w:val="-3"/>
          <w:sz w:val="28"/>
          <w:highlight w:val="none"/>
        </w:rPr>
        <w:t>此产生的全部责任。</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供应商名称（公章）：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法定代表人或全权代表（签字或盖章）：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4"/>
          <w:highlight w:val="none"/>
        </w:rPr>
      </w:pPr>
    </w:p>
    <w:p>
      <w:pPr>
        <w:keepNext w:val="0"/>
        <w:keepLines w:val="0"/>
        <w:pageBreakBefore w:val="0"/>
        <w:widowControl w:val="0"/>
        <w:tabs>
          <w:tab w:val="left" w:pos="1655"/>
        </w:tabs>
        <w:kinsoku/>
        <w:wordWrap/>
        <w:overflowPunct/>
        <w:topLinePunct w:val="0"/>
        <w:autoSpaceDE w:val="0"/>
        <w:autoSpaceDN w:val="0"/>
        <w:bidi w:val="0"/>
        <w:adjustRightInd/>
        <w:snapToGrid/>
        <w:spacing w:before="0" w:after="0"/>
        <w:ind w:left="0" w:right="0" w:firstLine="0"/>
        <w:jc w:val="both"/>
        <w:textAlignment w:val="auto"/>
        <w:rPr>
          <w:rFonts w:hint="default" w:eastAsia="宋体"/>
          <w:sz w:val="28"/>
          <w:highlight w:val="none"/>
          <w:lang w:val="en-US" w:eastAsia="zh-CN"/>
        </w:rPr>
      </w:pPr>
      <w:r>
        <w:rPr>
          <w:sz w:val="28"/>
          <w:highlight w:val="none"/>
        </w:rPr>
        <w:t>日</w:t>
      </w:r>
      <w:r>
        <w:rPr>
          <w:sz w:val="28"/>
          <w:highlight w:val="none"/>
        </w:rPr>
        <w:tab/>
      </w:r>
      <w:r>
        <w:rPr>
          <w:spacing w:val="-1"/>
          <w:sz w:val="28"/>
          <w:highlight w:val="none"/>
        </w:rPr>
        <w:t>期</w:t>
      </w:r>
      <w:r>
        <w:rPr>
          <w:sz w:val="28"/>
          <w:highlight w:val="none"/>
        </w:rPr>
        <w:t>：</w:t>
      </w:r>
      <w:r>
        <w:rPr>
          <w:rFonts w:hint="eastAsia"/>
          <w:sz w:val="28"/>
          <w:highlight w:val="none"/>
          <w:lang w:val="en-US" w:eastAsia="zh-CN"/>
        </w:rPr>
        <w:t>年  月  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b/>
          <w:bCs/>
          <w:sz w:val="28"/>
          <w:szCs w:val="28"/>
          <w:highlight w:val="none"/>
        </w:rPr>
      </w:pPr>
      <w:r>
        <w:rPr>
          <w:rFonts w:hint="eastAsia"/>
          <w:b/>
          <w:bCs/>
          <w:sz w:val="28"/>
          <w:szCs w:val="28"/>
          <w:highlight w:val="none"/>
          <w:lang w:val="en-US" w:eastAsia="zh-CN"/>
        </w:rPr>
        <w:t>3、</w:t>
      </w:r>
      <w:r>
        <w:rPr>
          <w:b/>
          <w:bCs/>
          <w:sz w:val="28"/>
          <w:szCs w:val="28"/>
          <w:highlight w:val="none"/>
        </w:rPr>
        <w:t>已递交的投标保证金电子凭证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4、市政公用工程施工总承包三级及以上资质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b/>
          <w:bCs/>
          <w:sz w:val="28"/>
          <w:szCs w:val="28"/>
          <w:highlight w:val="none"/>
        </w:rPr>
      </w:pPr>
      <w:r>
        <w:rPr>
          <w:rFonts w:hint="eastAsia"/>
          <w:b/>
          <w:bCs/>
          <w:sz w:val="28"/>
          <w:szCs w:val="28"/>
          <w:highlight w:val="none"/>
          <w:lang w:val="en-US" w:eastAsia="zh-CN"/>
        </w:rPr>
        <w:t>5、</w:t>
      </w:r>
      <w:r>
        <w:rPr>
          <w:rFonts w:hint="eastAsia"/>
          <w:b/>
          <w:bCs/>
          <w:sz w:val="28"/>
          <w:szCs w:val="28"/>
          <w:highlight w:val="none"/>
        </w:rPr>
        <w:t>有效期内的安全生产许可证；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default"/>
          <w:b/>
          <w:bCs/>
          <w:sz w:val="28"/>
          <w:szCs w:val="28"/>
          <w:highlight w:val="none"/>
          <w:lang w:val="en-US" w:eastAsia="zh-CN"/>
        </w:rPr>
      </w:pPr>
      <w:r>
        <w:rPr>
          <w:rFonts w:hint="eastAsia"/>
          <w:b/>
          <w:bCs/>
          <w:sz w:val="28"/>
          <w:szCs w:val="28"/>
          <w:highlight w:val="none"/>
          <w:lang w:val="en-US" w:eastAsia="zh-CN"/>
        </w:rPr>
        <w:t>6、其他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bCs/>
          <w:sz w:val="28"/>
          <w:highlight w:val="none"/>
        </w:rPr>
      </w:pPr>
    </w:p>
    <w:p>
      <w:pPr>
        <w:pStyle w:val="2"/>
        <w:sectPr>
          <w:pgSz w:w="11910" w:h="16840"/>
          <w:pgMar w:top="1500" w:right="168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2"/>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pStyle w:val="2"/>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center"/>
        <w:textAlignment w:val="auto"/>
        <w:rPr>
          <w:b/>
          <w:bCs/>
          <w:sz w:val="28"/>
          <w:szCs w:val="28"/>
          <w:highlight w:val="none"/>
        </w:rPr>
      </w:pPr>
      <w:r>
        <w:rPr>
          <w:b/>
          <w:bCs/>
          <w:sz w:val="28"/>
          <w:szCs w:val="28"/>
          <w:highlight w:val="none"/>
        </w:rPr>
        <w:t>二、 商务及技术文件</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center"/>
        <w:textAlignment w:val="auto"/>
        <w:rPr>
          <w:b/>
          <w:bCs/>
          <w:sz w:val="28"/>
          <w:szCs w:val="28"/>
          <w:highlight w:val="none"/>
        </w:rPr>
      </w:pPr>
      <w:r>
        <w:rPr>
          <w:rFonts w:hint="eastAsia"/>
          <w:b/>
          <w:bCs/>
          <w:sz w:val="28"/>
          <w:szCs w:val="28"/>
          <w:highlight w:val="none"/>
          <w:lang w:val="en-US" w:eastAsia="zh-CN"/>
        </w:rPr>
        <w:t>1、</w:t>
      </w:r>
      <w:r>
        <w:rPr>
          <w:b/>
          <w:bCs/>
          <w:sz w:val="28"/>
          <w:szCs w:val="28"/>
          <w:highlight w:val="none"/>
        </w:rPr>
        <w:t>磋商响应声明函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致：</w:t>
      </w:r>
      <w:r>
        <w:rPr>
          <w:rFonts w:hint="eastAsia"/>
          <w:highlight w:val="none"/>
          <w:u w:val="single"/>
          <w:lang w:val="en-US" w:eastAsia="zh-CN"/>
        </w:rPr>
        <w:t xml:space="preserve">           </w:t>
      </w:r>
      <w:r>
        <w:rPr>
          <w:highlight w:val="none"/>
        </w:rPr>
        <w:t>（招标人）</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r>
        <w:rPr>
          <w:highlight w:val="none"/>
        </w:rPr>
        <w:t>根据贵方为</w:t>
      </w:r>
      <w:r>
        <w:rPr>
          <w:highlight w:val="none"/>
          <w:u w:val="single"/>
        </w:rPr>
        <w:t xml:space="preserve"> </w:t>
      </w:r>
      <w:r>
        <w:rPr>
          <w:rFonts w:hint="eastAsia"/>
          <w:highlight w:val="none"/>
          <w:u w:val="single"/>
          <w:lang w:val="en-US" w:eastAsia="zh-CN"/>
        </w:rPr>
        <w:t xml:space="preserve">          </w:t>
      </w:r>
      <w:r>
        <w:rPr>
          <w:highlight w:val="none"/>
        </w:rPr>
        <w:t>项目招标采购货物及服务的蹉商公告</w:t>
      </w:r>
      <w:r>
        <w:rPr>
          <w:highlight w:val="none"/>
          <w:u w:val="single"/>
        </w:rPr>
        <w:t>（招标编号）</w:t>
      </w:r>
      <w:r>
        <w:rPr>
          <w:highlight w:val="none"/>
        </w:rPr>
        <w:t>，签字代表</w:t>
      </w:r>
      <w:r>
        <w:rPr>
          <w:rFonts w:hint="eastAsia"/>
          <w:highlight w:val="none"/>
          <w:u w:val="single"/>
          <w:lang w:val="en-US" w:eastAsia="zh-CN"/>
        </w:rPr>
        <w:t xml:space="preserve"> </w:t>
      </w:r>
      <w:r>
        <w:rPr>
          <w:highlight w:val="none"/>
          <w:u w:val="single"/>
        </w:rPr>
        <w:t>（全名、职务）</w:t>
      </w:r>
      <w:r>
        <w:rPr>
          <w:rFonts w:hint="eastAsia"/>
          <w:highlight w:val="none"/>
          <w:u w:val="single"/>
          <w:lang w:val="en-US" w:eastAsia="zh-CN"/>
        </w:rPr>
        <w:t xml:space="preserve"> </w:t>
      </w:r>
      <w:r>
        <w:rPr>
          <w:highlight w:val="none"/>
        </w:rPr>
        <w:t>经正式授权，并代表投标人</w:t>
      </w:r>
      <w:r>
        <w:rPr>
          <w:spacing w:val="-1"/>
          <w:highlight w:val="none"/>
          <w:u w:val="single"/>
        </w:rPr>
        <w:t xml:space="preserve"> </w:t>
      </w:r>
      <w:r>
        <w:rPr>
          <w:highlight w:val="none"/>
          <w:u w:val="single"/>
        </w:rPr>
        <w:t>（投标人名称、地址）</w:t>
      </w:r>
      <w:r>
        <w:rPr>
          <w:highlight w:val="none"/>
        </w:rPr>
        <w:t>提交下述文件正本一份和副本三份：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（1）开标一览表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（2）投标货物的分项价格表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（3）投标货物相关的技术、商务说明资料</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（4）资格证明文件及资料</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据此函，签字代表宣布同意如下：</w:t>
      </w:r>
    </w:p>
    <w:p>
      <w:pPr>
        <w:pStyle w:val="9"/>
        <w:keepNext w:val="0"/>
        <w:keepLines w:val="0"/>
        <w:pageBreakBefore w:val="0"/>
        <w:widowControl w:val="0"/>
        <w:tabs>
          <w:tab w:val="left" w:pos="8157"/>
        </w:tabs>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①愿按照采购文件中的投标人须知</w:t>
      </w:r>
      <w:r>
        <w:rPr>
          <w:spacing w:val="-32"/>
          <w:highlight w:val="none"/>
        </w:rPr>
        <w:t>、</w:t>
      </w:r>
      <w:r>
        <w:rPr>
          <w:highlight w:val="none"/>
        </w:rPr>
        <w:t>合同条款</w:t>
      </w:r>
      <w:r>
        <w:rPr>
          <w:spacing w:val="-29"/>
          <w:highlight w:val="none"/>
        </w:rPr>
        <w:t>、</w:t>
      </w:r>
      <w:r>
        <w:rPr>
          <w:highlight w:val="none"/>
        </w:rPr>
        <w:t>技术条件</w:t>
      </w:r>
      <w:r>
        <w:rPr>
          <w:spacing w:val="-29"/>
          <w:highlight w:val="none"/>
        </w:rPr>
        <w:t>、</w:t>
      </w:r>
      <w:r>
        <w:rPr>
          <w:highlight w:val="none"/>
        </w:rPr>
        <w:t>图纸资料等要求提供所需招标货物，总报价为人民币</w:t>
      </w:r>
      <w:r>
        <w:rPr>
          <w:highlight w:val="none"/>
          <w:u w:val="single"/>
        </w:rPr>
        <w:t>：</w:t>
      </w:r>
      <w:r>
        <w:rPr>
          <w:rFonts w:hint="eastAsia"/>
          <w:highlight w:val="none"/>
          <w:u w:val="single"/>
          <w:lang w:val="en-US" w:eastAsia="zh-CN"/>
        </w:rPr>
        <w:t xml:space="preserve">          </w:t>
      </w:r>
      <w:r>
        <w:rPr>
          <w:highlight w:val="none"/>
          <w:u w:val="single"/>
        </w:rPr>
        <w:t>元</w:t>
      </w:r>
      <w:r>
        <w:rPr>
          <w:highlight w:val="none"/>
        </w:rPr>
        <w:t>（大写）：</w:t>
      </w:r>
      <w:r>
        <w:rPr>
          <w:highlight w:val="none"/>
          <w:u w:val="single"/>
        </w:rPr>
        <w:t xml:space="preserve"> </w:t>
      </w:r>
      <w:r>
        <w:rPr>
          <w:rFonts w:hint="eastAsia"/>
          <w:highlight w:val="none"/>
          <w:u w:val="single"/>
          <w:lang w:val="en-US" w:eastAsia="zh-CN"/>
        </w:rPr>
        <w:t xml:space="preserve">           </w:t>
      </w:r>
      <w:r>
        <w:rPr>
          <w:highlight w:val="none"/>
        </w:rPr>
        <w:t>元整，明细报价见投标货物的分项价格表。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②作为投标书的一部分，我方愿提</w:t>
      </w:r>
      <w:r>
        <w:rPr>
          <w:highlight w:val="none"/>
          <w:u w:val="single"/>
        </w:rPr>
        <w:t xml:space="preserve"> </w:t>
      </w:r>
      <w:r>
        <w:rPr>
          <w:rFonts w:hint="eastAsia"/>
          <w:highlight w:val="none"/>
          <w:u w:val="single"/>
          <w:lang w:val="en-US" w:eastAsia="zh-CN"/>
        </w:rPr>
        <w:t xml:space="preserve">    </w:t>
      </w:r>
      <w:r>
        <w:rPr>
          <w:highlight w:val="none"/>
        </w:rPr>
        <w:t>元的投标保证金。</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③如果我方中标，我方将按招标文件的规定履行合同责任和义务。</w:t>
      </w:r>
    </w:p>
    <w:p>
      <w:pPr>
        <w:pStyle w:val="9"/>
        <w:keepNext w:val="0"/>
        <w:keepLines w:val="0"/>
        <w:pageBreakBefore w:val="0"/>
        <w:widowControl w:val="0"/>
        <w:tabs>
          <w:tab w:val="left" w:pos="2517"/>
          <w:tab w:val="left" w:pos="5637"/>
          <w:tab w:val="left" w:pos="791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④交货期</w:t>
      </w:r>
      <w:r>
        <w:rPr>
          <w:highlight w:val="none"/>
          <w:u w:val="single"/>
        </w:rPr>
        <w:t xml:space="preserve"> </w:t>
      </w:r>
      <w:r>
        <w:rPr>
          <w:rFonts w:hint="eastAsia"/>
          <w:highlight w:val="none"/>
          <w:u w:val="single"/>
          <w:lang w:val="en-US" w:eastAsia="zh-CN"/>
        </w:rPr>
        <w:t xml:space="preserve">           </w:t>
      </w:r>
      <w:r>
        <w:rPr>
          <w:highlight w:val="none"/>
        </w:rPr>
        <w:t>；交货地点：</w:t>
      </w:r>
      <w:r>
        <w:rPr>
          <w:highlight w:val="none"/>
          <w:u w:val="single"/>
        </w:rPr>
        <w:t xml:space="preserve"> </w:t>
      </w:r>
      <w:r>
        <w:rPr>
          <w:rFonts w:hint="eastAsia"/>
          <w:highlight w:val="none"/>
          <w:u w:val="single"/>
          <w:lang w:val="en-US" w:eastAsia="zh-CN"/>
        </w:rPr>
        <w:t xml:space="preserve">         </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pPr>
      <w:r>
        <w:rPr>
          <w:spacing w:val="-5"/>
          <w:highlight w:val="none"/>
        </w:rPr>
        <w:t>⑤我方已详细审查全部招标文件，包括修改文件</w:t>
      </w:r>
      <w:r>
        <w:rPr>
          <w:highlight w:val="none"/>
        </w:rPr>
        <w:t>（如有的话</w:t>
      </w:r>
      <w:r>
        <w:rPr>
          <w:spacing w:val="-29"/>
          <w:highlight w:val="none"/>
        </w:rPr>
        <w:t>）</w:t>
      </w:r>
      <w:r>
        <w:rPr>
          <w:highlight w:val="none"/>
        </w:rPr>
        <w:t>以及全部参考资料和有关附件。我们完全理解并同意放弃对这方面有不明及误解的权利。</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⑥我方投标自开标日起有效期为</w:t>
      </w:r>
      <w:r>
        <w:rPr>
          <w:highlight w:val="none"/>
          <w:u w:val="single"/>
        </w:rPr>
        <w:t xml:space="preserve"> </w:t>
      </w:r>
      <w:r>
        <w:rPr>
          <w:rFonts w:hint="eastAsia"/>
          <w:highlight w:val="none"/>
          <w:u w:val="single"/>
          <w:lang w:val="en-US" w:eastAsia="zh-CN"/>
        </w:rPr>
        <w:t xml:space="preserve">            </w:t>
      </w:r>
      <w:r>
        <w:rPr>
          <w:highlight w:val="none"/>
        </w:rPr>
        <w:t>天。</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pPr>
      <w:r>
        <w:rPr>
          <w:spacing w:val="-6"/>
          <w:highlight w:val="none"/>
        </w:rPr>
        <w:t>⑦如果在规定的开标时间后，我方在投标有效期内撤回投标，我方的投标保证金将被贵方没收。</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spacing w:val="-3"/>
          <w:highlight w:val="none"/>
        </w:rPr>
        <w:t>⑧我方同意提供按照贵方可能要求的与其投标有关的一切数据或资料，完全理解贵方不一定要接受最低价的投标或收到的任何投标。</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hint="default" w:eastAsia="宋体"/>
          <w:highlight w:val="none"/>
          <w:u w:val="single"/>
          <w:lang w:val="en-US" w:eastAsia="zh-CN"/>
        </w:rPr>
      </w:pPr>
      <w:r>
        <w:rPr>
          <w:highlight w:val="none"/>
        </w:rPr>
        <w:t>⑧与本次投标有关的一切正式往来通讯请寄：</w:t>
      </w:r>
      <w:r>
        <w:rPr>
          <w:rFonts w:hint="eastAsia"/>
          <w:highlight w:val="none"/>
          <w:u w:val="single"/>
          <w:lang w:val="en-US" w:eastAsia="zh-CN"/>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right="0" w:firstLine="2400" w:firstLineChars="1000"/>
        <w:jc w:val="both"/>
        <w:textAlignment w:val="auto"/>
        <w:rPr>
          <w:highlight w:val="none"/>
        </w:rPr>
      </w:pP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right="0" w:firstLine="2400" w:firstLineChars="1000"/>
        <w:jc w:val="both"/>
        <w:textAlignment w:val="auto"/>
        <w:rPr>
          <w:rFonts w:ascii="Times New Roman" w:eastAsia="Times New Roman"/>
          <w:spacing w:val="28"/>
          <w:highlight w:val="none"/>
          <w:u w:val="single"/>
        </w:rPr>
      </w:pPr>
      <w:r>
        <w:rPr>
          <w:highlight w:val="none"/>
        </w:rPr>
        <w:t>供应商名</w:t>
      </w:r>
      <w:r>
        <w:rPr>
          <w:spacing w:val="-29"/>
          <w:highlight w:val="none"/>
        </w:rPr>
        <w:t>称</w:t>
      </w:r>
      <w:r>
        <w:rPr>
          <w:spacing w:val="-3"/>
          <w:highlight w:val="none"/>
        </w:rPr>
        <w:t>（</w:t>
      </w:r>
      <w:r>
        <w:rPr>
          <w:highlight w:val="none"/>
        </w:rPr>
        <w:t>加盖公章</w:t>
      </w:r>
      <w:r>
        <w:rPr>
          <w:spacing w:val="-15"/>
          <w:highlight w:val="none"/>
        </w:rPr>
        <w:t>）：</w:t>
      </w:r>
      <w:r>
        <w:rPr>
          <w:spacing w:val="-30"/>
          <w:highlight w:val="none"/>
        </w:rPr>
        <w:t xml:space="preserve"> </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rFonts w:ascii="Times New Roman" w:eastAsia="Times New Roman"/>
          <w:spacing w:val="-1"/>
          <w:highlight w:val="none"/>
          <w:u w:val="single"/>
        </w:rPr>
        <w:t xml:space="preserve"> </w:t>
      </w:r>
      <w:r>
        <w:rPr>
          <w:rFonts w:ascii="Times New Roman" w:eastAsia="Times New Roman"/>
          <w:spacing w:val="28"/>
          <w:highlight w:val="none"/>
          <w:u w:val="single"/>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right="0" w:firstLine="2380" w:firstLineChars="1000"/>
        <w:jc w:val="both"/>
        <w:textAlignment w:val="auto"/>
        <w:rPr>
          <w:highlight w:val="none"/>
        </w:rPr>
      </w:pPr>
      <w:r>
        <w:rPr>
          <w:spacing w:val="-1"/>
          <w:highlight w:val="none"/>
        </w:rPr>
        <w:t>法</w:t>
      </w:r>
      <w:r>
        <w:rPr>
          <w:highlight w:val="none"/>
        </w:rPr>
        <w:t>定代表人或授权委托人（签字或盖章）：</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highlight w:val="none"/>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left="0" w:right="0" w:firstLine="2400" w:firstLineChars="1000"/>
        <w:jc w:val="both"/>
        <w:textAlignment w:val="auto"/>
        <w:rPr>
          <w:rFonts w:hint="default" w:eastAsia="宋体"/>
          <w:highlight w:val="none"/>
          <w:u w:val="single"/>
          <w:lang w:val="en-US" w:eastAsia="zh-CN"/>
        </w:rPr>
      </w:pPr>
      <w:r>
        <w:rPr>
          <w:highlight w:val="none"/>
        </w:rPr>
        <w:t>邮政编码：</w:t>
      </w:r>
      <w:r>
        <w:rPr>
          <w:highlight w:val="none"/>
          <w:u w:val="single"/>
        </w:rPr>
        <w:t xml:space="preserve"> </w:t>
      </w:r>
      <w:r>
        <w:rPr>
          <w:rFonts w:hint="eastAsia"/>
          <w:highlight w:val="none"/>
          <w:u w:val="single"/>
          <w:lang w:val="en-US" w:eastAsia="zh-CN"/>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left="0" w:right="0" w:firstLine="2400" w:firstLineChars="1000"/>
        <w:jc w:val="both"/>
        <w:textAlignment w:val="auto"/>
        <w:rPr>
          <w:rFonts w:hint="default" w:ascii="Times New Roman" w:eastAsia="宋体"/>
          <w:highlight w:val="none"/>
          <w:u w:val="single"/>
          <w:lang w:val="en-US" w:eastAsia="zh-CN"/>
        </w:rPr>
      </w:pPr>
      <w:r>
        <w:rPr>
          <w:highlight w:val="none"/>
        </w:rPr>
        <w:t>电话</w:t>
      </w:r>
      <w:r>
        <w:rPr>
          <w:rFonts w:hint="eastAsia"/>
          <w:highlight w:val="none"/>
          <w:lang w:eastAsia="zh-CN"/>
        </w:rPr>
        <w:t>：</w:t>
      </w:r>
      <w:r>
        <w:rPr>
          <w:rFonts w:hint="eastAsia"/>
          <w:highlight w:val="none"/>
          <w:u w:val="single"/>
          <w:lang w:val="en-US" w:eastAsia="zh-CN"/>
        </w:rPr>
        <w:t xml:space="preserve">              </w:t>
      </w:r>
      <w:r>
        <w:rPr>
          <w:spacing w:val="-1"/>
          <w:highlight w:val="none"/>
        </w:rPr>
        <w:t>传</w:t>
      </w:r>
      <w:r>
        <w:rPr>
          <w:highlight w:val="none"/>
        </w:rPr>
        <w:t>真：</w:t>
      </w: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left="0" w:right="0"/>
        <w:jc w:val="center"/>
        <w:textAlignment w:val="auto"/>
        <w:rPr>
          <w:highlight w:val="none"/>
        </w:rPr>
      </w:pPr>
      <w:r>
        <w:rPr>
          <w:highlight w:val="none"/>
        </w:rPr>
        <w:t>日期：</w:t>
      </w:r>
      <w:r>
        <w:rPr>
          <w:highlight w:val="none"/>
          <w:u w:val="single"/>
        </w:rPr>
        <w:t xml:space="preserve"> </w:t>
      </w:r>
      <w:r>
        <w:rPr>
          <w:rFonts w:hint="eastAsia"/>
          <w:highlight w:val="none"/>
          <w:u w:val="single"/>
          <w:lang w:val="en-US" w:eastAsia="zh-CN"/>
        </w:rPr>
        <w:t xml:space="preserve">    </w:t>
      </w:r>
      <w:r>
        <w:rPr>
          <w:highlight w:val="none"/>
        </w:rPr>
        <w:t>年</w:t>
      </w:r>
      <w:r>
        <w:rPr>
          <w:highlight w:val="none"/>
          <w:u w:val="single"/>
        </w:rPr>
        <w:t xml:space="preserve"> </w:t>
      </w:r>
      <w:r>
        <w:rPr>
          <w:rFonts w:hint="eastAsia"/>
          <w:highlight w:val="none"/>
          <w:u w:val="single"/>
          <w:lang w:val="en-US" w:eastAsia="zh-CN"/>
        </w:rPr>
        <w:t xml:space="preserve">    </w:t>
      </w:r>
      <w:r>
        <w:rPr>
          <w:highlight w:val="none"/>
        </w:rPr>
        <w:t>月</w:t>
      </w:r>
      <w:r>
        <w:rPr>
          <w:highlight w:val="none"/>
          <w:u w:val="single"/>
        </w:rPr>
        <w:t xml:space="preserve"> </w:t>
      </w:r>
      <w:r>
        <w:rPr>
          <w:rFonts w:hint="eastAsia"/>
          <w:highlight w:val="none"/>
          <w:u w:val="single"/>
          <w:lang w:val="en-US" w:eastAsia="zh-CN"/>
        </w:rPr>
        <w:t xml:space="preserve">  </w:t>
      </w:r>
      <w:r>
        <w:rPr>
          <w:highlight w:val="none"/>
        </w:rPr>
        <w:t>日</w:t>
      </w:r>
    </w:p>
    <w:p>
      <w:pPr>
        <w:pStyle w:val="8"/>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pPr>
      <w:r>
        <w:rPr>
          <w:highlight w:val="none"/>
        </w:rPr>
        <w:t>注：开标一览表总报价与投标函总报价不一致时，以投标函总报价为准。在大</w:t>
      </w:r>
      <w:r>
        <w:rPr>
          <w:w w:val="95"/>
          <w:highlight w:val="none"/>
        </w:rPr>
        <w:t>写与小写不一致时以大写为准。</w:t>
      </w:r>
    </w:p>
    <w:p>
      <w:pPr>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sectPr>
          <w:type w:val="continuous"/>
          <w:pgSz w:w="11910" w:h="16840"/>
          <w:pgMar w:top="1440" w:right="1620" w:bottom="860" w:left="1680" w:header="720" w:footer="720"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sz w:val="28"/>
          <w:highlight w:val="none"/>
        </w:rPr>
      </w:pPr>
      <w:r>
        <w:rPr>
          <w:rFonts w:hint="eastAsia"/>
          <w:b/>
          <w:sz w:val="28"/>
          <w:highlight w:val="none"/>
          <w:lang w:val="en-US" w:eastAsia="zh-CN"/>
        </w:rPr>
        <w:t>2、</w:t>
      </w:r>
      <w:r>
        <w:rPr>
          <w:b/>
          <w:sz w:val="28"/>
          <w:highlight w:val="none"/>
        </w:rPr>
        <w:t xml:space="preserve"> 法定代表人身份证明书</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tabs>
          <w:tab w:val="left" w:pos="803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spacing w:val="-1"/>
          <w:highlight w:val="none"/>
        </w:rPr>
        <w:t>单</w:t>
      </w:r>
      <w:r>
        <w:rPr>
          <w:highlight w:val="none"/>
        </w:rPr>
        <w:t>位名称：</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809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spacing w:val="-1"/>
          <w:highlight w:val="none"/>
        </w:rPr>
        <w:t>单</w:t>
      </w:r>
      <w:r>
        <w:rPr>
          <w:highlight w:val="none"/>
        </w:rPr>
        <w:t>位性质：</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1804"/>
          <w:tab w:val="left" w:pos="809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0"/>
          <w:highlight w:val="none"/>
        </w:rPr>
      </w:pPr>
      <w:r>
        <w:rPr>
          <w:highlight w:val="none"/>
        </w:rPr>
        <w:t>地</w:t>
      </w:r>
      <w:r>
        <w:rPr>
          <w:rFonts w:hint="eastAsia"/>
          <w:highlight w:val="none"/>
          <w:lang w:val="en-US" w:eastAsia="zh-CN"/>
        </w:rPr>
        <w:t xml:space="preserve">    </w:t>
      </w:r>
      <w:r>
        <w:rPr>
          <w:spacing w:val="-1"/>
          <w:highlight w:val="none"/>
        </w:rPr>
        <w:t>址</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9"/>
        <w:keepNext w:val="0"/>
        <w:keepLines w:val="0"/>
        <w:pageBreakBefore w:val="0"/>
        <w:widowControl w:val="0"/>
        <w:tabs>
          <w:tab w:val="left" w:pos="3004"/>
          <w:tab w:val="left" w:pos="3964"/>
          <w:tab w:val="left" w:pos="4924"/>
        </w:tabs>
        <w:kinsoku/>
        <w:wordWrap/>
        <w:overflowPunct/>
        <w:topLinePunct w:val="0"/>
        <w:autoSpaceDE w:val="0"/>
        <w:autoSpaceDN w:val="0"/>
        <w:bidi w:val="0"/>
        <w:adjustRightInd/>
        <w:snapToGrid/>
        <w:spacing w:before="0" w:after="0" w:line="480" w:lineRule="auto"/>
        <w:ind w:left="0" w:right="0"/>
        <w:jc w:val="both"/>
        <w:textAlignment w:val="auto"/>
        <w:rPr>
          <w:sz w:val="19"/>
          <w:highlight w:val="none"/>
        </w:rPr>
      </w:pPr>
      <w:r>
        <w:rPr>
          <w:highlight w:val="none"/>
        </w:rPr>
        <w:t>成立时间：</w:t>
      </w:r>
      <w:r>
        <w:rPr>
          <w:highlight w:val="none"/>
          <w:u w:val="single"/>
        </w:rPr>
        <w:t xml:space="preserve"> </w:t>
      </w:r>
      <w:r>
        <w:rPr>
          <w:rFonts w:hint="eastAsia"/>
          <w:highlight w:val="none"/>
          <w:u w:val="single"/>
          <w:lang w:val="en-US" w:eastAsia="zh-CN"/>
        </w:rPr>
        <w:t xml:space="preserve">    </w:t>
      </w:r>
      <w:r>
        <w:rPr>
          <w:highlight w:val="none"/>
          <w:u w:val="single"/>
        </w:rPr>
        <w:t>年</w:t>
      </w:r>
      <w:r>
        <w:rPr>
          <w:rFonts w:hint="eastAsia"/>
          <w:highlight w:val="none"/>
          <w:u w:val="single"/>
          <w:lang w:val="en-US" w:eastAsia="zh-CN"/>
        </w:rPr>
        <w:t xml:space="preserve">      </w:t>
      </w:r>
      <w:r>
        <w:rPr>
          <w:highlight w:val="none"/>
          <w:u w:val="single"/>
        </w:rPr>
        <w:t>月</w:t>
      </w:r>
      <w:r>
        <w:rPr>
          <w:highlight w:val="none"/>
          <w:u w:val="single"/>
        </w:rPr>
        <w:tab/>
      </w:r>
      <w:r>
        <w:rPr>
          <w:rFonts w:hint="eastAsia"/>
          <w:highlight w:val="none"/>
          <w:u w:val="single"/>
          <w:lang w:val="en-US" w:eastAsia="zh-CN"/>
        </w:rPr>
        <w:t xml:space="preserve">       </w:t>
      </w:r>
      <w:r>
        <w:rPr>
          <w:highlight w:val="none"/>
          <w:u w:val="single"/>
        </w:rPr>
        <w:t>日</w:t>
      </w:r>
    </w:p>
    <w:p>
      <w:pPr>
        <w:pStyle w:val="9"/>
        <w:keepNext w:val="0"/>
        <w:keepLines w:val="0"/>
        <w:pageBreakBefore w:val="0"/>
        <w:widowControl w:val="0"/>
        <w:tabs>
          <w:tab w:val="left" w:pos="809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spacing w:val="-1"/>
          <w:highlight w:val="none"/>
        </w:rPr>
        <w:t>经</w:t>
      </w:r>
      <w:r>
        <w:rPr>
          <w:highlight w:val="none"/>
        </w:rPr>
        <w:t>营期限：</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1804"/>
          <w:tab w:val="left" w:pos="4083"/>
          <w:tab w:val="left" w:pos="5883"/>
          <w:tab w:val="left" w:pos="7084"/>
          <w:tab w:val="left" w:pos="815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highlight w:val="none"/>
        </w:rPr>
        <w:t>姓</w:t>
      </w:r>
      <w:r>
        <w:rPr>
          <w:rFonts w:hint="eastAsia"/>
          <w:highlight w:val="none"/>
          <w:lang w:val="en-US" w:eastAsia="zh-CN"/>
        </w:rPr>
        <w:t xml:space="preserve">    </w:t>
      </w:r>
      <w:r>
        <w:rPr>
          <w:highlight w:val="none"/>
        </w:rPr>
        <w:t>名：</w:t>
      </w:r>
      <w:r>
        <w:rPr>
          <w:spacing w:val="118"/>
          <w:highlight w:val="none"/>
          <w:u w:val="single"/>
        </w:rPr>
        <w:t xml:space="preserve"> </w:t>
      </w:r>
      <w:r>
        <w:rPr>
          <w:highlight w:val="none"/>
          <w:u w:val="single"/>
        </w:rPr>
        <w:t>（签字）</w:t>
      </w:r>
      <w:r>
        <w:rPr>
          <w:rFonts w:hint="eastAsia"/>
          <w:highlight w:val="none"/>
          <w:u w:val="single"/>
          <w:lang w:val="en-US" w:eastAsia="zh-CN"/>
        </w:rPr>
        <w:t xml:space="preserve">        </w:t>
      </w:r>
      <w:r>
        <w:rPr>
          <w:highlight w:val="none"/>
        </w:rPr>
        <w:t>性别</w:t>
      </w:r>
      <w:r>
        <w:rPr>
          <w:highlight w:val="none"/>
          <w:u w:val="single"/>
        </w:rPr>
        <w:t>：</w:t>
      </w:r>
      <w:r>
        <w:rPr>
          <w:rFonts w:hint="eastAsia"/>
          <w:highlight w:val="none"/>
          <w:u w:val="single"/>
          <w:lang w:val="en-US" w:eastAsia="zh-CN"/>
        </w:rPr>
        <w:t xml:space="preserve">       </w:t>
      </w:r>
      <w:r>
        <w:rPr>
          <w:highlight w:val="none"/>
        </w:rPr>
        <w:t>年龄：</w:t>
      </w:r>
      <w:r>
        <w:rPr>
          <w:highlight w:val="none"/>
          <w:u w:val="single"/>
        </w:rPr>
        <w:t xml:space="preserve"> </w:t>
      </w:r>
      <w:r>
        <w:rPr>
          <w:rFonts w:hint="eastAsia"/>
          <w:highlight w:val="none"/>
          <w:u w:val="single"/>
          <w:lang w:val="en-US" w:eastAsia="zh-CN"/>
        </w:rPr>
        <w:t xml:space="preserve">      </w:t>
      </w:r>
      <w:r>
        <w:rPr>
          <w:spacing w:val="-1"/>
          <w:highlight w:val="none"/>
        </w:rPr>
        <w:t>职</w:t>
      </w:r>
      <w:r>
        <w:rPr>
          <w:highlight w:val="none"/>
        </w:rPr>
        <w:t>务：</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537"/>
          <w:tab w:val="left" w:pos="1977"/>
          <w:tab w:val="left" w:pos="5696"/>
        </w:tabs>
        <w:kinsoku/>
        <w:wordWrap/>
        <w:overflowPunct/>
        <w:topLinePunct w:val="0"/>
        <w:autoSpaceDE w:val="0"/>
        <w:autoSpaceDN w:val="0"/>
        <w:bidi w:val="0"/>
        <w:adjustRightInd/>
        <w:snapToGrid/>
        <w:spacing w:before="0" w:after="0" w:line="480" w:lineRule="auto"/>
        <w:ind w:left="0" w:right="0"/>
        <w:jc w:val="both"/>
        <w:textAlignment w:val="auto"/>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r>
        <w:rPr>
          <w:highlight w:val="none"/>
        </w:rPr>
        <w:t>系</w:t>
      </w:r>
      <w:r>
        <w:rPr>
          <w:highlight w:val="none"/>
          <w:u w:val="single"/>
        </w:rPr>
        <w:t xml:space="preserve"> </w:t>
      </w:r>
      <w:r>
        <w:rPr>
          <w:rFonts w:hint="eastAsia"/>
          <w:highlight w:val="none"/>
          <w:u w:val="single"/>
          <w:lang w:val="en-US" w:eastAsia="zh-CN"/>
        </w:rPr>
        <w:t xml:space="preserve"> </w:t>
      </w:r>
      <w:r>
        <w:rPr>
          <w:highlight w:val="none"/>
          <w:u w:val="single"/>
        </w:rPr>
        <w:t>（供应商名称）</w:t>
      </w:r>
      <w:r>
        <w:rPr>
          <w:rFonts w:hint="eastAsia"/>
          <w:highlight w:val="none"/>
          <w:u w:val="single"/>
          <w:lang w:val="en-US" w:eastAsia="zh-CN"/>
        </w:rPr>
        <w:t xml:space="preserve">       </w:t>
      </w:r>
      <w:r>
        <w:rPr>
          <w:highlight w:val="none"/>
        </w:rPr>
        <w:t>的法定代表人。</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特此证明。</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附： 法定代表人身份证复印件</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7"/>
          <w:highlight w:val="none"/>
        </w:rPr>
      </w:pPr>
    </w:p>
    <w:p>
      <w:pPr>
        <w:pStyle w:val="9"/>
        <w:keepNext w:val="0"/>
        <w:keepLines w:val="0"/>
        <w:pageBreakBefore w:val="0"/>
        <w:widowControl w:val="0"/>
        <w:tabs>
          <w:tab w:val="left" w:pos="539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w:t>
      </w:r>
      <w:r>
        <w:rPr>
          <w:highlight w:val="none"/>
          <w:u w:val="single"/>
        </w:rPr>
        <w:t xml:space="preserve"> </w:t>
      </w:r>
      <w:r>
        <w:rPr>
          <w:rFonts w:hint="eastAsia"/>
          <w:highlight w:val="none"/>
          <w:u w:val="single"/>
          <w:lang w:val="en-US" w:eastAsia="zh-CN"/>
        </w:rPr>
        <w:t xml:space="preserve">       </w:t>
      </w:r>
      <w:r>
        <w:rPr>
          <w:highlight w:val="none"/>
          <w:u w:val="single"/>
        </w:rPr>
        <w:t>（盖章）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5"/>
          <w:highlight w:val="none"/>
        </w:rPr>
      </w:pPr>
    </w:p>
    <w:p>
      <w:pPr>
        <w:pStyle w:val="9"/>
        <w:keepNext w:val="0"/>
        <w:keepLines w:val="0"/>
        <w:pageBreakBefore w:val="0"/>
        <w:widowControl w:val="0"/>
        <w:tabs>
          <w:tab w:val="left" w:pos="4437"/>
          <w:tab w:val="left" w:pos="5637"/>
          <w:tab w:val="left" w:pos="6477"/>
          <w:tab w:val="left" w:pos="731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日</w:t>
      </w:r>
      <w:r>
        <w:rPr>
          <w:rFonts w:hint="eastAsia"/>
          <w:highlight w:val="none"/>
          <w:lang w:val="en-US" w:eastAsia="zh-CN"/>
        </w:rPr>
        <w:t xml:space="preserve">  </w:t>
      </w:r>
      <w:r>
        <w:rPr>
          <w:highlight w:val="none"/>
        </w:rPr>
        <w:t>期：</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pgSz w:w="11910" w:h="16840"/>
          <w:pgMar w:top="1580" w:right="1680" w:bottom="880" w:left="1680" w:header="0" w:footer="686" w:gutter="0"/>
          <w:pgBorders>
            <w:top w:val="none" w:sz="0" w:space="0"/>
            <w:left w:val="none" w:sz="0" w:space="0"/>
            <w:bottom w:val="none" w:sz="0" w:space="0"/>
            <w:right w:val="none" w:sz="0" w:space="0"/>
          </w:pgBorders>
          <w:pgNumType w:fmt="decimal"/>
        </w:sect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r>
        <w:rPr>
          <w:rFonts w:ascii="宋体" w:hAnsi="宋体" w:eastAsia="宋体" w:cs="宋体"/>
          <w:b/>
          <w:bCs/>
          <w:sz w:val="32"/>
          <w:szCs w:val="32"/>
          <w:highlight w:val="none"/>
          <w:lang w:val="en-US" w:eastAsia="en-US" w:bidi="ar-SA"/>
        </w:rPr>
        <w:t>法定代表人授权书（格式）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致：</w:t>
      </w:r>
      <w:r>
        <w:rPr>
          <w:rFonts w:hint="eastAsia"/>
          <w:highlight w:val="none"/>
          <w:u w:val="single"/>
          <w:lang w:val="en-US" w:eastAsia="zh-CN"/>
        </w:rPr>
        <w:t xml:space="preserve">         </w:t>
      </w:r>
      <w:r>
        <w:rPr>
          <w:highlight w:val="none"/>
        </w:rPr>
        <w:t>（招标人）</w:t>
      </w:r>
    </w:p>
    <w:p>
      <w:pPr>
        <w:pStyle w:val="9"/>
        <w:keepNext w:val="0"/>
        <w:keepLines w:val="0"/>
        <w:pageBreakBefore w:val="0"/>
        <w:widowControl w:val="0"/>
        <w:tabs>
          <w:tab w:val="left" w:pos="4797"/>
          <w:tab w:val="left" w:pos="8427"/>
        </w:tabs>
        <w:kinsoku/>
        <w:wordWrap/>
        <w:overflowPunct/>
        <w:topLinePunct w:val="0"/>
        <w:autoSpaceDE w:val="0"/>
        <w:autoSpaceDN w:val="0"/>
        <w:bidi w:val="0"/>
        <w:adjustRightInd/>
        <w:snapToGrid/>
        <w:spacing w:before="0" w:after="0" w:line="336" w:lineRule="auto"/>
        <w:ind w:left="0" w:right="0" w:firstLine="600"/>
        <w:jc w:val="both"/>
        <w:textAlignment w:val="auto"/>
        <w:rPr>
          <w:highlight w:val="none"/>
        </w:rPr>
      </w:pPr>
    </w:p>
    <w:p>
      <w:pPr>
        <w:pStyle w:val="9"/>
        <w:keepNext w:val="0"/>
        <w:keepLines w:val="0"/>
        <w:pageBreakBefore w:val="0"/>
        <w:widowControl w:val="0"/>
        <w:tabs>
          <w:tab w:val="left" w:pos="4797"/>
          <w:tab w:val="left" w:pos="8427"/>
        </w:tabs>
        <w:kinsoku/>
        <w:wordWrap/>
        <w:overflowPunct/>
        <w:topLinePunct w:val="0"/>
        <w:autoSpaceDE w:val="0"/>
        <w:autoSpaceDN w:val="0"/>
        <w:bidi w:val="0"/>
        <w:adjustRightInd/>
        <w:snapToGrid/>
        <w:spacing w:before="0" w:after="0" w:line="480" w:lineRule="exact"/>
        <w:ind w:left="0" w:right="0" w:firstLine="600"/>
        <w:jc w:val="both"/>
        <w:textAlignment w:val="auto"/>
        <w:rPr>
          <w:highlight w:val="none"/>
        </w:rPr>
      </w:pPr>
      <w:r>
        <w:rPr>
          <w:highlight w:val="none"/>
        </w:rPr>
        <w:t>我</w:t>
      </w:r>
      <w:r>
        <w:rPr>
          <w:spacing w:val="118"/>
          <w:highlight w:val="none"/>
          <w:u w:val="single"/>
        </w:rPr>
        <w:t xml:space="preserve"> </w:t>
      </w:r>
      <w:r>
        <w:rPr>
          <w:highlight w:val="none"/>
          <w:u w:val="single"/>
        </w:rPr>
        <w:t>（姓名）</w:t>
      </w:r>
      <w:r>
        <w:rPr>
          <w:highlight w:val="none"/>
        </w:rPr>
        <w:t>系</w:t>
      </w:r>
      <w:r>
        <w:rPr>
          <w:rFonts w:hint="eastAsia"/>
          <w:highlight w:val="none"/>
          <w:u w:val="single"/>
          <w:lang w:val="en-US" w:eastAsia="zh-CN"/>
        </w:rPr>
        <w:t xml:space="preserve">   </w:t>
      </w:r>
      <w:r>
        <w:rPr>
          <w:highlight w:val="none"/>
          <w:u w:val="single"/>
        </w:rPr>
        <w:t>（投标单位全称）</w:t>
      </w:r>
      <w:r>
        <w:rPr>
          <w:highlight w:val="none"/>
        </w:rPr>
        <w:t>法定代表人，兹委派我单位职工</w:t>
      </w:r>
      <w:r>
        <w:rPr>
          <w:rFonts w:hint="eastAsia"/>
          <w:highlight w:val="none"/>
          <w:u w:val="single"/>
          <w:lang w:val="en-US" w:eastAsia="zh-CN"/>
        </w:rPr>
        <w:t xml:space="preserve">  </w:t>
      </w:r>
      <w:r>
        <w:rPr>
          <w:highlight w:val="none"/>
          <w:u w:val="single"/>
        </w:rPr>
        <w:t>(全权代表姓名)</w:t>
      </w:r>
      <w:r>
        <w:rPr>
          <w:highlight w:val="none"/>
        </w:rPr>
        <w:t>参加贵方组织的</w:t>
      </w:r>
      <w:r>
        <w:rPr>
          <w:highlight w:val="none"/>
          <w:u w:val="single"/>
        </w:rPr>
        <w:t xml:space="preserve"> </w:t>
      </w:r>
      <w:r>
        <w:rPr>
          <w:rFonts w:hint="eastAsia"/>
          <w:highlight w:val="none"/>
          <w:u w:val="single"/>
          <w:lang w:val="en-US" w:eastAsia="zh-CN"/>
        </w:rPr>
        <w:t xml:space="preserve">   （项目名称 ）   </w:t>
      </w:r>
      <w:r>
        <w:rPr>
          <w:highlight w:val="none"/>
        </w:rPr>
        <w:t>竞争性磋商项</w:t>
      </w:r>
      <w:r>
        <w:rPr>
          <w:spacing w:val="-46"/>
          <w:highlight w:val="none"/>
        </w:rPr>
        <w:t>目</w:t>
      </w:r>
      <w:r>
        <w:rPr>
          <w:highlight w:val="none"/>
        </w:rPr>
        <w:t>（编号：</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highlight w:val="none"/>
        </w:rPr>
        <w:t>）活动，全权代表我单位处理本次报价中的有关事务。本授权书于签字盖章后生效，特此声明。</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highlight w:val="none"/>
        </w:rPr>
      </w:pPr>
      <w:r>
        <w:rPr>
          <w:highlight w:val="none"/>
        </w:rPr>
        <w:t>（授权人无转委权）。附全权代表情况：</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highlight w:val="none"/>
        </w:rPr>
        <w:t>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身份证号码:</w:t>
      </w:r>
      <w:r>
        <w:rPr>
          <w:spacing w:val="-1"/>
          <w:highlight w:val="none"/>
        </w:rPr>
        <w:t xml:space="preserve"> </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highlight w:val="none"/>
        </w:rPr>
        <w:t>部门：</w:t>
      </w:r>
      <w:r>
        <w:rPr>
          <w:rFonts w:hint="eastAsia"/>
          <w:highlight w:val="none"/>
          <w:u w:val="single"/>
          <w:lang w:val="en-US" w:eastAsia="zh-CN"/>
        </w:rPr>
        <w:t xml:space="preserve">                   </w:t>
      </w:r>
      <w:r>
        <w:rPr>
          <w:highlight w:val="none"/>
        </w:rPr>
        <w:t>职务:</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ascii="Times New Roman" w:eastAsia="Times New Roman"/>
          <w:highlight w:val="none"/>
          <w:u w:val="single"/>
        </w:rPr>
      </w:pPr>
      <w:r>
        <w:rPr>
          <w:highlight w:val="none"/>
        </w:rPr>
        <w:t>通讯地址：</w:t>
      </w:r>
      <w:r>
        <w:rPr>
          <w:rFonts w:hint="eastAsia"/>
          <w:highlight w:val="none"/>
          <w:u w:val="single"/>
          <w:lang w:val="en-US" w:eastAsia="zh-CN"/>
        </w:rPr>
        <w:t xml:space="preserve">                   </w:t>
      </w:r>
      <w:r>
        <w:rPr>
          <w:highlight w:val="none"/>
        </w:rPr>
        <w:t>邮政编码:</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rFonts w:ascii="Times New Roman" w:eastAsia="Times New Roman"/>
          <w:highlight w:val="none"/>
          <w:u w:val="single"/>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highlight w:val="none"/>
        </w:rPr>
        <w:t>移动电话：</w:t>
      </w:r>
      <w:r>
        <w:rPr>
          <w:highlight w:val="none"/>
          <w:u w:val="single"/>
        </w:rPr>
        <w:tab/>
      </w:r>
      <w:r>
        <w:rPr>
          <w:highlight w:val="none"/>
          <w:u w:val="single"/>
        </w:rPr>
        <w:tab/>
      </w:r>
      <w:r>
        <w:rPr>
          <w:highlight w:val="none"/>
          <w:u w:val="single"/>
        </w:rPr>
        <w:tab/>
      </w:r>
      <w:r>
        <w:rPr>
          <w:highlight w:val="none"/>
          <w:u w:val="single"/>
        </w:rPr>
        <w:tab/>
      </w:r>
      <w:r>
        <w:rPr>
          <w:highlight w:val="none"/>
        </w:rPr>
        <w:t>固定电话:</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lang w:val="en-US" w:eastAsia="zh-CN"/>
        </w:rPr>
      </w:pPr>
      <w:r>
        <w:rPr>
          <w:spacing w:val="-1"/>
          <w:highlight w:val="none"/>
        </w:rPr>
        <w:t>授</w:t>
      </w:r>
      <w:r>
        <w:rPr>
          <w:highlight w:val="none"/>
        </w:rPr>
        <w:t>权代表：（签字）</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16"/>
          <w:highlight w:val="none"/>
        </w:rPr>
      </w:pP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附： 法定代表人身份证复印件</w:t>
      </w:r>
      <w:r>
        <w:rPr>
          <w:highlight w:val="none"/>
        </w:rPr>
        <w:tab/>
      </w:r>
      <w:r>
        <w:rPr>
          <w:highlight w:val="none"/>
        </w:rPr>
        <w:t>法定代表人授权代表身份证复印件</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3"/>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3"/>
          <w:highlight w:val="none"/>
        </w:rPr>
      </w:pPr>
    </w:p>
    <w:p>
      <w:pPr>
        <w:pStyle w:val="2"/>
        <w:jc w:val="both"/>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供应商（公章）：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tabs>
          <w:tab w:val="left" w:pos="1975"/>
        </w:tabs>
        <w:kinsoku/>
        <w:wordWrap/>
        <w:overflowPunct/>
        <w:topLinePunct w:val="0"/>
        <w:autoSpaceDE w:val="0"/>
        <w:autoSpaceDN w:val="0"/>
        <w:bidi w:val="0"/>
        <w:adjustRightInd/>
        <w:snapToGrid/>
        <w:spacing w:before="0" w:after="0" w:line="417" w:lineRule="auto"/>
        <w:ind w:left="0" w:right="0" w:firstLine="0"/>
        <w:jc w:val="both"/>
        <w:textAlignment w:val="auto"/>
        <w:rPr>
          <w:sz w:val="28"/>
          <w:highlight w:val="none"/>
        </w:rPr>
      </w:pPr>
      <w:r>
        <w:rPr>
          <w:spacing w:val="-1"/>
          <w:sz w:val="28"/>
          <w:highlight w:val="none"/>
        </w:rPr>
        <w:t>法</w:t>
      </w:r>
      <w:r>
        <w:rPr>
          <w:spacing w:val="-3"/>
          <w:sz w:val="28"/>
          <w:highlight w:val="none"/>
        </w:rPr>
        <w:t>定</w:t>
      </w:r>
      <w:r>
        <w:rPr>
          <w:spacing w:val="-1"/>
          <w:sz w:val="28"/>
          <w:highlight w:val="none"/>
        </w:rPr>
        <w:t>代</w:t>
      </w:r>
      <w:r>
        <w:rPr>
          <w:sz w:val="28"/>
          <w:highlight w:val="none"/>
        </w:rPr>
        <w:t>表</w:t>
      </w:r>
      <w:r>
        <w:rPr>
          <w:spacing w:val="-3"/>
          <w:sz w:val="28"/>
          <w:highlight w:val="none"/>
        </w:rPr>
        <w:t>人</w:t>
      </w:r>
      <w:r>
        <w:rPr>
          <w:sz w:val="28"/>
          <w:highlight w:val="none"/>
        </w:rPr>
        <w:t>或全</w:t>
      </w:r>
      <w:r>
        <w:rPr>
          <w:spacing w:val="-3"/>
          <w:sz w:val="28"/>
          <w:highlight w:val="none"/>
        </w:rPr>
        <w:t>权</w:t>
      </w:r>
      <w:r>
        <w:rPr>
          <w:sz w:val="28"/>
          <w:highlight w:val="none"/>
        </w:rPr>
        <w:t>代表</w:t>
      </w:r>
      <w:r>
        <w:rPr>
          <w:spacing w:val="-3"/>
          <w:sz w:val="28"/>
          <w:highlight w:val="none"/>
        </w:rPr>
        <w:t>（</w:t>
      </w:r>
      <w:r>
        <w:rPr>
          <w:sz w:val="28"/>
          <w:highlight w:val="none"/>
        </w:rPr>
        <w:t>签字</w:t>
      </w:r>
      <w:r>
        <w:rPr>
          <w:spacing w:val="-3"/>
          <w:sz w:val="28"/>
          <w:highlight w:val="none"/>
        </w:rPr>
        <w:t>或</w:t>
      </w:r>
      <w:r>
        <w:rPr>
          <w:sz w:val="28"/>
          <w:highlight w:val="none"/>
        </w:rPr>
        <w:t>盖章）：</w:t>
      </w:r>
    </w:p>
    <w:p>
      <w:pPr>
        <w:pStyle w:val="2"/>
        <w:jc w:val="both"/>
        <w:rPr>
          <w:rFonts w:hint="default" w:ascii="宋体" w:hAnsi="宋体" w:eastAsia="宋体" w:cs="宋体"/>
          <w:b w:val="0"/>
          <w:spacing w:val="-3"/>
          <w:sz w:val="28"/>
          <w:szCs w:val="22"/>
          <w:highlight w:val="none"/>
          <w:lang w:val="en-US" w:eastAsia="zh-CN" w:bidi="ar-SA"/>
        </w:rPr>
        <w:sectPr>
          <w:type w:val="continuous"/>
          <w:pgSz w:w="11910" w:h="16840"/>
          <w:pgMar w:top="1440" w:right="1600" w:bottom="1134" w:left="1680" w:header="720" w:footer="720" w:gutter="0"/>
          <w:pgBorders>
            <w:top w:val="none" w:sz="0" w:space="0"/>
            <w:left w:val="none" w:sz="0" w:space="0"/>
            <w:bottom w:val="none" w:sz="0" w:space="0"/>
            <w:right w:val="none" w:sz="0" w:space="0"/>
          </w:pgBorders>
          <w:pgNumType w:fmt="decimal"/>
        </w:sectPr>
      </w:pPr>
      <w:r>
        <w:rPr>
          <w:rFonts w:hint="eastAsia" w:ascii="宋体" w:hAnsi="宋体" w:eastAsia="宋体" w:cs="宋体"/>
          <w:b w:val="0"/>
          <w:spacing w:val="-3"/>
          <w:sz w:val="28"/>
          <w:szCs w:val="22"/>
          <w:highlight w:val="none"/>
          <w:lang w:val="en-US" w:eastAsia="zh-CN" w:bidi="ar-SA"/>
        </w:rPr>
        <w:t>日</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期：</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年</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月</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0"/>
        <w:jc w:val="center"/>
        <w:textAlignment w:val="auto"/>
        <w:rPr>
          <w:b/>
          <w:sz w:val="36"/>
          <w:highlight w:val="none"/>
        </w:rPr>
      </w:pPr>
      <w:r>
        <w:rPr>
          <w:rFonts w:hint="eastAsia"/>
          <w:b/>
          <w:sz w:val="36"/>
          <w:highlight w:val="none"/>
          <w:lang w:val="en-US" w:eastAsia="zh-CN"/>
        </w:rPr>
        <w:t>3、工程量清单</w:t>
      </w:r>
      <w:r>
        <w:rPr>
          <w:b/>
          <w:sz w:val="36"/>
          <w:highlight w:val="none"/>
        </w:rPr>
        <w:t>报价一览表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6"/>
          <w:highlight w:val="none"/>
        </w:rPr>
      </w:pPr>
    </w:p>
    <w:p>
      <w:pPr>
        <w:pStyle w:val="9"/>
        <w:keepNext w:val="0"/>
        <w:keepLines w:val="0"/>
        <w:pageBreakBefore w:val="0"/>
        <w:widowControl w:val="0"/>
        <w:tabs>
          <w:tab w:val="left" w:pos="3377"/>
        </w:tabs>
        <w:kinsoku/>
        <w:wordWrap/>
        <w:overflowPunct/>
        <w:topLinePunct w:val="0"/>
        <w:autoSpaceDE w:val="0"/>
        <w:autoSpaceDN w:val="0"/>
        <w:bidi w:val="0"/>
        <w:adjustRightInd/>
        <w:snapToGrid/>
        <w:spacing w:before="0" w:after="0"/>
        <w:ind w:left="0" w:right="0"/>
        <w:jc w:val="both"/>
        <w:textAlignment w:val="auto"/>
        <w:rPr>
          <w:rFonts w:ascii="Times New Roman" w:eastAsia="Times New Roman"/>
          <w:highlight w:val="none"/>
        </w:rPr>
      </w:pPr>
      <w:r>
        <w:rPr>
          <w:highlight w:val="none"/>
        </w:rPr>
        <w:t>项目名称：</w:t>
      </w:r>
    </w:p>
    <w:p>
      <w:pPr>
        <w:pStyle w:val="9"/>
        <w:keepNext w:val="0"/>
        <w:keepLines w:val="0"/>
        <w:pageBreakBefore w:val="0"/>
        <w:widowControl w:val="0"/>
        <w:tabs>
          <w:tab w:val="left" w:pos="289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项目编号：</w:t>
      </w:r>
    </w:p>
    <w:tbl>
      <w:tblPr>
        <w:tblStyle w:val="13"/>
        <w:tblW w:w="9914" w:type="dxa"/>
        <w:jc w:val="center"/>
        <w:tblInd w:w="0" w:type="dxa"/>
        <w:shd w:val="clear" w:color="auto" w:fill="auto"/>
        <w:tblLayout w:type="fixed"/>
        <w:tblCellMar>
          <w:top w:w="0" w:type="dxa"/>
          <w:left w:w="0" w:type="dxa"/>
          <w:bottom w:w="0" w:type="dxa"/>
          <w:right w:w="0" w:type="dxa"/>
        </w:tblCellMar>
      </w:tblPr>
      <w:tblGrid>
        <w:gridCol w:w="596"/>
        <w:gridCol w:w="1522"/>
        <w:gridCol w:w="1523"/>
        <w:gridCol w:w="1785"/>
        <w:gridCol w:w="625"/>
        <w:gridCol w:w="855"/>
        <w:gridCol w:w="1215"/>
        <w:gridCol w:w="925"/>
        <w:gridCol w:w="868"/>
      </w:tblGrid>
      <w:tr>
        <w:tblPrEx>
          <w:shd w:val="clear" w:color="auto" w:fill="auto"/>
          <w:tblLayout w:type="fixed"/>
          <w:tblCellMar>
            <w:top w:w="0" w:type="dxa"/>
            <w:left w:w="0" w:type="dxa"/>
            <w:bottom w:w="0" w:type="dxa"/>
            <w:right w:w="0" w:type="dxa"/>
          </w:tblCellMar>
        </w:tblPrEx>
        <w:trPr>
          <w:trHeight w:val="279" w:hRule="atLeast"/>
          <w:tblHeader/>
          <w:jc w:val="center"/>
        </w:trPr>
        <w:tc>
          <w:tcPr>
            <w:tcW w:w="596" w:type="dxa"/>
            <w:vMerge w:val="restart"/>
            <w:tcBorders>
              <w:top w:val="single" w:color="000000" w:sz="4" w:space="0"/>
              <w:left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2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523"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178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62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计量单位</w:t>
            </w:r>
          </w:p>
        </w:tc>
        <w:tc>
          <w:tcPr>
            <w:tcW w:w="85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3008" w:type="dxa"/>
            <w:gridSpan w:val="3"/>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275" w:hRule="atLeast"/>
          <w:tblHeader/>
          <w:jc w:val="center"/>
        </w:trPr>
        <w:tc>
          <w:tcPr>
            <w:tcW w:w="596" w:type="dxa"/>
            <w:vMerge w:val="continue"/>
            <w:tcBorders>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vMerge w:val="restart"/>
            <w:tcBorders>
              <w:top w:val="single" w:color="auto" w:sz="4" w:space="0"/>
              <w:left w:val="single" w:color="000000"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综合单价</w:t>
            </w:r>
          </w:p>
        </w:tc>
        <w:tc>
          <w:tcPr>
            <w:tcW w:w="925" w:type="dxa"/>
            <w:vMerge w:val="restart"/>
            <w:tcBorders>
              <w:top w:val="single" w:color="auto" w:sz="4" w:space="0"/>
              <w:left w:val="single" w:color="000000" w:sz="4" w:space="0"/>
              <w:right w:val="single" w:color="auto"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合价</w:t>
            </w:r>
          </w:p>
        </w:tc>
        <w:tc>
          <w:tcPr>
            <w:tcW w:w="868" w:type="dxa"/>
            <w:tcBorders>
              <w:top w:val="single" w:color="auto" w:sz="4" w:space="0"/>
              <w:left w:val="single" w:color="auto" w:sz="4" w:space="0"/>
              <w:bottom w:val="single" w:color="auto"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其中</w:t>
            </w:r>
          </w:p>
        </w:tc>
      </w:tr>
      <w:tr>
        <w:tblPrEx>
          <w:shd w:val="clear" w:color="auto" w:fill="auto"/>
          <w:tblLayout w:type="fixed"/>
          <w:tblCellMar>
            <w:top w:w="0" w:type="dxa"/>
            <w:left w:w="0" w:type="dxa"/>
            <w:bottom w:w="0" w:type="dxa"/>
            <w:right w:w="0" w:type="dxa"/>
          </w:tblCellMar>
        </w:tblPrEx>
        <w:trPr>
          <w:trHeight w:val="225" w:hRule="atLeast"/>
          <w:tblHeader/>
          <w:jc w:val="center"/>
        </w:trPr>
        <w:tc>
          <w:tcPr>
            <w:tcW w:w="596" w:type="dxa"/>
            <w:vMerge w:val="continue"/>
            <w:tcBorders>
              <w:left w:val="single" w:color="000000" w:sz="8"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p>
        </w:tc>
        <w:tc>
          <w:tcPr>
            <w:tcW w:w="925" w:type="dxa"/>
            <w:vMerge w:val="continue"/>
            <w:tcBorders>
              <w:left w:val="single" w:color="000000" w:sz="4" w:space="0"/>
              <w:bottom w:val="single" w:color="auto" w:sz="4" w:space="0"/>
              <w:right w:val="single" w:color="auto"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000000" w:sz="4" w:space="0"/>
            </w:tcBorders>
            <w:shd w:val="clear" w:color="FFFFFF" w:fill="FFFFFF"/>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暂估价</w:t>
            </w:r>
          </w:p>
        </w:tc>
      </w:tr>
      <w:tr>
        <w:tblPrEx>
          <w:shd w:val="clear" w:color="auto" w:fill="auto"/>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both"/>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bl>
    <w:p>
      <w:pPr>
        <w:pStyle w:val="9"/>
        <w:keepNext w:val="0"/>
        <w:keepLines w:val="0"/>
        <w:pageBreakBefore w:val="0"/>
        <w:widowControl w:val="0"/>
        <w:tabs>
          <w:tab w:val="left" w:pos="2897"/>
        </w:tabs>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注：1.按照</w:t>
      </w:r>
      <w:r>
        <w:rPr>
          <w:rFonts w:hint="eastAsia"/>
          <w:highlight w:val="none"/>
          <w:lang w:val="en-US" w:eastAsia="zh-CN"/>
        </w:rPr>
        <w:t>工程量清单</w:t>
      </w:r>
      <w:r>
        <w:rPr>
          <w:highlight w:val="none"/>
        </w:rPr>
        <w:t>详细填列。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2.行数不够，可自行添加。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3"/>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供应商（公章）：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tabs>
          <w:tab w:val="left" w:pos="1975"/>
        </w:tabs>
        <w:kinsoku/>
        <w:wordWrap/>
        <w:overflowPunct/>
        <w:topLinePunct w:val="0"/>
        <w:autoSpaceDE w:val="0"/>
        <w:autoSpaceDN w:val="0"/>
        <w:bidi w:val="0"/>
        <w:adjustRightInd/>
        <w:snapToGrid/>
        <w:spacing w:before="0" w:after="0" w:line="417" w:lineRule="auto"/>
        <w:ind w:left="0" w:right="0" w:firstLine="0"/>
        <w:jc w:val="both"/>
        <w:textAlignment w:val="auto"/>
        <w:rPr>
          <w:sz w:val="28"/>
          <w:highlight w:val="none"/>
        </w:rPr>
      </w:pPr>
      <w:r>
        <w:rPr>
          <w:spacing w:val="-1"/>
          <w:sz w:val="28"/>
          <w:highlight w:val="none"/>
        </w:rPr>
        <w:t>法</w:t>
      </w:r>
      <w:r>
        <w:rPr>
          <w:spacing w:val="-3"/>
          <w:sz w:val="28"/>
          <w:highlight w:val="none"/>
        </w:rPr>
        <w:t>定</w:t>
      </w:r>
      <w:r>
        <w:rPr>
          <w:spacing w:val="-1"/>
          <w:sz w:val="28"/>
          <w:highlight w:val="none"/>
        </w:rPr>
        <w:t>代</w:t>
      </w:r>
      <w:r>
        <w:rPr>
          <w:sz w:val="28"/>
          <w:highlight w:val="none"/>
        </w:rPr>
        <w:t>表</w:t>
      </w:r>
      <w:r>
        <w:rPr>
          <w:spacing w:val="-3"/>
          <w:sz w:val="28"/>
          <w:highlight w:val="none"/>
        </w:rPr>
        <w:t>人</w:t>
      </w:r>
      <w:r>
        <w:rPr>
          <w:sz w:val="28"/>
          <w:highlight w:val="none"/>
        </w:rPr>
        <w:t>或全</w:t>
      </w:r>
      <w:r>
        <w:rPr>
          <w:spacing w:val="-3"/>
          <w:sz w:val="28"/>
          <w:highlight w:val="none"/>
        </w:rPr>
        <w:t>权</w:t>
      </w:r>
      <w:r>
        <w:rPr>
          <w:sz w:val="28"/>
          <w:highlight w:val="none"/>
        </w:rPr>
        <w:t>代表</w:t>
      </w:r>
      <w:r>
        <w:rPr>
          <w:spacing w:val="-3"/>
          <w:sz w:val="28"/>
          <w:highlight w:val="none"/>
        </w:rPr>
        <w:t>（</w:t>
      </w:r>
      <w:r>
        <w:rPr>
          <w:sz w:val="28"/>
          <w:highlight w:val="none"/>
        </w:rPr>
        <w:t>签字</w:t>
      </w:r>
      <w:r>
        <w:rPr>
          <w:spacing w:val="-3"/>
          <w:sz w:val="28"/>
          <w:highlight w:val="none"/>
        </w:rPr>
        <w:t>或</w:t>
      </w:r>
      <w:r>
        <w:rPr>
          <w:sz w:val="28"/>
          <w:highlight w:val="none"/>
        </w:rPr>
        <w:t>盖章）：</w:t>
      </w:r>
    </w:p>
    <w:p>
      <w:pPr>
        <w:keepNext w:val="0"/>
        <w:keepLines w:val="0"/>
        <w:pageBreakBefore w:val="0"/>
        <w:widowControl w:val="0"/>
        <w:tabs>
          <w:tab w:val="left" w:pos="1975"/>
        </w:tabs>
        <w:kinsoku/>
        <w:wordWrap/>
        <w:overflowPunct/>
        <w:topLinePunct w:val="0"/>
        <w:autoSpaceDE w:val="0"/>
        <w:autoSpaceDN w:val="0"/>
        <w:bidi w:val="0"/>
        <w:adjustRightInd/>
        <w:snapToGrid/>
        <w:spacing w:before="0" w:after="0" w:line="417" w:lineRule="auto"/>
        <w:ind w:left="0" w:right="0" w:firstLine="0"/>
        <w:jc w:val="both"/>
        <w:textAlignment w:val="auto"/>
        <w:rPr>
          <w:rFonts w:hint="default" w:eastAsia="宋体"/>
          <w:sz w:val="28"/>
          <w:highlight w:val="none"/>
          <w:lang w:val="en-US" w:eastAsia="zh-CN"/>
        </w:rPr>
        <w:sectPr>
          <w:pgSz w:w="11910" w:h="16840"/>
          <w:pgMar w:top="1480" w:right="1180" w:bottom="1134" w:left="1360" w:header="0" w:footer="686" w:gutter="0"/>
          <w:pgBorders>
            <w:top w:val="none" w:sz="0" w:space="0"/>
            <w:left w:val="none" w:sz="0" w:space="0"/>
            <w:bottom w:val="none" w:sz="0" w:space="0"/>
            <w:right w:val="none" w:sz="0" w:space="0"/>
          </w:pgBorders>
          <w:pgNumType w:fmt="decimal"/>
        </w:sectPr>
      </w:pPr>
      <w:r>
        <w:rPr>
          <w:sz w:val="28"/>
          <w:highlight w:val="none"/>
        </w:rPr>
        <w:t xml:space="preserve"> 日</w:t>
      </w:r>
      <w:r>
        <w:rPr>
          <w:sz w:val="28"/>
          <w:highlight w:val="none"/>
        </w:rPr>
        <w:tab/>
      </w:r>
      <w:r>
        <w:rPr>
          <w:spacing w:val="-1"/>
          <w:sz w:val="28"/>
          <w:highlight w:val="none"/>
        </w:rPr>
        <w:t>期</w:t>
      </w:r>
      <w:r>
        <w:rPr>
          <w:sz w:val="28"/>
          <w:highlight w:val="none"/>
        </w:rPr>
        <w:t>：</w:t>
      </w:r>
      <w:r>
        <w:rPr>
          <w:rFonts w:hint="eastAsia"/>
          <w:sz w:val="28"/>
          <w:highlight w:val="none"/>
          <w:lang w:val="en-US" w:eastAsia="zh-CN"/>
        </w:rPr>
        <w:t xml:space="preserve">   年   月     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6"/>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1" w:lineRule="exact"/>
        <w:ind w:left="0" w:right="0" w:firstLine="0"/>
        <w:jc w:val="center"/>
        <w:textAlignment w:val="auto"/>
        <w:rPr>
          <w:b/>
          <w:sz w:val="32"/>
          <w:highlight w:val="none"/>
        </w:rPr>
      </w:pPr>
      <w:r>
        <w:rPr>
          <w:rFonts w:hint="eastAsia"/>
          <w:b/>
          <w:w w:val="95"/>
          <w:sz w:val="32"/>
          <w:highlight w:val="none"/>
          <w:lang w:val="en-US" w:eastAsia="zh-CN"/>
        </w:rPr>
        <w:t>4、</w:t>
      </w:r>
      <w:r>
        <w:rPr>
          <w:b/>
          <w:w w:val="95"/>
          <w:sz w:val="32"/>
          <w:highlight w:val="none"/>
        </w:rPr>
        <w:t>企业概况表（格式）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6"/>
          <w:highlight w:val="none"/>
        </w:rPr>
      </w:pPr>
    </w:p>
    <w:tbl>
      <w:tblPr>
        <w:tblStyle w:val="13"/>
        <w:tblW w:w="828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0"/>
        <w:gridCol w:w="2069"/>
        <w:gridCol w:w="2070"/>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企业名称</w:t>
            </w:r>
          </w:p>
        </w:tc>
        <w:tc>
          <w:tcPr>
            <w:tcW w:w="206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建立日期</w:t>
            </w:r>
          </w:p>
        </w:tc>
        <w:tc>
          <w:tcPr>
            <w:tcW w:w="207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经营方式</w:t>
            </w:r>
          </w:p>
        </w:tc>
        <w:tc>
          <w:tcPr>
            <w:tcW w:w="206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企业性质</w:t>
            </w:r>
          </w:p>
        </w:tc>
        <w:tc>
          <w:tcPr>
            <w:tcW w:w="207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批准单位</w:t>
            </w:r>
          </w:p>
        </w:tc>
        <w:tc>
          <w:tcPr>
            <w:tcW w:w="2069"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地</w:t>
            </w:r>
            <w:r>
              <w:rPr>
                <w:rFonts w:hint="eastAsia"/>
                <w:sz w:val="24"/>
                <w:highlight w:val="none"/>
                <w:lang w:val="en-US" w:eastAsia="zh-CN"/>
              </w:rPr>
              <w:t xml:space="preserve"> </w:t>
            </w:r>
            <w:r>
              <w:rPr>
                <w:sz w:val="24"/>
                <w:highlight w:val="none"/>
              </w:rPr>
              <w:t>址</w:t>
            </w:r>
          </w:p>
        </w:tc>
        <w:tc>
          <w:tcPr>
            <w:tcW w:w="207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经营范围</w:t>
            </w:r>
          </w:p>
        </w:tc>
        <w:tc>
          <w:tcPr>
            <w:tcW w:w="6210"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0" w:hRule="atLeast"/>
        </w:trPr>
        <w:tc>
          <w:tcPr>
            <w:tcW w:w="20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center"/>
              <w:textAlignment w:val="auto"/>
              <w:rPr>
                <w:sz w:val="24"/>
                <w:highlight w:val="none"/>
              </w:rPr>
            </w:pPr>
            <w:r>
              <w:rPr>
                <w:sz w:val="24"/>
                <w:highlight w:val="none"/>
              </w:rPr>
              <w:t>投标单位简历</w:t>
            </w:r>
          </w:p>
        </w:tc>
        <w:tc>
          <w:tcPr>
            <w:tcW w:w="6210"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bl>
    <w:p>
      <w:pPr>
        <w:pStyle w:val="9"/>
        <w:keepNext w:val="0"/>
        <w:keepLines w:val="0"/>
        <w:pageBreakBefore w:val="0"/>
        <w:widowControl w:val="0"/>
        <w:tabs>
          <w:tab w:val="left" w:pos="8587"/>
        </w:tabs>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tabs>
          <w:tab w:val="left" w:pos="8587"/>
        </w:tabs>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tabs>
          <w:tab w:val="left" w:pos="8587"/>
        </w:tabs>
        <w:kinsoku/>
        <w:wordWrap/>
        <w:overflowPunct/>
        <w:topLinePunct w:val="0"/>
        <w:autoSpaceDE w:val="0"/>
        <w:autoSpaceDN w:val="0"/>
        <w:bidi w:val="0"/>
        <w:adjustRightInd/>
        <w:snapToGrid/>
        <w:spacing w:before="0" w:after="0"/>
        <w:ind w:left="0" w:right="0"/>
        <w:jc w:val="both"/>
        <w:textAlignment w:val="auto"/>
        <w:rPr>
          <w:rFonts w:ascii="Times New Roman" w:eastAsia="Times New Roman"/>
          <w:highlight w:val="none"/>
        </w:rPr>
      </w:pPr>
      <w:r>
        <w:rPr>
          <w:highlight w:val="none"/>
        </w:rPr>
        <w:t>供应商</w:t>
      </w:r>
      <w:r>
        <w:rPr>
          <w:spacing w:val="-8"/>
          <w:highlight w:val="none"/>
        </w:rPr>
        <w:t>:</w:t>
      </w:r>
      <w:r>
        <w:rPr>
          <w:rFonts w:hint="eastAsia"/>
          <w:spacing w:val="-8"/>
          <w:highlight w:val="none"/>
          <w:lang w:val="en-US" w:eastAsia="zh-CN"/>
        </w:rPr>
        <w:t xml:space="preserve">  </w:t>
      </w:r>
      <w:r>
        <w:rPr>
          <w:spacing w:val="-3"/>
          <w:highlight w:val="none"/>
        </w:rPr>
        <w:t>（</w:t>
      </w:r>
      <w:r>
        <w:rPr>
          <w:highlight w:val="none"/>
        </w:rPr>
        <w:t>盖章</w:t>
      </w:r>
      <w:r>
        <w:rPr>
          <w:spacing w:val="-8"/>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r>
        <w:rPr>
          <w:spacing w:val="-1"/>
          <w:sz w:val="28"/>
          <w:highlight w:val="none"/>
        </w:rPr>
        <w:t>法</w:t>
      </w:r>
      <w:r>
        <w:rPr>
          <w:spacing w:val="-3"/>
          <w:sz w:val="28"/>
          <w:highlight w:val="none"/>
        </w:rPr>
        <w:t>定</w:t>
      </w:r>
      <w:r>
        <w:rPr>
          <w:spacing w:val="-1"/>
          <w:sz w:val="28"/>
          <w:highlight w:val="none"/>
        </w:rPr>
        <w:t>代</w:t>
      </w:r>
      <w:r>
        <w:rPr>
          <w:sz w:val="28"/>
          <w:highlight w:val="none"/>
        </w:rPr>
        <w:t>表</w:t>
      </w:r>
      <w:r>
        <w:rPr>
          <w:spacing w:val="-3"/>
          <w:sz w:val="28"/>
          <w:highlight w:val="none"/>
        </w:rPr>
        <w:t>人</w:t>
      </w:r>
      <w:r>
        <w:rPr>
          <w:sz w:val="28"/>
          <w:highlight w:val="none"/>
        </w:rPr>
        <w:t>或全</w:t>
      </w:r>
      <w:r>
        <w:rPr>
          <w:spacing w:val="-3"/>
          <w:sz w:val="28"/>
          <w:highlight w:val="none"/>
        </w:rPr>
        <w:t>权</w:t>
      </w:r>
      <w:r>
        <w:rPr>
          <w:sz w:val="28"/>
          <w:highlight w:val="none"/>
        </w:rPr>
        <w:t>代表</w:t>
      </w:r>
      <w:r>
        <w:rPr>
          <w:spacing w:val="-3"/>
          <w:sz w:val="28"/>
          <w:highlight w:val="none"/>
        </w:rPr>
        <w:t>（</w:t>
      </w:r>
      <w:r>
        <w:rPr>
          <w:sz w:val="28"/>
          <w:highlight w:val="none"/>
        </w:rPr>
        <w:t>签字</w:t>
      </w:r>
      <w:r>
        <w:rPr>
          <w:spacing w:val="-3"/>
          <w:sz w:val="28"/>
          <w:highlight w:val="none"/>
        </w:rPr>
        <w:t>或</w:t>
      </w:r>
      <w:r>
        <w:rPr>
          <w:sz w:val="28"/>
          <w:highlight w:val="none"/>
        </w:rPr>
        <w:t>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hint="eastAsia"/>
          <w:spacing w:val="-1"/>
          <w:sz w:val="28"/>
          <w:highlight w:val="none"/>
          <w:lang w:val="en-US" w:eastAsia="zh-CN"/>
        </w:rPr>
      </w:pPr>
      <w:r>
        <w:rPr>
          <w:rFonts w:hint="eastAsia"/>
          <w:spacing w:val="-1"/>
          <w:sz w:val="28"/>
          <w:highlight w:val="none"/>
          <w:lang w:val="en-US" w:eastAsia="zh-CN"/>
        </w:rPr>
        <w:t>日  期：  年  月  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footerReference r:id="rId9" w:type="default"/>
          <w:pgSz w:w="11910" w:h="16840"/>
          <w:pgMar w:top="1420" w:right="1620" w:bottom="880" w:left="1580" w:header="0" w:footer="686" w:gutter="0"/>
          <w:pgBorders>
            <w:top w:val="none" w:sz="0" w:space="0"/>
            <w:left w:val="none" w:sz="0" w:space="0"/>
            <w:bottom w:val="none" w:sz="0" w:space="0"/>
            <w:right w:val="none" w:sz="0" w:space="0"/>
          </w:pgBorders>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rFonts w:hint="eastAsia"/>
          <w:highlight w:val="none"/>
          <w:lang w:val="en-US" w:eastAsia="zh-CN"/>
        </w:rPr>
        <w:t>5、</w:t>
      </w:r>
      <w:r>
        <w:rPr>
          <w:highlight w:val="none"/>
        </w:rPr>
        <w:t>商务条款偏离表</w:t>
      </w: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sz w:val="24"/>
          <w:highlight w:val="none"/>
        </w:rPr>
      </w:pPr>
      <w:r>
        <w:rPr>
          <w:sz w:val="24"/>
          <w:highlight w:val="none"/>
        </w:rPr>
        <w:t xml:space="preserve">（由投标人据实提交，商务条款按编写序号须逐条对应） </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rFonts w:hint="eastAsia"/>
          <w:b/>
          <w:sz w:val="24"/>
          <w:highlight w:val="none"/>
          <w:lang w:val="en-US" w:eastAsia="zh-CN"/>
        </w:rPr>
      </w:pPr>
      <w:r>
        <w:rPr>
          <w:b/>
          <w:sz w:val="24"/>
          <w:highlight w:val="none"/>
        </w:rPr>
        <w:t>项目名称：</w:t>
      </w:r>
      <w:r>
        <w:rPr>
          <w:rFonts w:hint="eastAsia"/>
          <w:b/>
          <w:sz w:val="24"/>
          <w:highlight w:val="none"/>
          <w:lang w:val="en-US" w:eastAsia="zh-CN"/>
        </w:rPr>
        <w:t xml:space="preserve">          </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b/>
          <w:w w:val="95"/>
          <w:sz w:val="24"/>
          <w:highlight w:val="none"/>
        </w:rPr>
      </w:pPr>
      <w:r>
        <w:rPr>
          <w:b/>
          <w:w w:val="95"/>
          <w:sz w:val="24"/>
          <w:highlight w:val="none"/>
        </w:rPr>
        <w:t>项目编号：</w:t>
      </w:r>
    </w:p>
    <w:tbl>
      <w:tblPr>
        <w:tblStyle w:val="14"/>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89"/>
        <w:gridCol w:w="1989"/>
        <w:gridCol w:w="198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序号</w:t>
            </w:r>
          </w:p>
        </w:tc>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招标文件条目号</w:t>
            </w:r>
          </w:p>
        </w:tc>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招标文件的合同条款</w:t>
            </w:r>
          </w:p>
        </w:tc>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投标文件的合同条款</w:t>
            </w:r>
          </w:p>
        </w:tc>
        <w:tc>
          <w:tcPr>
            <w:tcW w:w="1267" w:type="dxa"/>
            <w:vAlign w:val="center"/>
          </w:tcPr>
          <w:p>
            <w:pPr>
              <w:pStyle w:val="2"/>
              <w:jc w:val="center"/>
              <w:rPr>
                <w:b/>
                <w:bCs/>
                <w:sz w:val="40"/>
                <w:szCs w:val="28"/>
                <w:highlight w:val="none"/>
                <w:vertAlign w:val="baseline"/>
              </w:rPr>
            </w:pPr>
            <w:r>
              <w:rPr>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bl>
    <w:p>
      <w:pPr>
        <w:pStyle w:val="2"/>
        <w:jc w:val="both"/>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注：1.按照要求详细填列。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2.行数不够，可自行添加。</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w:t>
      </w:r>
      <w:r>
        <w:rPr>
          <w:spacing w:val="-20"/>
          <w:highlight w:val="none"/>
        </w:rPr>
        <w:t>请如实填写偏离表，如果虚假响应，将被暂停进入铜仁市公共资源交易中心</w:t>
      </w:r>
      <w:r>
        <w:rPr>
          <w:rFonts w:hint="eastAsia"/>
          <w:spacing w:val="-20"/>
          <w:highlight w:val="none"/>
          <w:lang w:val="en-US" w:eastAsia="zh-CN"/>
        </w:rPr>
        <w:t>江口分中心</w:t>
      </w:r>
      <w:r>
        <w:rPr>
          <w:highlight w:val="none"/>
        </w:rPr>
        <w:t>（政府采购活动。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 （盖章）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9"/>
          <w:highlight w:val="none"/>
        </w:rPr>
      </w:pP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 xml:space="preserve">法定代表人或授权代表签字（或盖章）： </w:t>
      </w: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日</w:t>
      </w:r>
      <w:r>
        <w:rPr>
          <w:spacing w:val="-60"/>
          <w:highlight w:val="none"/>
        </w:rPr>
        <w:t xml:space="preserve"> </w:t>
      </w:r>
      <w:r>
        <w:rPr>
          <w:rFonts w:hint="eastAsia"/>
          <w:spacing w:val="-60"/>
          <w:highlight w:val="none"/>
          <w:lang w:val="en-US" w:eastAsia="zh-CN"/>
        </w:rPr>
        <w:t xml:space="preserve">  </w:t>
      </w:r>
      <w:r>
        <w:rPr>
          <w:highlight w:val="none"/>
        </w:rPr>
        <w:t>期</w:t>
      </w:r>
      <w:r>
        <w:rPr>
          <w:spacing w:val="-60"/>
          <w:highlight w:val="none"/>
        </w:rPr>
        <w:t xml:space="preserve"> </w:t>
      </w:r>
      <w:r>
        <w:rPr>
          <w:highlight w:val="none"/>
        </w:rPr>
        <w:t>：</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line="672" w:lineRule="auto"/>
        <w:ind w:left="0" w:right="0"/>
        <w:jc w:val="both"/>
        <w:textAlignment w:val="auto"/>
        <w:rPr>
          <w:highlight w:val="none"/>
        </w:rPr>
        <w:sectPr>
          <w:pgSz w:w="11910" w:h="16840"/>
          <w:pgMar w:top="1480" w:right="1134"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5"/>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line="461" w:lineRule="exact"/>
        <w:ind w:left="0" w:right="0"/>
        <w:jc w:val="center"/>
        <w:textAlignment w:val="auto"/>
        <w:rPr>
          <w:highlight w:val="none"/>
        </w:rPr>
      </w:pPr>
      <w:r>
        <w:rPr>
          <w:rFonts w:hint="eastAsia"/>
          <w:highlight w:val="none"/>
          <w:lang w:val="en-US" w:eastAsia="zh-CN"/>
        </w:rPr>
        <w:t>6、</w:t>
      </w:r>
      <w:r>
        <w:rPr>
          <w:highlight w:val="none"/>
        </w:rPr>
        <w:t>技术规格偏离表</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sz w:val="24"/>
          <w:highlight w:val="none"/>
        </w:rPr>
      </w:pPr>
      <w:r>
        <w:rPr>
          <w:sz w:val="24"/>
          <w:highlight w:val="none"/>
        </w:rPr>
        <w:t xml:space="preserve">（由供应商据实提交，技术参数须按编写序号须逐条对应） </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b/>
          <w:sz w:val="24"/>
          <w:highlight w:val="none"/>
        </w:rPr>
      </w:pPr>
      <w:r>
        <w:rPr>
          <w:b/>
          <w:sz w:val="24"/>
          <w:highlight w:val="none"/>
        </w:rPr>
        <w:t>项目名称：</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b/>
          <w:sz w:val="24"/>
          <w:highlight w:val="none"/>
        </w:rPr>
      </w:pPr>
      <w:r>
        <w:rPr>
          <w:b/>
          <w:w w:val="95"/>
          <w:sz w:val="24"/>
          <w:highlight w:val="none"/>
        </w:rPr>
        <w:t>项目编号：</w:t>
      </w:r>
    </w:p>
    <w:tbl>
      <w:tblPr>
        <w:tblStyle w:val="14"/>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89"/>
        <w:gridCol w:w="1989"/>
        <w:gridCol w:w="198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vAlign w:val="center"/>
          </w:tcPr>
          <w:p>
            <w:pPr>
              <w:pStyle w:val="2"/>
              <w:jc w:val="center"/>
              <w:rPr>
                <w:sz w:val="40"/>
                <w:szCs w:val="28"/>
                <w:highlight w:val="none"/>
                <w:vertAlign w:val="baseline"/>
              </w:rPr>
            </w:pPr>
            <w:r>
              <w:rPr>
                <w:sz w:val="24"/>
                <w:highlight w:val="none"/>
              </w:rPr>
              <w:t>序号</w:t>
            </w:r>
          </w:p>
        </w:tc>
        <w:tc>
          <w:tcPr>
            <w:tcW w:w="1989" w:type="dxa"/>
            <w:vAlign w:val="center"/>
          </w:tcPr>
          <w:p>
            <w:pPr>
              <w:pStyle w:val="2"/>
              <w:jc w:val="center"/>
              <w:rPr>
                <w:sz w:val="40"/>
                <w:szCs w:val="28"/>
                <w:highlight w:val="none"/>
                <w:vertAlign w:val="baseline"/>
              </w:rPr>
            </w:pPr>
            <w:r>
              <w:rPr>
                <w:sz w:val="24"/>
                <w:highlight w:val="none"/>
              </w:rPr>
              <w:t>磋商要求参数</w:t>
            </w:r>
          </w:p>
        </w:tc>
        <w:tc>
          <w:tcPr>
            <w:tcW w:w="1989" w:type="dxa"/>
            <w:vAlign w:val="center"/>
          </w:tcPr>
          <w:p>
            <w:pPr>
              <w:pStyle w:val="2"/>
              <w:jc w:val="center"/>
              <w:rPr>
                <w:sz w:val="40"/>
                <w:szCs w:val="28"/>
                <w:highlight w:val="none"/>
                <w:vertAlign w:val="baseline"/>
              </w:rPr>
            </w:pPr>
            <w:r>
              <w:rPr>
                <w:sz w:val="24"/>
                <w:highlight w:val="none"/>
              </w:rPr>
              <w:t>响应实际参数</w:t>
            </w:r>
          </w:p>
        </w:tc>
        <w:tc>
          <w:tcPr>
            <w:tcW w:w="1989" w:type="dxa"/>
            <w:vAlign w:val="center"/>
          </w:tcPr>
          <w:p>
            <w:pPr>
              <w:pStyle w:val="18"/>
              <w:spacing w:line="281" w:lineRule="exact"/>
              <w:ind w:left="102"/>
              <w:jc w:val="center"/>
              <w:rPr>
                <w:b/>
                <w:bCs/>
                <w:sz w:val="40"/>
                <w:szCs w:val="28"/>
                <w:highlight w:val="none"/>
                <w:vertAlign w:val="baseline"/>
              </w:rPr>
            </w:pPr>
            <w:r>
              <w:rPr>
                <w:b/>
                <w:bCs/>
                <w:sz w:val="24"/>
                <w:highlight w:val="none"/>
              </w:rPr>
              <w:t>符合/正偏离/负偏离</w:t>
            </w:r>
          </w:p>
        </w:tc>
        <w:tc>
          <w:tcPr>
            <w:tcW w:w="1267" w:type="dxa"/>
            <w:vAlign w:val="center"/>
          </w:tcPr>
          <w:p>
            <w:pPr>
              <w:pStyle w:val="2"/>
              <w:jc w:val="center"/>
              <w:rPr>
                <w:sz w:val="40"/>
                <w:szCs w:val="28"/>
                <w:highlight w:val="none"/>
                <w:vertAlign w:val="baseline"/>
              </w:rPr>
            </w:pPr>
            <w:r>
              <w:rPr>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b/>
                <w:bCs/>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989" w:type="dxa"/>
          </w:tcPr>
          <w:p>
            <w:pPr>
              <w:pStyle w:val="2"/>
              <w:jc w:val="both"/>
              <w:rPr>
                <w:sz w:val="40"/>
                <w:szCs w:val="28"/>
                <w:highlight w:val="none"/>
                <w:vertAlign w:val="baseline"/>
              </w:rPr>
            </w:pPr>
          </w:p>
        </w:tc>
        <w:tc>
          <w:tcPr>
            <w:tcW w:w="1267" w:type="dxa"/>
          </w:tcPr>
          <w:p>
            <w:pPr>
              <w:pStyle w:val="2"/>
              <w:jc w:val="both"/>
              <w:rPr>
                <w:sz w:val="40"/>
                <w:szCs w:val="28"/>
                <w:highlight w:val="none"/>
                <w:vertAlign w:val="baseli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注：1.按照技术要求详细填列。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2.行数不够，可自行添加。</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w:t>
      </w:r>
      <w:r>
        <w:rPr>
          <w:spacing w:val="-20"/>
          <w:highlight w:val="none"/>
        </w:rPr>
        <w:t>请如实填写偏离表，如果虚假响应，将被暂停进入铜仁市公共资源交易中心</w:t>
      </w:r>
      <w:r>
        <w:rPr>
          <w:rFonts w:hint="eastAsia"/>
          <w:spacing w:val="-20"/>
          <w:highlight w:val="none"/>
          <w:lang w:val="en-US" w:eastAsia="zh-CN"/>
        </w:rPr>
        <w:t>江口分中心</w:t>
      </w:r>
      <w:r>
        <w:rPr>
          <w:highlight w:val="none"/>
        </w:rPr>
        <w:t>（政府采购活动。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w:t>
      </w:r>
      <w:r>
        <w:rPr>
          <w:spacing w:val="-4"/>
          <w:highlight w:val="none"/>
        </w:rPr>
        <w:t>投标人可根据各个需求表的内容填报技术规格响应表，但技术规格响应表的内</w:t>
      </w:r>
      <w:r>
        <w:rPr>
          <w:spacing w:val="-8"/>
          <w:highlight w:val="none"/>
        </w:rPr>
        <w:t>容必须对其相对应的供货需求的内容全部响应，否则，该投标将被视为非响应性投标而被拒绝。</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highlight w:val="none"/>
        </w:rPr>
      </w:pPr>
      <w:r>
        <w:rPr>
          <w:highlight w:val="none"/>
        </w:rPr>
        <w:t>5.</w:t>
      </w:r>
      <w:r>
        <w:rPr>
          <w:spacing w:val="-3"/>
          <w:highlight w:val="none"/>
        </w:rPr>
        <w:t>如招标文件中规定技术规格货物如因停产或其他原因造成市场上无法供货，可采用不低于原有配置的货物投标。</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 （ 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9"/>
          <w:highlight w:val="none"/>
        </w:rPr>
      </w:pP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 xml:space="preserve">法定代表人或授权代表（签字或盖章）： </w:t>
      </w:r>
    </w:p>
    <w:p>
      <w:pPr>
        <w:pStyle w:val="9"/>
        <w:keepNext w:val="0"/>
        <w:keepLines w:val="0"/>
        <w:pageBreakBefore w:val="0"/>
        <w:widowControl w:val="0"/>
        <w:tabs>
          <w:tab w:val="left" w:pos="4979"/>
          <w:tab w:val="left" w:pos="5639"/>
          <w:tab w:val="left" w:pos="6479"/>
        </w:tabs>
        <w:kinsoku/>
        <w:wordWrap/>
        <w:overflowPunct/>
        <w:topLinePunct w:val="0"/>
        <w:autoSpaceDE w:val="0"/>
        <w:autoSpaceDN w:val="0"/>
        <w:bidi w:val="0"/>
        <w:adjustRightInd/>
        <w:snapToGrid/>
        <w:spacing w:before="0" w:after="0" w:line="672" w:lineRule="auto"/>
        <w:ind w:left="0" w:right="0"/>
        <w:jc w:val="both"/>
        <w:textAlignment w:val="auto"/>
        <w:rPr>
          <w:highlight w:val="none"/>
        </w:rPr>
      </w:pPr>
      <w:r>
        <w:rPr>
          <w:highlight w:val="none"/>
        </w:rPr>
        <w:t xml:space="preserve"> 日</w:t>
      </w:r>
      <w:r>
        <w:rPr>
          <w:rFonts w:hint="eastAsia"/>
          <w:highlight w:val="none"/>
          <w:lang w:val="en-US" w:eastAsia="zh-CN"/>
        </w:rPr>
        <w:t xml:space="preserve">    </w:t>
      </w:r>
      <w:r>
        <w:rPr>
          <w:spacing w:val="-60"/>
          <w:highlight w:val="none"/>
        </w:rPr>
        <w:t xml:space="preserve"> </w:t>
      </w:r>
      <w:r>
        <w:rPr>
          <w:highlight w:val="none"/>
        </w:rPr>
        <w:t>期</w:t>
      </w:r>
      <w:r>
        <w:rPr>
          <w:spacing w:val="-60"/>
          <w:highlight w:val="none"/>
        </w:rPr>
        <w:t xml:space="preserve"> </w:t>
      </w:r>
      <w:r>
        <w:rPr>
          <w:highlight w:val="none"/>
        </w:rPr>
        <w:t>：</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line="672" w:lineRule="auto"/>
        <w:ind w:left="0" w:right="0"/>
        <w:jc w:val="both"/>
        <w:textAlignment w:val="auto"/>
        <w:rPr>
          <w:highlight w:val="none"/>
        </w:rPr>
        <w:sectPr>
          <w:pgSz w:w="11910" w:h="16840"/>
          <w:pgMar w:top="1580" w:right="1134" w:bottom="880" w:left="1680" w:header="0" w:footer="686" w:gutter="0"/>
          <w:pgBorders>
            <w:top w:val="none" w:sz="0" w:space="0"/>
            <w:left w:val="none" w:sz="0" w:space="0"/>
            <w:bottom w:val="none" w:sz="0" w:space="0"/>
            <w:right w:val="none" w:sz="0" w:space="0"/>
          </w:pgBorders>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rFonts w:hint="eastAsia"/>
          <w:highlight w:val="none"/>
          <w:lang w:val="en-US" w:eastAsia="zh-CN"/>
        </w:rPr>
        <w:t>7、</w:t>
      </w:r>
      <w:r>
        <w:rPr>
          <w:highlight w:val="none"/>
        </w:rPr>
        <w:t>资格的声明函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6"/>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致（招标人） ：</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tabs>
          <w:tab w:val="left" w:pos="2637"/>
          <w:tab w:val="left" w:pos="3825"/>
          <w:tab w:val="left" w:pos="4876"/>
          <w:tab w:val="left" w:pos="6136"/>
        </w:tabs>
        <w:kinsoku/>
        <w:wordWrap/>
        <w:overflowPunct/>
        <w:topLinePunct w:val="0"/>
        <w:autoSpaceDE w:val="0"/>
        <w:autoSpaceDN w:val="0"/>
        <w:bidi w:val="0"/>
        <w:adjustRightInd/>
        <w:snapToGrid/>
        <w:spacing w:before="0" w:after="0" w:line="417" w:lineRule="auto"/>
        <w:ind w:left="0" w:right="0" w:firstLine="559"/>
        <w:jc w:val="both"/>
        <w:textAlignment w:val="auto"/>
        <w:rPr>
          <w:sz w:val="28"/>
          <w:highlight w:val="none"/>
        </w:rPr>
      </w:pPr>
      <w:r>
        <w:rPr>
          <w:sz w:val="28"/>
          <w:highlight w:val="none"/>
        </w:rPr>
        <w:t>关</w:t>
      </w:r>
      <w:r>
        <w:rPr>
          <w:spacing w:val="-3"/>
          <w:sz w:val="28"/>
          <w:highlight w:val="none"/>
        </w:rPr>
        <w:t>于</w:t>
      </w:r>
      <w:r>
        <w:rPr>
          <w:sz w:val="28"/>
          <w:highlight w:val="none"/>
        </w:rPr>
        <w:t>贵方</w:t>
      </w:r>
      <w:r>
        <w:rPr>
          <w:sz w:val="28"/>
          <w:highlight w:val="none"/>
          <w:u w:val="single"/>
        </w:rPr>
        <w:t xml:space="preserve"> </w:t>
      </w:r>
      <w:r>
        <w:rPr>
          <w:sz w:val="28"/>
          <w:highlight w:val="none"/>
          <w:u w:val="single"/>
        </w:rPr>
        <w:tab/>
      </w:r>
      <w:r>
        <w:rPr>
          <w:spacing w:val="-3"/>
          <w:sz w:val="28"/>
          <w:highlight w:val="none"/>
        </w:rPr>
        <w:t>年</w:t>
      </w:r>
      <w:r>
        <w:rPr>
          <w:spacing w:val="-3"/>
          <w:sz w:val="28"/>
          <w:highlight w:val="none"/>
          <w:u w:val="single"/>
        </w:rPr>
        <w:tab/>
      </w:r>
      <w:r>
        <w:rPr>
          <w:spacing w:val="-3"/>
          <w:sz w:val="28"/>
          <w:highlight w:val="none"/>
        </w:rPr>
        <w:t>月</w:t>
      </w:r>
      <w:r>
        <w:rPr>
          <w:spacing w:val="-3"/>
          <w:sz w:val="28"/>
          <w:highlight w:val="none"/>
          <w:u w:val="single"/>
        </w:rPr>
        <w:t xml:space="preserve"> </w:t>
      </w:r>
      <w:r>
        <w:rPr>
          <w:spacing w:val="-3"/>
          <w:sz w:val="28"/>
          <w:highlight w:val="none"/>
          <w:u w:val="single"/>
        </w:rPr>
        <w:tab/>
      </w:r>
      <w:r>
        <w:rPr>
          <w:sz w:val="28"/>
          <w:highlight w:val="none"/>
        </w:rPr>
        <w:t>日</w:t>
      </w:r>
      <w:r>
        <w:rPr>
          <w:spacing w:val="-3"/>
          <w:sz w:val="28"/>
          <w:highlight w:val="none"/>
        </w:rPr>
        <w:t>第</w:t>
      </w:r>
      <w:r>
        <w:rPr>
          <w:spacing w:val="-3"/>
          <w:sz w:val="28"/>
          <w:highlight w:val="none"/>
          <w:u w:val="single"/>
        </w:rPr>
        <w:t xml:space="preserve"> </w:t>
      </w:r>
      <w:r>
        <w:rPr>
          <w:spacing w:val="-1"/>
          <w:sz w:val="28"/>
          <w:highlight w:val="none"/>
          <w:u w:val="single"/>
        </w:rPr>
        <w:t>（项</w:t>
      </w:r>
      <w:r>
        <w:rPr>
          <w:spacing w:val="-3"/>
          <w:sz w:val="28"/>
          <w:highlight w:val="none"/>
          <w:u w:val="single"/>
        </w:rPr>
        <w:t>目</w:t>
      </w:r>
      <w:r>
        <w:rPr>
          <w:spacing w:val="-1"/>
          <w:sz w:val="28"/>
          <w:highlight w:val="none"/>
          <w:u w:val="single"/>
        </w:rPr>
        <w:t>编号</w:t>
      </w:r>
      <w:r>
        <w:rPr>
          <w:spacing w:val="-3"/>
          <w:sz w:val="28"/>
          <w:highlight w:val="none"/>
          <w:u w:val="single"/>
        </w:rPr>
        <w:t>）</w:t>
      </w:r>
      <w:r>
        <w:rPr>
          <w:spacing w:val="-1"/>
          <w:sz w:val="28"/>
          <w:highlight w:val="none"/>
        </w:rPr>
        <w:t>政</w:t>
      </w:r>
      <w:r>
        <w:rPr>
          <w:sz w:val="28"/>
          <w:highlight w:val="none"/>
        </w:rPr>
        <w:t>府磋</w:t>
      </w:r>
      <w:r>
        <w:rPr>
          <w:spacing w:val="-3"/>
          <w:sz w:val="28"/>
          <w:highlight w:val="none"/>
        </w:rPr>
        <w:t>商</w:t>
      </w:r>
      <w:r>
        <w:rPr>
          <w:sz w:val="28"/>
          <w:highlight w:val="none"/>
        </w:rPr>
        <w:t>公</w:t>
      </w:r>
      <w:r>
        <w:rPr>
          <w:spacing w:val="-3"/>
          <w:sz w:val="28"/>
          <w:highlight w:val="none"/>
        </w:rPr>
        <w:t>告</w:t>
      </w:r>
      <w:r>
        <w:rPr>
          <w:spacing w:val="-77"/>
          <w:sz w:val="28"/>
          <w:highlight w:val="none"/>
        </w:rPr>
        <w:t>，</w:t>
      </w:r>
      <w:r>
        <w:rPr>
          <w:sz w:val="28"/>
          <w:highlight w:val="none"/>
        </w:rPr>
        <w:t>本</w:t>
      </w:r>
      <w:r>
        <w:rPr>
          <w:spacing w:val="-3"/>
          <w:sz w:val="28"/>
          <w:highlight w:val="none"/>
        </w:rPr>
        <w:t>签</w:t>
      </w:r>
      <w:r>
        <w:rPr>
          <w:sz w:val="28"/>
          <w:highlight w:val="none"/>
        </w:rPr>
        <w:t>字人</w:t>
      </w:r>
      <w:r>
        <w:rPr>
          <w:spacing w:val="-3"/>
          <w:sz w:val="28"/>
          <w:highlight w:val="none"/>
        </w:rPr>
        <w:t>愿</w:t>
      </w:r>
      <w:r>
        <w:rPr>
          <w:sz w:val="28"/>
          <w:highlight w:val="none"/>
        </w:rPr>
        <w:t>意参</w:t>
      </w:r>
      <w:r>
        <w:rPr>
          <w:spacing w:val="-3"/>
          <w:sz w:val="28"/>
          <w:highlight w:val="none"/>
        </w:rPr>
        <w:t>加</w:t>
      </w:r>
      <w:r>
        <w:rPr>
          <w:sz w:val="28"/>
          <w:highlight w:val="none"/>
        </w:rPr>
        <w:t>磋商</w:t>
      </w:r>
      <w:r>
        <w:rPr>
          <w:spacing w:val="-77"/>
          <w:sz w:val="28"/>
          <w:highlight w:val="none"/>
        </w:rPr>
        <w:t>，</w:t>
      </w:r>
      <w:r>
        <w:rPr>
          <w:sz w:val="28"/>
          <w:highlight w:val="none"/>
        </w:rPr>
        <w:t>提</w:t>
      </w:r>
      <w:r>
        <w:rPr>
          <w:spacing w:val="-3"/>
          <w:sz w:val="28"/>
          <w:highlight w:val="none"/>
        </w:rPr>
        <w:t>供</w:t>
      </w:r>
      <w:r>
        <w:rPr>
          <w:sz w:val="28"/>
          <w:highlight w:val="none"/>
        </w:rPr>
        <w:t>磋商</w:t>
      </w:r>
      <w:r>
        <w:rPr>
          <w:spacing w:val="-3"/>
          <w:sz w:val="28"/>
          <w:highlight w:val="none"/>
        </w:rPr>
        <w:t>文</w:t>
      </w:r>
      <w:r>
        <w:rPr>
          <w:spacing w:val="-77"/>
          <w:sz w:val="28"/>
          <w:highlight w:val="none"/>
        </w:rPr>
        <w:t>件</w:t>
      </w:r>
      <w:r>
        <w:rPr>
          <w:sz w:val="28"/>
          <w:highlight w:val="none"/>
        </w:rPr>
        <w:t>“采</w:t>
      </w:r>
      <w:r>
        <w:rPr>
          <w:spacing w:val="-3"/>
          <w:sz w:val="28"/>
          <w:highlight w:val="none"/>
        </w:rPr>
        <w:t>购</w:t>
      </w:r>
      <w:r>
        <w:rPr>
          <w:sz w:val="28"/>
          <w:highlight w:val="none"/>
        </w:rPr>
        <w:t>服务</w:t>
      </w:r>
      <w:r>
        <w:rPr>
          <w:spacing w:val="-3"/>
          <w:sz w:val="28"/>
          <w:highlight w:val="none"/>
        </w:rPr>
        <w:t>及</w:t>
      </w:r>
      <w:r>
        <w:rPr>
          <w:sz w:val="28"/>
          <w:highlight w:val="none"/>
        </w:rPr>
        <w:t>要</w:t>
      </w:r>
      <w:r>
        <w:rPr>
          <w:spacing w:val="-3"/>
          <w:sz w:val="28"/>
          <w:highlight w:val="none"/>
        </w:rPr>
        <w:t>求</w:t>
      </w:r>
      <w:r>
        <w:rPr>
          <w:sz w:val="28"/>
          <w:highlight w:val="none"/>
        </w:rPr>
        <w:t>” 中</w:t>
      </w:r>
      <w:r>
        <w:rPr>
          <w:spacing w:val="-3"/>
          <w:sz w:val="28"/>
          <w:highlight w:val="none"/>
        </w:rPr>
        <w:t>规</w:t>
      </w:r>
      <w:r>
        <w:rPr>
          <w:sz w:val="28"/>
          <w:highlight w:val="none"/>
        </w:rPr>
        <w:t>定</w:t>
      </w:r>
      <w:r>
        <w:rPr>
          <w:spacing w:val="-3"/>
          <w:sz w:val="28"/>
          <w:highlight w:val="none"/>
        </w:rPr>
        <w:t>的</w:t>
      </w:r>
      <w:r>
        <w:rPr>
          <w:spacing w:val="5"/>
          <w:sz w:val="28"/>
          <w:highlight w:val="none"/>
          <w:u w:val="single"/>
        </w:rPr>
        <w:t xml:space="preserve"> </w:t>
      </w:r>
      <w:r>
        <w:rPr>
          <w:rFonts w:hint="eastAsia"/>
          <w:sz w:val="28"/>
          <w:highlight w:val="none"/>
          <w:u w:val="single"/>
          <w:lang w:val="en-US" w:eastAsia="zh-CN"/>
        </w:rPr>
        <w:t xml:space="preserve">   (项目名称)  </w:t>
      </w:r>
      <w:r>
        <w:rPr>
          <w:sz w:val="28"/>
          <w:highlight w:val="none"/>
        </w:rPr>
        <w:t>，</w:t>
      </w:r>
      <w:r>
        <w:rPr>
          <w:spacing w:val="-3"/>
          <w:sz w:val="28"/>
          <w:highlight w:val="none"/>
        </w:rPr>
        <w:t>并</w:t>
      </w:r>
      <w:r>
        <w:rPr>
          <w:sz w:val="28"/>
          <w:highlight w:val="none"/>
        </w:rPr>
        <w:t>证明</w:t>
      </w:r>
      <w:r>
        <w:rPr>
          <w:spacing w:val="-3"/>
          <w:sz w:val="28"/>
          <w:highlight w:val="none"/>
        </w:rPr>
        <w:t>提</w:t>
      </w:r>
      <w:r>
        <w:rPr>
          <w:sz w:val="28"/>
          <w:highlight w:val="none"/>
        </w:rPr>
        <w:t>交的文</w:t>
      </w:r>
      <w:r>
        <w:rPr>
          <w:spacing w:val="-1"/>
          <w:sz w:val="28"/>
          <w:highlight w:val="none"/>
        </w:rPr>
        <w:t>件</w:t>
      </w:r>
      <w:r>
        <w:rPr>
          <w:spacing w:val="-3"/>
          <w:sz w:val="28"/>
          <w:highlight w:val="none"/>
        </w:rPr>
        <w:t>和</w:t>
      </w:r>
      <w:r>
        <w:rPr>
          <w:spacing w:val="-1"/>
          <w:sz w:val="28"/>
          <w:highlight w:val="none"/>
        </w:rPr>
        <w:t>说明</w:t>
      </w:r>
      <w:r>
        <w:rPr>
          <w:spacing w:val="-3"/>
          <w:sz w:val="28"/>
          <w:highlight w:val="none"/>
        </w:rPr>
        <w:t>是</w:t>
      </w:r>
      <w:r>
        <w:rPr>
          <w:spacing w:val="-1"/>
          <w:sz w:val="28"/>
          <w:highlight w:val="none"/>
        </w:rPr>
        <w:t>准确</w:t>
      </w:r>
      <w:r>
        <w:rPr>
          <w:spacing w:val="-3"/>
          <w:sz w:val="28"/>
          <w:highlight w:val="none"/>
        </w:rPr>
        <w:t>的</w:t>
      </w:r>
      <w:r>
        <w:rPr>
          <w:spacing w:val="-1"/>
          <w:sz w:val="28"/>
          <w:highlight w:val="none"/>
        </w:rPr>
        <w:t>和真</w:t>
      </w:r>
      <w:r>
        <w:rPr>
          <w:spacing w:val="-3"/>
          <w:sz w:val="28"/>
          <w:highlight w:val="none"/>
        </w:rPr>
        <w:t>实</w:t>
      </w:r>
      <w:r>
        <w:rPr>
          <w:spacing w:val="-1"/>
          <w:sz w:val="28"/>
          <w:highlight w:val="none"/>
        </w:rPr>
        <w:t>的</w:t>
      </w:r>
      <w:r>
        <w:rPr>
          <w:sz w:val="28"/>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firstLine="559"/>
        <w:jc w:val="both"/>
        <w:textAlignment w:val="auto"/>
        <w:rPr>
          <w:sz w:val="28"/>
          <w:highlight w:val="none"/>
        </w:rPr>
      </w:pPr>
      <w:r>
        <w:rPr>
          <w:sz w:val="28"/>
          <w:highlight w:val="none"/>
        </w:rPr>
        <w:t>1．本签字人确认资格文件中的说明以及响应文件中所有的文件和材料是真实的、准确的。</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2．我方的资格声明正本一份，副本</w:t>
      </w:r>
      <w:r>
        <w:rPr>
          <w:rFonts w:hint="eastAsia"/>
          <w:sz w:val="28"/>
          <w:highlight w:val="none"/>
          <w:u w:val="none"/>
          <w:lang w:val="en-US" w:eastAsia="zh-CN"/>
        </w:rPr>
        <w:t>三</w:t>
      </w:r>
      <w:r>
        <w:rPr>
          <w:sz w:val="28"/>
          <w:highlight w:val="none"/>
        </w:rPr>
        <w:t>份，随响应文件一同递交。</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7"/>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供应商（全称并加盖公章）：</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地 址：</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邮 编：</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 xml:space="preserve">电 话/传 真： </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电子信箱：</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磋商响应供应商代表签字：</w:t>
      </w:r>
    </w:p>
    <w:p>
      <w:pPr>
        <w:pStyle w:val="2"/>
        <w:jc w:val="both"/>
        <w:rPr>
          <w:rFonts w:ascii="宋体" w:hAnsi="宋体" w:eastAsia="宋体" w:cs="宋体"/>
          <w:b w:val="0"/>
          <w:sz w:val="28"/>
          <w:szCs w:val="22"/>
          <w:highlight w:val="none"/>
          <w:lang w:val="en-US" w:eastAsia="en-US" w:bidi="ar-SA"/>
        </w:rPr>
        <w:sectPr>
          <w:pgSz w:w="11910" w:h="16840"/>
          <w:pgMar w:top="1480" w:right="1540" w:bottom="880" w:left="1680" w:header="0" w:footer="686" w:gutter="0"/>
          <w:pgBorders>
            <w:top w:val="none" w:sz="0" w:space="0"/>
            <w:left w:val="none" w:sz="0" w:space="0"/>
            <w:bottom w:val="none" w:sz="0" w:space="0"/>
            <w:right w:val="none" w:sz="0" w:space="0"/>
          </w:pgBorders>
          <w:pgNumType w:fmt="decimal"/>
        </w:sectPr>
      </w:pPr>
      <w:r>
        <w:rPr>
          <w:rFonts w:ascii="宋体" w:hAnsi="宋体" w:eastAsia="宋体" w:cs="宋体"/>
          <w:b w:val="0"/>
          <w:sz w:val="28"/>
          <w:szCs w:val="22"/>
          <w:highlight w:val="none"/>
          <w:lang w:val="en-US" w:eastAsia="en-US" w:bidi="ar-SA"/>
        </w:rPr>
        <w:t xml:space="preserve">日 </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期 ：</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年</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月</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rPr>
          <w:b/>
          <w:sz w:val="31"/>
          <w:highlight w:val="none"/>
        </w:rPr>
      </w:pPr>
      <w:r>
        <w:rPr>
          <w:rFonts w:hint="eastAsia"/>
          <w:b/>
          <w:sz w:val="31"/>
          <w:highlight w:val="none"/>
          <w:lang w:val="en-US" w:eastAsia="zh-CN"/>
        </w:rPr>
        <w:t>8、</w:t>
      </w:r>
      <w:r>
        <w:rPr>
          <w:b/>
          <w:sz w:val="31"/>
          <w:highlight w:val="none"/>
        </w:rPr>
        <w:t>售后服务承诺及方案</w:t>
      </w: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9"/>
        <w:spacing w:line="357" w:lineRule="auto"/>
        <w:ind w:left="108" w:firstLine="480"/>
        <w:rPr>
          <w:highlight w:val="none"/>
        </w:rPr>
      </w:pPr>
      <w:r>
        <w:rPr>
          <w:highlight w:val="none"/>
        </w:rPr>
        <w:t>售后服务由投标人负责。投标文件中应提供完整的售后服务计划，主要内容应包括：</w:t>
      </w:r>
    </w:p>
    <w:p>
      <w:pPr>
        <w:pStyle w:val="9"/>
        <w:rPr>
          <w:highlight w:val="none"/>
        </w:rPr>
      </w:pPr>
    </w:p>
    <w:p>
      <w:pPr>
        <w:rPr>
          <w:rFonts w:ascii="宋体" w:hAnsi="宋体"/>
          <w:sz w:val="24"/>
          <w:highlight w:val="none"/>
        </w:rPr>
      </w:pPr>
    </w:p>
    <w:p>
      <w:pPr>
        <w:pStyle w:val="10"/>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1、服务机构；</w:t>
      </w:r>
    </w:p>
    <w:p>
      <w:pPr>
        <w:pStyle w:val="10"/>
        <w:spacing w:line="360" w:lineRule="auto"/>
        <w:rPr>
          <w:rFonts w:hAnsi="宋体" w:cs="宋体"/>
          <w:color w:val="000000"/>
          <w:sz w:val="24"/>
          <w:szCs w:val="24"/>
          <w:highlight w:val="none"/>
        </w:rPr>
      </w:pPr>
      <w:r>
        <w:rPr>
          <w:rFonts w:hint="eastAsia" w:hAnsi="宋体" w:cs="宋体"/>
          <w:color w:val="000000"/>
          <w:sz w:val="24"/>
          <w:szCs w:val="24"/>
          <w:highlight w:val="none"/>
        </w:rPr>
        <w:t xml:space="preserve">    2、人员情况；</w:t>
      </w:r>
    </w:p>
    <w:p>
      <w:pPr>
        <w:pStyle w:val="10"/>
        <w:spacing w:line="360" w:lineRule="auto"/>
        <w:rPr>
          <w:rFonts w:hAnsi="宋体" w:cs="宋体"/>
          <w:color w:val="000000"/>
          <w:sz w:val="24"/>
          <w:szCs w:val="24"/>
          <w:highlight w:val="none"/>
        </w:rPr>
      </w:pPr>
      <w:r>
        <w:rPr>
          <w:rFonts w:hint="eastAsia" w:hAnsi="宋体" w:cs="宋体"/>
          <w:color w:val="000000"/>
          <w:sz w:val="24"/>
          <w:szCs w:val="24"/>
          <w:highlight w:val="none"/>
        </w:rPr>
        <w:t xml:space="preserve">    3、服务收费标准；</w:t>
      </w:r>
    </w:p>
    <w:p>
      <w:pPr>
        <w:pStyle w:val="10"/>
        <w:spacing w:line="360" w:lineRule="auto"/>
        <w:rPr>
          <w:rFonts w:hAnsi="宋体" w:cs="宋体"/>
          <w:color w:val="000000"/>
          <w:sz w:val="24"/>
          <w:szCs w:val="24"/>
          <w:highlight w:val="none"/>
        </w:rPr>
      </w:pPr>
      <w:r>
        <w:rPr>
          <w:rFonts w:hint="eastAsia" w:hAnsi="宋体" w:cs="宋体"/>
          <w:color w:val="000000"/>
          <w:sz w:val="24"/>
          <w:szCs w:val="24"/>
          <w:highlight w:val="none"/>
        </w:rPr>
        <w:t xml:space="preserve">    4、其它服务承诺。</w:t>
      </w:r>
    </w:p>
    <w:p>
      <w:pPr>
        <w:pStyle w:val="2"/>
        <w:numPr>
          <w:ilvl w:val="0"/>
          <w:numId w:val="0"/>
        </w:numPr>
        <w:ind w:right="0" w:rightChars="0"/>
        <w:jc w:val="both"/>
        <w:rPr>
          <w:highlight w:val="none"/>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hint="eastAsia" w:ascii="宋体" w:hAnsi="宋体" w:cs="宋体"/>
          <w:b/>
          <w:sz w:val="31"/>
          <w:szCs w:val="22"/>
          <w:highlight w:val="none"/>
          <w:lang w:val="en-US" w:eastAsia="zh-CN" w:bidi="ar-SA"/>
        </w:rPr>
      </w:pPr>
    </w:p>
    <w:p>
      <w:pPr>
        <w:pStyle w:val="2"/>
        <w:numPr>
          <w:ilvl w:val="0"/>
          <w:numId w:val="0"/>
        </w:numPr>
        <w:ind w:right="0" w:rightChars="0"/>
        <w:jc w:val="center"/>
        <w:rPr>
          <w:rFonts w:ascii="宋体" w:hAnsi="宋体" w:eastAsia="宋体" w:cs="宋体"/>
          <w:b/>
          <w:sz w:val="31"/>
          <w:szCs w:val="22"/>
          <w:highlight w:val="none"/>
          <w:lang w:val="en-US" w:eastAsia="en-US" w:bidi="ar-SA"/>
        </w:rPr>
      </w:pPr>
      <w:r>
        <w:rPr>
          <w:rFonts w:hint="eastAsia" w:ascii="宋体" w:hAnsi="宋体" w:cs="宋体"/>
          <w:b/>
          <w:sz w:val="31"/>
          <w:szCs w:val="22"/>
          <w:highlight w:val="none"/>
          <w:lang w:val="en-US" w:eastAsia="zh-CN" w:bidi="ar-SA"/>
        </w:rPr>
        <w:t>9、</w:t>
      </w:r>
      <w:r>
        <w:rPr>
          <w:rFonts w:hint="eastAsia" w:ascii="宋体" w:hAnsi="宋体" w:eastAsia="宋体" w:cs="宋体"/>
          <w:b/>
          <w:sz w:val="31"/>
          <w:szCs w:val="22"/>
          <w:highlight w:val="none"/>
          <w:lang w:val="en-US" w:eastAsia="en-US" w:bidi="ar-SA"/>
        </w:rPr>
        <w:t>施工组织设计方案</w:t>
      </w: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施工方案与技术措施</w:t>
      </w: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施工总进度（包括施工进度计划横道图、网络图）及保证措施；</w:t>
      </w: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施工安全措施；</w:t>
      </w: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文明施工措施；</w:t>
      </w: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施工环保措施；</w:t>
      </w: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现场组织管理机构；</w:t>
      </w:r>
    </w:p>
    <w:p>
      <w:pPr>
        <w:pStyle w:val="2"/>
        <w:numPr>
          <w:ilvl w:val="0"/>
          <w:numId w:val="11"/>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与发包人及设计单位的配合</w:t>
      </w: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pStyle w:val="2"/>
        <w:numPr>
          <w:ilvl w:val="0"/>
          <w:numId w:val="0"/>
        </w:numPr>
        <w:ind w:right="0" w:rightChars="0"/>
        <w:jc w:val="both"/>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97" w:lineRule="exact"/>
        <w:ind w:left="0" w:right="0" w:firstLine="0"/>
        <w:jc w:val="center"/>
        <w:textAlignment w:val="auto"/>
        <w:rPr>
          <w:b/>
          <w:sz w:val="31"/>
          <w:highlight w:val="none"/>
        </w:rPr>
      </w:pPr>
      <w:r>
        <w:rPr>
          <w:rFonts w:hint="eastAsia"/>
          <w:b/>
          <w:sz w:val="31"/>
          <w:highlight w:val="none"/>
          <w:lang w:val="en-US" w:eastAsia="zh-CN"/>
        </w:rPr>
        <w:t>10、</w:t>
      </w:r>
      <w:r>
        <w:rPr>
          <w:b/>
          <w:sz w:val="31"/>
          <w:highlight w:val="none"/>
        </w:rPr>
        <w:t>中小企业声明函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42"/>
          <w:highlight w:val="none"/>
        </w:rPr>
      </w:pPr>
    </w:p>
    <w:p>
      <w:pPr>
        <w:spacing w:line="360" w:lineRule="auto"/>
        <w:ind w:firstLine="480" w:firstLineChars="200"/>
        <w:jc w:val="both"/>
        <w:rPr>
          <w:rFonts w:ascii="宋体" w:hAnsi="宋体"/>
          <w:sz w:val="24"/>
          <w:highlight w:val="none"/>
        </w:rPr>
      </w:pPr>
      <w:r>
        <w:rPr>
          <w:rFonts w:hint="eastAsia" w:ascii="宋体" w:hAnsi="宋体"/>
          <w:sz w:val="24"/>
          <w:highlight w:val="none"/>
        </w:rPr>
        <w:t>本公司郑重声明，根据《政府采购促进中小企业发展暂行办法》（财库[2011]181号）的规定，本公司为（请填写：中型、小型、微型）企业。即，本公司同时满足以下条件：</w:t>
      </w:r>
    </w:p>
    <w:p>
      <w:pPr>
        <w:spacing w:line="360" w:lineRule="auto"/>
        <w:ind w:firstLine="480" w:firstLineChars="200"/>
        <w:jc w:val="both"/>
        <w:rPr>
          <w:rFonts w:ascii="宋体" w:hAnsi="宋体"/>
          <w:sz w:val="24"/>
          <w:highlight w:val="none"/>
        </w:rPr>
      </w:pPr>
      <w:r>
        <w:rPr>
          <w:rFonts w:hint="eastAsia" w:ascii="宋体" w:hAnsi="宋体"/>
          <w:sz w:val="24"/>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jc w:val="both"/>
        <w:rPr>
          <w:rFonts w:ascii="宋体" w:hAnsi="宋体"/>
          <w:sz w:val="24"/>
          <w:highlight w:val="none"/>
        </w:rPr>
      </w:pPr>
      <w:r>
        <w:rPr>
          <w:rFonts w:hint="eastAsia" w:ascii="宋体" w:hAnsi="宋体"/>
          <w:sz w:val="24"/>
          <w:highlight w:val="none"/>
        </w:rPr>
        <w:t>2.本公司参加</w:t>
      </w:r>
      <w:r>
        <w:rPr>
          <w:rFonts w:hint="eastAsia" w:ascii="宋体" w:hAnsi="宋体"/>
          <w:sz w:val="24"/>
          <w:highlight w:val="none"/>
          <w:u w:val="single"/>
        </w:rPr>
        <w:t xml:space="preserve">     (采购人单位名称)    </w:t>
      </w:r>
      <w:r>
        <w:rPr>
          <w:rFonts w:hint="eastAsia" w:ascii="宋体" w:hAnsi="宋体"/>
          <w:sz w:val="24"/>
          <w:highlight w:val="none"/>
        </w:rPr>
        <w:t>的</w:t>
      </w:r>
      <w:r>
        <w:rPr>
          <w:rFonts w:hint="eastAsia" w:ascii="宋体" w:hAnsi="宋体"/>
          <w:sz w:val="24"/>
          <w:highlight w:val="none"/>
          <w:u w:val="single"/>
        </w:rPr>
        <w:t xml:space="preserve">   (项目名称)      </w:t>
      </w:r>
      <w:r>
        <w:rPr>
          <w:rFonts w:hint="eastAsia" w:ascii="宋体" w:hAnsi="宋体"/>
          <w:sz w:val="24"/>
          <w:highlight w:val="none"/>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jc w:val="both"/>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80" w:firstLineChars="200"/>
        <w:jc w:val="center"/>
        <w:rPr>
          <w:rFonts w:ascii="宋体" w:hAnsi="宋体"/>
          <w:sz w:val="24"/>
          <w:highlight w:val="none"/>
        </w:rPr>
      </w:pPr>
    </w:p>
    <w:p>
      <w:pPr>
        <w:spacing w:line="360" w:lineRule="auto"/>
        <w:ind w:firstLine="480" w:firstLineChars="200"/>
        <w:jc w:val="center"/>
        <w:rPr>
          <w:rFonts w:ascii="宋体" w:hAnsi="宋体"/>
          <w:sz w:val="24"/>
          <w:highlight w:val="none"/>
        </w:rPr>
      </w:pPr>
    </w:p>
    <w:p>
      <w:pPr>
        <w:spacing w:line="360" w:lineRule="auto"/>
        <w:ind w:firstLine="480" w:firstLineChars="200"/>
        <w:jc w:val="center"/>
        <w:rPr>
          <w:rFonts w:ascii="宋体" w:hAnsi="宋体"/>
          <w:sz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 （ 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9"/>
          <w:highlight w:val="none"/>
        </w:rPr>
      </w:pP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 xml:space="preserve">法定代表人或授权代表（签字或盖章）： </w:t>
      </w: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日</w:t>
      </w:r>
      <w:r>
        <w:rPr>
          <w:spacing w:val="-60"/>
          <w:highlight w:val="none"/>
        </w:rPr>
        <w:t xml:space="preserve"> </w:t>
      </w:r>
      <w:r>
        <w:rPr>
          <w:rFonts w:hint="eastAsia"/>
          <w:spacing w:val="-60"/>
          <w:highlight w:val="none"/>
          <w:lang w:val="en-US" w:eastAsia="zh-CN"/>
        </w:rPr>
        <w:t xml:space="preserve">  </w:t>
      </w:r>
      <w:r>
        <w:rPr>
          <w:highlight w:val="none"/>
        </w:rPr>
        <w:t>期</w:t>
      </w:r>
      <w:r>
        <w:rPr>
          <w:spacing w:val="-60"/>
          <w:highlight w:val="none"/>
        </w:rPr>
        <w:t xml:space="preserve"> </w:t>
      </w:r>
      <w:r>
        <w:rPr>
          <w:highlight w:val="none"/>
        </w:rPr>
        <w:t>：</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line="672" w:lineRule="auto"/>
        <w:ind w:left="0" w:right="0"/>
        <w:jc w:val="both"/>
        <w:textAlignment w:val="auto"/>
        <w:rPr>
          <w:highlight w:val="none"/>
        </w:rPr>
        <w:sectPr>
          <w:pgSz w:w="11910" w:h="16840"/>
          <w:pgMar w:top="1480" w:right="1134" w:bottom="880" w:left="1680" w:header="0" w:footer="907"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0" w:after="0" w:line="397" w:lineRule="exact"/>
        <w:ind w:left="0" w:right="0"/>
        <w:jc w:val="center"/>
        <w:textAlignment w:val="auto"/>
        <w:rPr>
          <w:highlight w:val="none"/>
        </w:rPr>
      </w:pPr>
      <w:r>
        <w:rPr>
          <w:rFonts w:hint="eastAsia"/>
          <w:w w:val="95"/>
          <w:highlight w:val="none"/>
          <w:lang w:val="en-US" w:eastAsia="zh-CN"/>
        </w:rPr>
        <w:t>11、</w:t>
      </w:r>
      <w:r>
        <w:rPr>
          <w:w w:val="95"/>
          <w:highlight w:val="none"/>
        </w:rPr>
        <w:t>投标人认为需要提供的其它材料（格式自拟）</w:t>
      </w:r>
    </w:p>
    <w:sectPr>
      <w:pgSz w:w="11910" w:h="16840"/>
      <w:pgMar w:top="1420" w:right="1680" w:bottom="880" w:left="1680" w:header="0" w:footer="907"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6"/>
      </w:rPr>
    </w:pPr>
    <w:r>
      <w:rPr>
        <w:sz w:val="16"/>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6"/>
      </w:rPr>
    </w:pPr>
    <w:r>
      <w:rPr>
        <w:sz w:val="16"/>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6CD9A"/>
    <w:multiLevelType w:val="singleLevel"/>
    <w:tmpl w:val="9566CD9A"/>
    <w:lvl w:ilvl="0" w:tentative="0">
      <w:start w:val="1"/>
      <w:numFmt w:val="decimal"/>
      <w:suff w:val="nothing"/>
      <w:lvlText w:val="（%1）"/>
      <w:lvlJc w:val="left"/>
    </w:lvl>
  </w:abstractNum>
  <w:abstractNum w:abstractNumId="1">
    <w:nsid w:val="A59AECD5"/>
    <w:multiLevelType w:val="singleLevel"/>
    <w:tmpl w:val="A59AECD5"/>
    <w:lvl w:ilvl="0" w:tentative="0">
      <w:start w:val="1"/>
      <w:numFmt w:val="decimal"/>
      <w:lvlText w:val="%1."/>
      <w:lvlJc w:val="left"/>
      <w:pPr>
        <w:tabs>
          <w:tab w:val="left" w:pos="312"/>
        </w:tabs>
      </w:pPr>
    </w:lvl>
  </w:abstractNum>
  <w:abstractNum w:abstractNumId="2">
    <w:nsid w:val="ACAAEC9A"/>
    <w:multiLevelType w:val="singleLevel"/>
    <w:tmpl w:val="ACAAEC9A"/>
    <w:lvl w:ilvl="0" w:tentative="0">
      <w:start w:val="3"/>
      <w:numFmt w:val="decimal"/>
      <w:suff w:val="nothing"/>
      <w:lvlText w:val="%1、"/>
      <w:lvlJc w:val="left"/>
    </w:lvl>
  </w:abstractNum>
  <w:abstractNum w:abstractNumId="3">
    <w:nsid w:val="F7735DC9"/>
    <w:multiLevelType w:val="multilevel"/>
    <w:tmpl w:val="F7735DC9"/>
    <w:lvl w:ilvl="0" w:tentative="0">
      <w:start w:val="23"/>
      <w:numFmt w:val="decimal"/>
      <w:lvlText w:val="%1"/>
      <w:lvlJc w:val="left"/>
      <w:pPr>
        <w:ind w:left="1197" w:hanging="600"/>
        <w:jc w:val="left"/>
      </w:pPr>
      <w:rPr>
        <w:rFonts w:hint="default"/>
      </w:rPr>
    </w:lvl>
    <w:lvl w:ilvl="1" w:tentative="0">
      <w:start w:val="1"/>
      <w:numFmt w:val="decimal"/>
      <w:lvlText w:val="%1.%2"/>
      <w:lvlJc w:val="left"/>
      <w:pPr>
        <w:ind w:left="1197" w:hanging="600"/>
        <w:jc w:val="left"/>
      </w:pPr>
      <w:rPr>
        <w:rFonts w:hint="default" w:ascii="宋体" w:hAnsi="宋体" w:eastAsia="宋体" w:cs="宋体"/>
        <w:spacing w:val="-60"/>
        <w:w w:val="100"/>
        <w:sz w:val="24"/>
        <w:szCs w:val="24"/>
      </w:rPr>
    </w:lvl>
    <w:lvl w:ilvl="2" w:tentative="0">
      <w:start w:val="1"/>
      <w:numFmt w:val="decimal"/>
      <w:lvlText w:val="%1.%2.%3"/>
      <w:lvlJc w:val="left"/>
      <w:pPr>
        <w:ind w:left="117" w:hanging="780"/>
        <w:jc w:val="left"/>
      </w:pPr>
      <w:rPr>
        <w:rFonts w:hint="default" w:ascii="宋体" w:hAnsi="宋体" w:eastAsia="宋体" w:cs="宋体"/>
        <w:w w:val="100"/>
        <w:sz w:val="24"/>
        <w:szCs w:val="24"/>
      </w:rPr>
    </w:lvl>
    <w:lvl w:ilvl="3" w:tentative="0">
      <w:start w:val="0"/>
      <w:numFmt w:val="bullet"/>
      <w:lvlText w:val="•"/>
      <w:lvlJc w:val="left"/>
      <w:pPr>
        <w:ind w:left="2850" w:hanging="780"/>
      </w:pPr>
      <w:rPr>
        <w:rFonts w:hint="default"/>
      </w:rPr>
    </w:lvl>
    <w:lvl w:ilvl="4" w:tentative="0">
      <w:start w:val="0"/>
      <w:numFmt w:val="bullet"/>
      <w:lvlText w:val="•"/>
      <w:lvlJc w:val="left"/>
      <w:pPr>
        <w:ind w:left="3675" w:hanging="780"/>
      </w:pPr>
      <w:rPr>
        <w:rFonts w:hint="default"/>
      </w:rPr>
    </w:lvl>
    <w:lvl w:ilvl="5" w:tentative="0">
      <w:start w:val="0"/>
      <w:numFmt w:val="bullet"/>
      <w:lvlText w:val="•"/>
      <w:lvlJc w:val="left"/>
      <w:pPr>
        <w:ind w:left="4500" w:hanging="780"/>
      </w:pPr>
      <w:rPr>
        <w:rFonts w:hint="default"/>
      </w:rPr>
    </w:lvl>
    <w:lvl w:ilvl="6" w:tentative="0">
      <w:start w:val="0"/>
      <w:numFmt w:val="bullet"/>
      <w:lvlText w:val="•"/>
      <w:lvlJc w:val="left"/>
      <w:pPr>
        <w:ind w:left="5325" w:hanging="780"/>
      </w:pPr>
      <w:rPr>
        <w:rFonts w:hint="default"/>
      </w:rPr>
    </w:lvl>
    <w:lvl w:ilvl="7" w:tentative="0">
      <w:start w:val="0"/>
      <w:numFmt w:val="bullet"/>
      <w:lvlText w:val="•"/>
      <w:lvlJc w:val="left"/>
      <w:pPr>
        <w:ind w:left="6150" w:hanging="780"/>
      </w:pPr>
      <w:rPr>
        <w:rFonts w:hint="default"/>
      </w:rPr>
    </w:lvl>
    <w:lvl w:ilvl="8" w:tentative="0">
      <w:start w:val="0"/>
      <w:numFmt w:val="bullet"/>
      <w:lvlText w:val="•"/>
      <w:lvlJc w:val="left"/>
      <w:pPr>
        <w:ind w:left="6975" w:hanging="780"/>
      </w:pPr>
      <w:rPr>
        <w:rFonts w:hint="default"/>
      </w:rPr>
    </w:lvl>
  </w:abstractNum>
  <w:abstractNum w:abstractNumId="4">
    <w:nsid w:val="2AF3A773"/>
    <w:multiLevelType w:val="singleLevel"/>
    <w:tmpl w:val="2AF3A773"/>
    <w:lvl w:ilvl="0" w:tentative="0">
      <w:start w:val="1"/>
      <w:numFmt w:val="chineseCounting"/>
      <w:suff w:val="nothing"/>
      <w:lvlText w:val="（%1）"/>
      <w:lvlJc w:val="left"/>
      <w:rPr>
        <w:rFonts w:hint="eastAsia"/>
      </w:rPr>
    </w:lvl>
  </w:abstractNum>
  <w:abstractNum w:abstractNumId="5">
    <w:nsid w:val="39A0D9AC"/>
    <w:multiLevelType w:val="multilevel"/>
    <w:tmpl w:val="39A0D9AC"/>
    <w:lvl w:ilvl="0" w:tentative="0">
      <w:start w:val="11"/>
      <w:numFmt w:val="decimal"/>
      <w:lvlText w:val="%1"/>
      <w:lvlJc w:val="left"/>
      <w:pPr>
        <w:ind w:left="117" w:hanging="600"/>
        <w:jc w:val="left"/>
      </w:pPr>
      <w:rPr>
        <w:rFonts w:hint="default"/>
      </w:rPr>
    </w:lvl>
    <w:lvl w:ilvl="1" w:tentative="0">
      <w:start w:val="1"/>
      <w:numFmt w:val="decimal"/>
      <w:lvlText w:val="%1.%2"/>
      <w:lvlJc w:val="left"/>
      <w:pPr>
        <w:ind w:left="117" w:hanging="600"/>
        <w:jc w:val="left"/>
      </w:pPr>
      <w:rPr>
        <w:rFonts w:hint="default" w:ascii="宋体" w:hAnsi="宋体" w:eastAsia="宋体" w:cs="宋体"/>
        <w:w w:val="100"/>
        <w:sz w:val="24"/>
        <w:szCs w:val="24"/>
      </w:rPr>
    </w:lvl>
    <w:lvl w:ilvl="2" w:tentative="0">
      <w:start w:val="1"/>
      <w:numFmt w:val="decimal"/>
      <w:lvlText w:val="%1.%2.%3"/>
      <w:lvlJc w:val="left"/>
      <w:pPr>
        <w:ind w:left="117" w:hanging="780"/>
        <w:jc w:val="left"/>
      </w:pPr>
      <w:rPr>
        <w:rFonts w:hint="default" w:ascii="宋体" w:hAnsi="宋体" w:eastAsia="宋体" w:cs="宋体"/>
        <w:w w:val="100"/>
        <w:sz w:val="24"/>
        <w:szCs w:val="24"/>
      </w:rPr>
    </w:lvl>
    <w:lvl w:ilvl="3" w:tentative="0">
      <w:start w:val="0"/>
      <w:numFmt w:val="bullet"/>
      <w:lvlText w:val="•"/>
      <w:lvlJc w:val="left"/>
      <w:pPr>
        <w:ind w:left="2683" w:hanging="780"/>
      </w:pPr>
      <w:rPr>
        <w:rFonts w:hint="default"/>
      </w:rPr>
    </w:lvl>
    <w:lvl w:ilvl="4" w:tentative="0">
      <w:start w:val="0"/>
      <w:numFmt w:val="bullet"/>
      <w:lvlText w:val="•"/>
      <w:lvlJc w:val="left"/>
      <w:pPr>
        <w:ind w:left="3538" w:hanging="780"/>
      </w:pPr>
      <w:rPr>
        <w:rFonts w:hint="default"/>
      </w:rPr>
    </w:lvl>
    <w:lvl w:ilvl="5" w:tentative="0">
      <w:start w:val="0"/>
      <w:numFmt w:val="bullet"/>
      <w:lvlText w:val="•"/>
      <w:lvlJc w:val="left"/>
      <w:pPr>
        <w:ind w:left="4392" w:hanging="780"/>
      </w:pPr>
      <w:rPr>
        <w:rFonts w:hint="default"/>
      </w:rPr>
    </w:lvl>
    <w:lvl w:ilvl="6" w:tentative="0">
      <w:start w:val="0"/>
      <w:numFmt w:val="bullet"/>
      <w:lvlText w:val="•"/>
      <w:lvlJc w:val="left"/>
      <w:pPr>
        <w:ind w:left="5247" w:hanging="780"/>
      </w:pPr>
      <w:rPr>
        <w:rFonts w:hint="default"/>
      </w:rPr>
    </w:lvl>
    <w:lvl w:ilvl="7" w:tentative="0">
      <w:start w:val="0"/>
      <w:numFmt w:val="bullet"/>
      <w:lvlText w:val="•"/>
      <w:lvlJc w:val="left"/>
      <w:pPr>
        <w:ind w:left="6101" w:hanging="780"/>
      </w:pPr>
      <w:rPr>
        <w:rFonts w:hint="default"/>
      </w:rPr>
    </w:lvl>
    <w:lvl w:ilvl="8" w:tentative="0">
      <w:start w:val="0"/>
      <w:numFmt w:val="bullet"/>
      <w:lvlText w:val="•"/>
      <w:lvlJc w:val="left"/>
      <w:pPr>
        <w:ind w:left="6956" w:hanging="780"/>
      </w:pPr>
      <w:rPr>
        <w:rFonts w:hint="default"/>
      </w:rPr>
    </w:lvl>
  </w:abstractNum>
  <w:abstractNum w:abstractNumId="6">
    <w:nsid w:val="46A08BB8"/>
    <w:multiLevelType w:val="multilevel"/>
    <w:tmpl w:val="46A08BB8"/>
    <w:lvl w:ilvl="0" w:tentative="0">
      <w:start w:val="9"/>
      <w:numFmt w:val="decimal"/>
      <w:lvlText w:val="%1"/>
      <w:lvlJc w:val="left"/>
      <w:pPr>
        <w:ind w:left="117" w:hanging="420"/>
        <w:jc w:val="left"/>
      </w:pPr>
      <w:rPr>
        <w:rFonts w:hint="default"/>
      </w:rPr>
    </w:lvl>
    <w:lvl w:ilvl="1" w:tentative="0">
      <w:start w:val="1"/>
      <w:numFmt w:val="decimal"/>
      <w:lvlText w:val="%1.%2"/>
      <w:lvlJc w:val="left"/>
      <w:pPr>
        <w:ind w:left="117" w:hanging="420"/>
        <w:jc w:val="left"/>
      </w:pPr>
      <w:rPr>
        <w:rFonts w:hint="default" w:ascii="宋体" w:hAnsi="宋体" w:eastAsia="宋体" w:cs="宋体"/>
        <w:w w:val="100"/>
        <w:sz w:val="24"/>
        <w:szCs w:val="24"/>
      </w:rPr>
    </w:lvl>
    <w:lvl w:ilvl="2" w:tentative="0">
      <w:start w:val="1"/>
      <w:numFmt w:val="decimal"/>
      <w:lvlText w:val="%1.%2.%3"/>
      <w:lvlJc w:val="left"/>
      <w:pPr>
        <w:ind w:left="117" w:hanging="632"/>
        <w:jc w:val="left"/>
      </w:pPr>
      <w:rPr>
        <w:rFonts w:hint="default" w:ascii="宋体" w:hAnsi="宋体" w:eastAsia="宋体" w:cs="宋体"/>
        <w:w w:val="100"/>
        <w:sz w:val="24"/>
        <w:szCs w:val="24"/>
      </w:rPr>
    </w:lvl>
    <w:lvl w:ilvl="3" w:tentative="0">
      <w:start w:val="0"/>
      <w:numFmt w:val="bullet"/>
      <w:lvlText w:val="•"/>
      <w:lvlJc w:val="left"/>
      <w:pPr>
        <w:ind w:left="2683" w:hanging="632"/>
      </w:pPr>
      <w:rPr>
        <w:rFonts w:hint="default"/>
      </w:rPr>
    </w:lvl>
    <w:lvl w:ilvl="4" w:tentative="0">
      <w:start w:val="0"/>
      <w:numFmt w:val="bullet"/>
      <w:lvlText w:val="•"/>
      <w:lvlJc w:val="left"/>
      <w:pPr>
        <w:ind w:left="3538" w:hanging="632"/>
      </w:pPr>
      <w:rPr>
        <w:rFonts w:hint="default"/>
      </w:rPr>
    </w:lvl>
    <w:lvl w:ilvl="5" w:tentative="0">
      <w:start w:val="0"/>
      <w:numFmt w:val="bullet"/>
      <w:lvlText w:val="•"/>
      <w:lvlJc w:val="left"/>
      <w:pPr>
        <w:ind w:left="4392" w:hanging="632"/>
      </w:pPr>
      <w:rPr>
        <w:rFonts w:hint="default"/>
      </w:rPr>
    </w:lvl>
    <w:lvl w:ilvl="6" w:tentative="0">
      <w:start w:val="0"/>
      <w:numFmt w:val="bullet"/>
      <w:lvlText w:val="•"/>
      <w:lvlJc w:val="left"/>
      <w:pPr>
        <w:ind w:left="5247" w:hanging="632"/>
      </w:pPr>
      <w:rPr>
        <w:rFonts w:hint="default"/>
      </w:rPr>
    </w:lvl>
    <w:lvl w:ilvl="7" w:tentative="0">
      <w:start w:val="0"/>
      <w:numFmt w:val="bullet"/>
      <w:lvlText w:val="•"/>
      <w:lvlJc w:val="left"/>
      <w:pPr>
        <w:ind w:left="6101" w:hanging="632"/>
      </w:pPr>
      <w:rPr>
        <w:rFonts w:hint="default"/>
      </w:rPr>
    </w:lvl>
    <w:lvl w:ilvl="8" w:tentative="0">
      <w:start w:val="0"/>
      <w:numFmt w:val="bullet"/>
      <w:lvlText w:val="•"/>
      <w:lvlJc w:val="left"/>
      <w:pPr>
        <w:ind w:left="6956" w:hanging="632"/>
      </w:pPr>
      <w:rPr>
        <w:rFonts w:hint="default"/>
      </w:rPr>
    </w:lvl>
  </w:abstractNum>
  <w:abstractNum w:abstractNumId="7">
    <w:nsid w:val="4773BB81"/>
    <w:multiLevelType w:val="singleLevel"/>
    <w:tmpl w:val="4773BB81"/>
    <w:lvl w:ilvl="0" w:tentative="0">
      <w:start w:val="3"/>
      <w:numFmt w:val="decimal"/>
      <w:lvlText w:val="%1."/>
      <w:lvlJc w:val="left"/>
      <w:pPr>
        <w:tabs>
          <w:tab w:val="left" w:pos="312"/>
        </w:tabs>
      </w:pPr>
    </w:lvl>
  </w:abstractNum>
  <w:abstractNum w:abstractNumId="8">
    <w:nsid w:val="522BE3FB"/>
    <w:multiLevelType w:val="singleLevel"/>
    <w:tmpl w:val="522BE3FB"/>
    <w:lvl w:ilvl="0" w:tentative="0">
      <w:start w:val="3"/>
      <w:numFmt w:val="chineseCounting"/>
      <w:suff w:val="space"/>
      <w:lvlText w:val="第%1章"/>
      <w:lvlJc w:val="left"/>
      <w:rPr>
        <w:rFonts w:hint="eastAsia"/>
      </w:rPr>
    </w:lvl>
  </w:abstractNum>
  <w:abstractNum w:abstractNumId="9">
    <w:nsid w:val="58765686"/>
    <w:multiLevelType w:val="multilevel"/>
    <w:tmpl w:val="58765686"/>
    <w:lvl w:ilvl="0" w:tentative="0">
      <w:start w:val="12"/>
      <w:numFmt w:val="decimal"/>
      <w:lvlText w:val="%1"/>
      <w:lvlJc w:val="left"/>
      <w:pPr>
        <w:ind w:left="117" w:hanging="600"/>
        <w:jc w:val="left"/>
      </w:pPr>
      <w:rPr>
        <w:rFonts w:hint="default"/>
      </w:rPr>
    </w:lvl>
    <w:lvl w:ilvl="1" w:tentative="0">
      <w:start w:val="1"/>
      <w:numFmt w:val="decimal"/>
      <w:lvlText w:val="%1.%2"/>
      <w:lvlJc w:val="left"/>
      <w:pPr>
        <w:ind w:left="117" w:hanging="600"/>
        <w:jc w:val="left"/>
      </w:pPr>
      <w:rPr>
        <w:rFonts w:hint="default" w:ascii="宋体" w:hAnsi="宋体" w:eastAsia="宋体" w:cs="宋体"/>
        <w:w w:val="100"/>
        <w:sz w:val="24"/>
        <w:szCs w:val="24"/>
      </w:rPr>
    </w:lvl>
    <w:lvl w:ilvl="2" w:tentative="0">
      <w:start w:val="1"/>
      <w:numFmt w:val="decimal"/>
      <w:lvlText w:val="%1.%2.%3"/>
      <w:lvlJc w:val="left"/>
      <w:pPr>
        <w:ind w:left="117" w:hanging="780"/>
        <w:jc w:val="left"/>
      </w:pPr>
      <w:rPr>
        <w:rFonts w:hint="default" w:ascii="宋体" w:hAnsi="宋体" w:eastAsia="宋体" w:cs="宋体"/>
        <w:w w:val="100"/>
        <w:sz w:val="24"/>
        <w:szCs w:val="24"/>
      </w:rPr>
    </w:lvl>
    <w:lvl w:ilvl="3" w:tentative="0">
      <w:start w:val="0"/>
      <w:numFmt w:val="bullet"/>
      <w:lvlText w:val="•"/>
      <w:lvlJc w:val="left"/>
      <w:pPr>
        <w:ind w:left="2683" w:hanging="780"/>
      </w:pPr>
      <w:rPr>
        <w:rFonts w:hint="default"/>
      </w:rPr>
    </w:lvl>
    <w:lvl w:ilvl="4" w:tentative="0">
      <w:start w:val="0"/>
      <w:numFmt w:val="bullet"/>
      <w:lvlText w:val="•"/>
      <w:lvlJc w:val="left"/>
      <w:pPr>
        <w:ind w:left="3538" w:hanging="780"/>
      </w:pPr>
      <w:rPr>
        <w:rFonts w:hint="default"/>
      </w:rPr>
    </w:lvl>
    <w:lvl w:ilvl="5" w:tentative="0">
      <w:start w:val="0"/>
      <w:numFmt w:val="bullet"/>
      <w:lvlText w:val="•"/>
      <w:lvlJc w:val="left"/>
      <w:pPr>
        <w:ind w:left="4392" w:hanging="780"/>
      </w:pPr>
      <w:rPr>
        <w:rFonts w:hint="default"/>
      </w:rPr>
    </w:lvl>
    <w:lvl w:ilvl="6" w:tentative="0">
      <w:start w:val="0"/>
      <w:numFmt w:val="bullet"/>
      <w:lvlText w:val="•"/>
      <w:lvlJc w:val="left"/>
      <w:pPr>
        <w:ind w:left="5247" w:hanging="780"/>
      </w:pPr>
      <w:rPr>
        <w:rFonts w:hint="default"/>
      </w:rPr>
    </w:lvl>
    <w:lvl w:ilvl="7" w:tentative="0">
      <w:start w:val="0"/>
      <w:numFmt w:val="bullet"/>
      <w:lvlText w:val="•"/>
      <w:lvlJc w:val="left"/>
      <w:pPr>
        <w:ind w:left="6101" w:hanging="780"/>
      </w:pPr>
      <w:rPr>
        <w:rFonts w:hint="default"/>
      </w:rPr>
    </w:lvl>
    <w:lvl w:ilvl="8" w:tentative="0">
      <w:start w:val="0"/>
      <w:numFmt w:val="bullet"/>
      <w:lvlText w:val="•"/>
      <w:lvlJc w:val="left"/>
      <w:pPr>
        <w:ind w:left="6956" w:hanging="780"/>
      </w:pPr>
      <w:rPr>
        <w:rFonts w:hint="default"/>
      </w:rPr>
    </w:lvl>
  </w:abstractNum>
  <w:abstractNum w:abstractNumId="10">
    <w:nsid w:val="60D5F240"/>
    <w:multiLevelType w:val="singleLevel"/>
    <w:tmpl w:val="60D5F240"/>
    <w:lvl w:ilvl="0" w:tentative="0">
      <w:start w:val="1"/>
      <w:numFmt w:val="decimal"/>
      <w:suff w:val="nothing"/>
      <w:lvlText w:val="（%1）"/>
      <w:lvlJc w:val="left"/>
    </w:lvl>
  </w:abstractNum>
  <w:num w:numId="1">
    <w:abstractNumId w:val="8"/>
  </w:num>
  <w:num w:numId="2">
    <w:abstractNumId w:val="0"/>
  </w:num>
  <w:num w:numId="3">
    <w:abstractNumId w:val="7"/>
  </w:num>
  <w:num w:numId="4">
    <w:abstractNumId w:val="10"/>
  </w:num>
  <w:num w:numId="5">
    <w:abstractNumId w:val="1"/>
  </w:num>
  <w:num w:numId="6">
    <w:abstractNumId w:val="6"/>
  </w:num>
  <w:num w:numId="7">
    <w:abstractNumId w:val="5"/>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85AC7"/>
    <w:rsid w:val="003C6DEC"/>
    <w:rsid w:val="00B620A7"/>
    <w:rsid w:val="00FD78CE"/>
    <w:rsid w:val="00FF7376"/>
    <w:rsid w:val="01172FE7"/>
    <w:rsid w:val="01577241"/>
    <w:rsid w:val="016663FE"/>
    <w:rsid w:val="01A50625"/>
    <w:rsid w:val="01C867C6"/>
    <w:rsid w:val="01C92EAB"/>
    <w:rsid w:val="01E454A9"/>
    <w:rsid w:val="01F42E66"/>
    <w:rsid w:val="01FF6B86"/>
    <w:rsid w:val="025C718F"/>
    <w:rsid w:val="02EC112D"/>
    <w:rsid w:val="03102A36"/>
    <w:rsid w:val="035A095B"/>
    <w:rsid w:val="03635672"/>
    <w:rsid w:val="0380794D"/>
    <w:rsid w:val="03A435DB"/>
    <w:rsid w:val="03C05214"/>
    <w:rsid w:val="03F03724"/>
    <w:rsid w:val="046A6C26"/>
    <w:rsid w:val="04816E93"/>
    <w:rsid w:val="04A879C5"/>
    <w:rsid w:val="04AB6FBA"/>
    <w:rsid w:val="052E0219"/>
    <w:rsid w:val="056C3005"/>
    <w:rsid w:val="057727FE"/>
    <w:rsid w:val="059B0480"/>
    <w:rsid w:val="05AC72B8"/>
    <w:rsid w:val="05C274E7"/>
    <w:rsid w:val="05DD79AF"/>
    <w:rsid w:val="06083FC1"/>
    <w:rsid w:val="062F5422"/>
    <w:rsid w:val="06414DB1"/>
    <w:rsid w:val="066221F9"/>
    <w:rsid w:val="06B573D4"/>
    <w:rsid w:val="07036A6A"/>
    <w:rsid w:val="071D11DB"/>
    <w:rsid w:val="07364C53"/>
    <w:rsid w:val="073B0DF4"/>
    <w:rsid w:val="07937626"/>
    <w:rsid w:val="07DA4EDC"/>
    <w:rsid w:val="07FF0B63"/>
    <w:rsid w:val="08821777"/>
    <w:rsid w:val="08854093"/>
    <w:rsid w:val="08A101CE"/>
    <w:rsid w:val="08CD0EE8"/>
    <w:rsid w:val="08CE74E5"/>
    <w:rsid w:val="08FB7E88"/>
    <w:rsid w:val="09066D77"/>
    <w:rsid w:val="09260E7E"/>
    <w:rsid w:val="094C19C6"/>
    <w:rsid w:val="09EF7FF4"/>
    <w:rsid w:val="0A4C0D83"/>
    <w:rsid w:val="0AC7755D"/>
    <w:rsid w:val="0AD35311"/>
    <w:rsid w:val="0B004F3E"/>
    <w:rsid w:val="0B481204"/>
    <w:rsid w:val="0B6A28A7"/>
    <w:rsid w:val="0B8674D5"/>
    <w:rsid w:val="0B9B14B9"/>
    <w:rsid w:val="0BA71252"/>
    <w:rsid w:val="0BFA28EA"/>
    <w:rsid w:val="0C5F4F0D"/>
    <w:rsid w:val="0C9B4647"/>
    <w:rsid w:val="0C9E211E"/>
    <w:rsid w:val="0CA20868"/>
    <w:rsid w:val="0CBD4CA9"/>
    <w:rsid w:val="0CDF5ED4"/>
    <w:rsid w:val="0CDF72CF"/>
    <w:rsid w:val="0D345AE6"/>
    <w:rsid w:val="0D857B3A"/>
    <w:rsid w:val="0DFC3771"/>
    <w:rsid w:val="0DFF41D8"/>
    <w:rsid w:val="0E0D04CC"/>
    <w:rsid w:val="0E47569D"/>
    <w:rsid w:val="0EFD7FFC"/>
    <w:rsid w:val="0F1772EF"/>
    <w:rsid w:val="0F8A6807"/>
    <w:rsid w:val="0F950374"/>
    <w:rsid w:val="0FF172B3"/>
    <w:rsid w:val="102E4ADE"/>
    <w:rsid w:val="105470B3"/>
    <w:rsid w:val="10601B74"/>
    <w:rsid w:val="10E31233"/>
    <w:rsid w:val="10FD3E8F"/>
    <w:rsid w:val="10FE3A18"/>
    <w:rsid w:val="11774D9A"/>
    <w:rsid w:val="12413ED5"/>
    <w:rsid w:val="12CC4A2F"/>
    <w:rsid w:val="12F2468B"/>
    <w:rsid w:val="13046FF6"/>
    <w:rsid w:val="13120347"/>
    <w:rsid w:val="132816F4"/>
    <w:rsid w:val="132F0155"/>
    <w:rsid w:val="13B37250"/>
    <w:rsid w:val="14482D58"/>
    <w:rsid w:val="149A2DD1"/>
    <w:rsid w:val="14CB1340"/>
    <w:rsid w:val="14DA6FD8"/>
    <w:rsid w:val="14DD222D"/>
    <w:rsid w:val="14F10E22"/>
    <w:rsid w:val="158A39B9"/>
    <w:rsid w:val="15BF3116"/>
    <w:rsid w:val="1600110E"/>
    <w:rsid w:val="16043C24"/>
    <w:rsid w:val="16096965"/>
    <w:rsid w:val="16133FDF"/>
    <w:rsid w:val="1694710A"/>
    <w:rsid w:val="17744017"/>
    <w:rsid w:val="178C092D"/>
    <w:rsid w:val="17925E1B"/>
    <w:rsid w:val="181417A7"/>
    <w:rsid w:val="18171EEE"/>
    <w:rsid w:val="184F41A2"/>
    <w:rsid w:val="18677EA7"/>
    <w:rsid w:val="18730CCB"/>
    <w:rsid w:val="18C964E1"/>
    <w:rsid w:val="19396AE1"/>
    <w:rsid w:val="195D5285"/>
    <w:rsid w:val="198C4B6D"/>
    <w:rsid w:val="1A4720BF"/>
    <w:rsid w:val="1AA84AB4"/>
    <w:rsid w:val="1B187C0E"/>
    <w:rsid w:val="1B1F0087"/>
    <w:rsid w:val="1B49604A"/>
    <w:rsid w:val="1BDC3F95"/>
    <w:rsid w:val="1C215970"/>
    <w:rsid w:val="1C423572"/>
    <w:rsid w:val="1C8C0B74"/>
    <w:rsid w:val="1C944EB1"/>
    <w:rsid w:val="1DEB2FC6"/>
    <w:rsid w:val="1E415EF5"/>
    <w:rsid w:val="1EC1093A"/>
    <w:rsid w:val="1F093AD2"/>
    <w:rsid w:val="1F284B22"/>
    <w:rsid w:val="1F403595"/>
    <w:rsid w:val="1F4A1523"/>
    <w:rsid w:val="1F645B0D"/>
    <w:rsid w:val="1F6D0F89"/>
    <w:rsid w:val="1F6E321C"/>
    <w:rsid w:val="1FBA2224"/>
    <w:rsid w:val="1FE33FFA"/>
    <w:rsid w:val="1FFC7128"/>
    <w:rsid w:val="20C5253E"/>
    <w:rsid w:val="20F32093"/>
    <w:rsid w:val="21047343"/>
    <w:rsid w:val="214A4FD9"/>
    <w:rsid w:val="21793BD2"/>
    <w:rsid w:val="21AA4308"/>
    <w:rsid w:val="220672FB"/>
    <w:rsid w:val="22220452"/>
    <w:rsid w:val="226813E3"/>
    <w:rsid w:val="22A76CE1"/>
    <w:rsid w:val="23063CF3"/>
    <w:rsid w:val="235238D0"/>
    <w:rsid w:val="238B4470"/>
    <w:rsid w:val="23AC412B"/>
    <w:rsid w:val="24075BC6"/>
    <w:rsid w:val="245C6244"/>
    <w:rsid w:val="253B064D"/>
    <w:rsid w:val="2591406A"/>
    <w:rsid w:val="25B757E0"/>
    <w:rsid w:val="25DD3F2A"/>
    <w:rsid w:val="266F655B"/>
    <w:rsid w:val="26707FE0"/>
    <w:rsid w:val="26770A32"/>
    <w:rsid w:val="267D2528"/>
    <w:rsid w:val="26A33A8E"/>
    <w:rsid w:val="27852C3F"/>
    <w:rsid w:val="280250C4"/>
    <w:rsid w:val="28FD01AB"/>
    <w:rsid w:val="28FE7776"/>
    <w:rsid w:val="291660CE"/>
    <w:rsid w:val="29381ED2"/>
    <w:rsid w:val="29901602"/>
    <w:rsid w:val="29D61A2B"/>
    <w:rsid w:val="29E04AE0"/>
    <w:rsid w:val="29F252D1"/>
    <w:rsid w:val="2A20798B"/>
    <w:rsid w:val="2A483CE8"/>
    <w:rsid w:val="2A7F4ABB"/>
    <w:rsid w:val="2BB75F12"/>
    <w:rsid w:val="2BBF2A41"/>
    <w:rsid w:val="2C413359"/>
    <w:rsid w:val="2C7204E8"/>
    <w:rsid w:val="2D3426FE"/>
    <w:rsid w:val="2D4B67D3"/>
    <w:rsid w:val="2D604652"/>
    <w:rsid w:val="2D8C725F"/>
    <w:rsid w:val="2DB579AD"/>
    <w:rsid w:val="2DB62AB8"/>
    <w:rsid w:val="2DDB364C"/>
    <w:rsid w:val="2E2E699F"/>
    <w:rsid w:val="2E607546"/>
    <w:rsid w:val="2EBA3442"/>
    <w:rsid w:val="2ED04898"/>
    <w:rsid w:val="2EE3576B"/>
    <w:rsid w:val="2EFD5FE8"/>
    <w:rsid w:val="2F0A6AA8"/>
    <w:rsid w:val="2F287F82"/>
    <w:rsid w:val="2F517C42"/>
    <w:rsid w:val="2FC17D63"/>
    <w:rsid w:val="2FC97970"/>
    <w:rsid w:val="3019016D"/>
    <w:rsid w:val="30472325"/>
    <w:rsid w:val="306421CF"/>
    <w:rsid w:val="30F82016"/>
    <w:rsid w:val="31203DA3"/>
    <w:rsid w:val="3176402C"/>
    <w:rsid w:val="317C7B44"/>
    <w:rsid w:val="31C67106"/>
    <w:rsid w:val="325570AE"/>
    <w:rsid w:val="32D54B2A"/>
    <w:rsid w:val="33161FAB"/>
    <w:rsid w:val="333B31FF"/>
    <w:rsid w:val="336F6E2A"/>
    <w:rsid w:val="337E2894"/>
    <w:rsid w:val="342A5D32"/>
    <w:rsid w:val="344252F1"/>
    <w:rsid w:val="34D846C2"/>
    <w:rsid w:val="34E70819"/>
    <w:rsid w:val="34F577D7"/>
    <w:rsid w:val="352568EE"/>
    <w:rsid w:val="35627EC2"/>
    <w:rsid w:val="35747CA2"/>
    <w:rsid w:val="35EC503F"/>
    <w:rsid w:val="36022823"/>
    <w:rsid w:val="363E33A8"/>
    <w:rsid w:val="36C87868"/>
    <w:rsid w:val="37065CB2"/>
    <w:rsid w:val="371E279C"/>
    <w:rsid w:val="376B31DB"/>
    <w:rsid w:val="378446A7"/>
    <w:rsid w:val="37DB19F1"/>
    <w:rsid w:val="37E0275F"/>
    <w:rsid w:val="37F63A0C"/>
    <w:rsid w:val="380A1839"/>
    <w:rsid w:val="38281900"/>
    <w:rsid w:val="384E385B"/>
    <w:rsid w:val="38534ED3"/>
    <w:rsid w:val="391F165C"/>
    <w:rsid w:val="39491FCC"/>
    <w:rsid w:val="399701FD"/>
    <w:rsid w:val="39A60D80"/>
    <w:rsid w:val="3A6854DB"/>
    <w:rsid w:val="3A802416"/>
    <w:rsid w:val="3A8F52E6"/>
    <w:rsid w:val="3AB46F68"/>
    <w:rsid w:val="3BF66516"/>
    <w:rsid w:val="3BF73AFF"/>
    <w:rsid w:val="3C2D09FC"/>
    <w:rsid w:val="3C3205A1"/>
    <w:rsid w:val="3C7F4B02"/>
    <w:rsid w:val="3C8060E3"/>
    <w:rsid w:val="3CA3580D"/>
    <w:rsid w:val="3D023234"/>
    <w:rsid w:val="3D2966CA"/>
    <w:rsid w:val="3D3D23A1"/>
    <w:rsid w:val="3D533337"/>
    <w:rsid w:val="3D54411B"/>
    <w:rsid w:val="3DE76C12"/>
    <w:rsid w:val="3DF24897"/>
    <w:rsid w:val="3EE57E42"/>
    <w:rsid w:val="3EF1247E"/>
    <w:rsid w:val="3F0A45C3"/>
    <w:rsid w:val="3F830CF2"/>
    <w:rsid w:val="3FAF5A2B"/>
    <w:rsid w:val="3FDC3DC8"/>
    <w:rsid w:val="3FF22E84"/>
    <w:rsid w:val="40297E2E"/>
    <w:rsid w:val="409951AD"/>
    <w:rsid w:val="40A9223E"/>
    <w:rsid w:val="40EE20AE"/>
    <w:rsid w:val="41096AD8"/>
    <w:rsid w:val="42267A72"/>
    <w:rsid w:val="42346A07"/>
    <w:rsid w:val="429F092B"/>
    <w:rsid w:val="4390413E"/>
    <w:rsid w:val="43FF7D71"/>
    <w:rsid w:val="44533241"/>
    <w:rsid w:val="44691D71"/>
    <w:rsid w:val="446D06DD"/>
    <w:rsid w:val="44FA0A54"/>
    <w:rsid w:val="45656F82"/>
    <w:rsid w:val="456A4E8D"/>
    <w:rsid w:val="4589707E"/>
    <w:rsid w:val="45CB4243"/>
    <w:rsid w:val="45D001CF"/>
    <w:rsid w:val="46A221A1"/>
    <w:rsid w:val="471264CA"/>
    <w:rsid w:val="476D5E0E"/>
    <w:rsid w:val="477D5A62"/>
    <w:rsid w:val="47E56FBC"/>
    <w:rsid w:val="48426668"/>
    <w:rsid w:val="48C651B3"/>
    <w:rsid w:val="48DC0C73"/>
    <w:rsid w:val="491843AD"/>
    <w:rsid w:val="496C6495"/>
    <w:rsid w:val="49797093"/>
    <w:rsid w:val="4A45251E"/>
    <w:rsid w:val="4A550CD9"/>
    <w:rsid w:val="4AAA190F"/>
    <w:rsid w:val="4B156CA8"/>
    <w:rsid w:val="4B653E08"/>
    <w:rsid w:val="4C033834"/>
    <w:rsid w:val="4C082292"/>
    <w:rsid w:val="4C2B6721"/>
    <w:rsid w:val="4C753871"/>
    <w:rsid w:val="4C9A5A32"/>
    <w:rsid w:val="4D696B46"/>
    <w:rsid w:val="4E4406C5"/>
    <w:rsid w:val="4EBF4177"/>
    <w:rsid w:val="4ED23F0B"/>
    <w:rsid w:val="4F567A26"/>
    <w:rsid w:val="4F650504"/>
    <w:rsid w:val="4F66620B"/>
    <w:rsid w:val="4FA26174"/>
    <w:rsid w:val="4FC878A2"/>
    <w:rsid w:val="4FFE7DBC"/>
    <w:rsid w:val="50C75E6F"/>
    <w:rsid w:val="50DF48C4"/>
    <w:rsid w:val="51482666"/>
    <w:rsid w:val="51943518"/>
    <w:rsid w:val="51B60B70"/>
    <w:rsid w:val="51F36A4E"/>
    <w:rsid w:val="525654FD"/>
    <w:rsid w:val="528B3521"/>
    <w:rsid w:val="528B5DB6"/>
    <w:rsid w:val="52981657"/>
    <w:rsid w:val="52AB48A3"/>
    <w:rsid w:val="52B2783C"/>
    <w:rsid w:val="52C210ED"/>
    <w:rsid w:val="52CF2890"/>
    <w:rsid w:val="534D4817"/>
    <w:rsid w:val="53D82626"/>
    <w:rsid w:val="53E4079B"/>
    <w:rsid w:val="5484375B"/>
    <w:rsid w:val="54A67330"/>
    <w:rsid w:val="553F2FE5"/>
    <w:rsid w:val="55423EDB"/>
    <w:rsid w:val="55862845"/>
    <w:rsid w:val="564E28C8"/>
    <w:rsid w:val="564E3956"/>
    <w:rsid w:val="5675046C"/>
    <w:rsid w:val="56BF4FC3"/>
    <w:rsid w:val="573F7CD2"/>
    <w:rsid w:val="575E1281"/>
    <w:rsid w:val="579F212C"/>
    <w:rsid w:val="57B41B6C"/>
    <w:rsid w:val="57DA1FBB"/>
    <w:rsid w:val="581C1285"/>
    <w:rsid w:val="58420407"/>
    <w:rsid w:val="59457BDA"/>
    <w:rsid w:val="59462D0B"/>
    <w:rsid w:val="596169E3"/>
    <w:rsid w:val="59B67755"/>
    <w:rsid w:val="5AB37610"/>
    <w:rsid w:val="5ABF1B64"/>
    <w:rsid w:val="5AC87202"/>
    <w:rsid w:val="5ADA10B4"/>
    <w:rsid w:val="5AFD2447"/>
    <w:rsid w:val="5B3171ED"/>
    <w:rsid w:val="5BC61257"/>
    <w:rsid w:val="5BF50F47"/>
    <w:rsid w:val="5C08306E"/>
    <w:rsid w:val="5C1C2FC2"/>
    <w:rsid w:val="5C4B50C9"/>
    <w:rsid w:val="5C6D2A62"/>
    <w:rsid w:val="5C7523E6"/>
    <w:rsid w:val="5C932B4F"/>
    <w:rsid w:val="5CB36C11"/>
    <w:rsid w:val="5CBB4D35"/>
    <w:rsid w:val="5CE41E25"/>
    <w:rsid w:val="5E0775E9"/>
    <w:rsid w:val="5E5922B5"/>
    <w:rsid w:val="5EA17738"/>
    <w:rsid w:val="5EBE41FF"/>
    <w:rsid w:val="5EE3707B"/>
    <w:rsid w:val="5F2D7EA3"/>
    <w:rsid w:val="5F435D96"/>
    <w:rsid w:val="5F4D1ED8"/>
    <w:rsid w:val="5F534A1B"/>
    <w:rsid w:val="5F787551"/>
    <w:rsid w:val="5F821D9A"/>
    <w:rsid w:val="5FEC456B"/>
    <w:rsid w:val="60352750"/>
    <w:rsid w:val="60860EFE"/>
    <w:rsid w:val="60BA2DBE"/>
    <w:rsid w:val="613278B2"/>
    <w:rsid w:val="616717B1"/>
    <w:rsid w:val="61977F40"/>
    <w:rsid w:val="61F333EB"/>
    <w:rsid w:val="61FA59D4"/>
    <w:rsid w:val="620924F5"/>
    <w:rsid w:val="621E1BFF"/>
    <w:rsid w:val="623768F5"/>
    <w:rsid w:val="62602C9B"/>
    <w:rsid w:val="627552C2"/>
    <w:rsid w:val="62E6449D"/>
    <w:rsid w:val="631F08F7"/>
    <w:rsid w:val="63B072EC"/>
    <w:rsid w:val="63B45379"/>
    <w:rsid w:val="63C820E3"/>
    <w:rsid w:val="63E576E7"/>
    <w:rsid w:val="63F0188F"/>
    <w:rsid w:val="63F1521C"/>
    <w:rsid w:val="64044528"/>
    <w:rsid w:val="643F6889"/>
    <w:rsid w:val="648047E2"/>
    <w:rsid w:val="64A45A9A"/>
    <w:rsid w:val="64F41909"/>
    <w:rsid w:val="65347DD9"/>
    <w:rsid w:val="655561DF"/>
    <w:rsid w:val="65B95E54"/>
    <w:rsid w:val="65BD53E0"/>
    <w:rsid w:val="65FA5643"/>
    <w:rsid w:val="669224A1"/>
    <w:rsid w:val="66970203"/>
    <w:rsid w:val="669B0B74"/>
    <w:rsid w:val="66AA3B53"/>
    <w:rsid w:val="66C50195"/>
    <w:rsid w:val="66FF44F2"/>
    <w:rsid w:val="674C2473"/>
    <w:rsid w:val="67760A0B"/>
    <w:rsid w:val="67F97A00"/>
    <w:rsid w:val="68F10FE7"/>
    <w:rsid w:val="69B055B9"/>
    <w:rsid w:val="6A341AB5"/>
    <w:rsid w:val="6A3826C4"/>
    <w:rsid w:val="6A857BFF"/>
    <w:rsid w:val="6AA62E0D"/>
    <w:rsid w:val="6AD00590"/>
    <w:rsid w:val="6AE67F89"/>
    <w:rsid w:val="6AF6279F"/>
    <w:rsid w:val="6B21473D"/>
    <w:rsid w:val="6B244AD5"/>
    <w:rsid w:val="6B6A10DF"/>
    <w:rsid w:val="6B760BE0"/>
    <w:rsid w:val="6B7F00EA"/>
    <w:rsid w:val="6B857EF5"/>
    <w:rsid w:val="6BC61376"/>
    <w:rsid w:val="6C2A00F2"/>
    <w:rsid w:val="6CE00CEB"/>
    <w:rsid w:val="6D252842"/>
    <w:rsid w:val="6D30380D"/>
    <w:rsid w:val="6D9C5FBA"/>
    <w:rsid w:val="6DD94C15"/>
    <w:rsid w:val="6E223E93"/>
    <w:rsid w:val="6E344DC6"/>
    <w:rsid w:val="6ED97A0B"/>
    <w:rsid w:val="6F26125B"/>
    <w:rsid w:val="6F2643FD"/>
    <w:rsid w:val="6F962A84"/>
    <w:rsid w:val="6FDB48F2"/>
    <w:rsid w:val="6FFE154F"/>
    <w:rsid w:val="70403915"/>
    <w:rsid w:val="70490EE1"/>
    <w:rsid w:val="70564B3D"/>
    <w:rsid w:val="706D0D9E"/>
    <w:rsid w:val="70703D76"/>
    <w:rsid w:val="70C4787A"/>
    <w:rsid w:val="711C0D58"/>
    <w:rsid w:val="71362DED"/>
    <w:rsid w:val="716F09F8"/>
    <w:rsid w:val="71765484"/>
    <w:rsid w:val="724A3956"/>
    <w:rsid w:val="728C123E"/>
    <w:rsid w:val="72D51593"/>
    <w:rsid w:val="731C4608"/>
    <w:rsid w:val="73914B61"/>
    <w:rsid w:val="739556F8"/>
    <w:rsid w:val="739A39FB"/>
    <w:rsid w:val="740A20B3"/>
    <w:rsid w:val="74431208"/>
    <w:rsid w:val="74606687"/>
    <w:rsid w:val="74874DA4"/>
    <w:rsid w:val="74BE35E5"/>
    <w:rsid w:val="754601B8"/>
    <w:rsid w:val="754C524C"/>
    <w:rsid w:val="754D0AD5"/>
    <w:rsid w:val="76447F7A"/>
    <w:rsid w:val="76FD41D2"/>
    <w:rsid w:val="772B5189"/>
    <w:rsid w:val="775A1E0C"/>
    <w:rsid w:val="776611F4"/>
    <w:rsid w:val="776D6CD4"/>
    <w:rsid w:val="77837516"/>
    <w:rsid w:val="77B16F03"/>
    <w:rsid w:val="77C47E1E"/>
    <w:rsid w:val="77D40766"/>
    <w:rsid w:val="77F94CBB"/>
    <w:rsid w:val="78120692"/>
    <w:rsid w:val="78187912"/>
    <w:rsid w:val="78BB0BC0"/>
    <w:rsid w:val="78BC2B02"/>
    <w:rsid w:val="78DF4088"/>
    <w:rsid w:val="78EB55C7"/>
    <w:rsid w:val="799051BA"/>
    <w:rsid w:val="79A063F1"/>
    <w:rsid w:val="79BB6974"/>
    <w:rsid w:val="7A092BF9"/>
    <w:rsid w:val="7A3D1112"/>
    <w:rsid w:val="7ABC0688"/>
    <w:rsid w:val="7B8F4497"/>
    <w:rsid w:val="7BAF3212"/>
    <w:rsid w:val="7BE85DA7"/>
    <w:rsid w:val="7C2C4A50"/>
    <w:rsid w:val="7D0516DC"/>
    <w:rsid w:val="7D2C3A7F"/>
    <w:rsid w:val="7D4146F6"/>
    <w:rsid w:val="7DFA2C1A"/>
    <w:rsid w:val="7E0F4454"/>
    <w:rsid w:val="7E315873"/>
    <w:rsid w:val="7E3D71A4"/>
    <w:rsid w:val="7E4B38AB"/>
    <w:rsid w:val="7E592F0D"/>
    <w:rsid w:val="7E824EC5"/>
    <w:rsid w:val="7EA12D65"/>
    <w:rsid w:val="7EB60808"/>
    <w:rsid w:val="7EC01EA8"/>
    <w:rsid w:val="7F1642A8"/>
    <w:rsid w:val="7F3A5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right="98"/>
      <w:jc w:val="center"/>
      <w:outlineLvl w:val="1"/>
    </w:pPr>
    <w:rPr>
      <w:rFonts w:ascii="宋体" w:hAnsi="宋体" w:eastAsia="宋体" w:cs="宋体"/>
      <w:b/>
      <w:bCs/>
      <w:sz w:val="40"/>
      <w:szCs w:val="40"/>
    </w:rPr>
  </w:style>
  <w:style w:type="paragraph" w:styleId="4">
    <w:name w:val="heading 2"/>
    <w:basedOn w:val="1"/>
    <w:next w:val="1"/>
    <w:qFormat/>
    <w:uiPriority w:val="1"/>
    <w:pPr>
      <w:spacing w:line="440" w:lineRule="exact"/>
      <w:ind w:left="804"/>
      <w:outlineLvl w:val="2"/>
    </w:pPr>
    <w:rPr>
      <w:rFonts w:ascii="宋体" w:hAnsi="宋体" w:eastAsia="宋体" w:cs="宋体"/>
      <w:b/>
      <w:bCs/>
      <w:sz w:val="36"/>
      <w:szCs w:val="36"/>
    </w:rPr>
  </w:style>
  <w:style w:type="paragraph" w:styleId="5">
    <w:name w:val="heading 3"/>
    <w:basedOn w:val="1"/>
    <w:next w:val="1"/>
    <w:qFormat/>
    <w:uiPriority w:val="1"/>
    <w:pPr>
      <w:ind w:left="3309"/>
      <w:outlineLvl w:val="3"/>
    </w:pPr>
    <w:rPr>
      <w:rFonts w:ascii="宋体" w:hAnsi="宋体" w:eastAsia="宋体" w:cs="宋体"/>
      <w:b/>
      <w:bCs/>
      <w:sz w:val="32"/>
      <w:szCs w:val="32"/>
    </w:rPr>
  </w:style>
  <w:style w:type="paragraph" w:styleId="6">
    <w:name w:val="heading 4"/>
    <w:basedOn w:val="1"/>
    <w:next w:val="1"/>
    <w:qFormat/>
    <w:uiPriority w:val="1"/>
    <w:pPr>
      <w:ind w:left="117"/>
      <w:outlineLvl w:val="4"/>
    </w:pPr>
    <w:rPr>
      <w:rFonts w:ascii="宋体" w:hAnsi="宋体" w:eastAsia="宋体" w:cs="宋体"/>
      <w:b/>
      <w:bCs/>
      <w:sz w:val="31"/>
      <w:szCs w:val="31"/>
    </w:rPr>
  </w:style>
  <w:style w:type="paragraph" w:styleId="7">
    <w:name w:val="heading 5"/>
    <w:basedOn w:val="1"/>
    <w:next w:val="1"/>
    <w:qFormat/>
    <w:uiPriority w:val="1"/>
    <w:pPr>
      <w:ind w:left="1140"/>
      <w:outlineLvl w:val="5"/>
    </w:pPr>
    <w:rPr>
      <w:rFonts w:ascii="宋体" w:hAnsi="宋体" w:eastAsia="宋体" w:cs="宋体"/>
      <w:b/>
      <w:bCs/>
      <w:sz w:val="28"/>
      <w:szCs w:val="28"/>
    </w:rPr>
  </w:style>
  <w:style w:type="paragraph" w:styleId="8">
    <w:name w:val="heading 6"/>
    <w:basedOn w:val="1"/>
    <w:next w:val="1"/>
    <w:qFormat/>
    <w:uiPriority w:val="1"/>
    <w:pPr>
      <w:ind w:left="117"/>
      <w:outlineLvl w:val="6"/>
    </w:pPr>
    <w:rPr>
      <w:rFonts w:ascii="宋体" w:hAnsi="宋体" w:eastAsia="宋体" w:cs="宋体"/>
      <w:b/>
      <w:bCs/>
      <w:sz w:val="24"/>
      <w:szCs w:val="24"/>
    </w:rPr>
  </w:style>
  <w:style w:type="character" w:default="1" w:styleId="15">
    <w:name w:val="Default Paragraph Font"/>
    <w:semiHidden/>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标题 Char Char"/>
    <w:basedOn w:val="1"/>
    <w:qFormat/>
    <w:uiPriority w:val="0"/>
    <w:pPr>
      <w:jc w:val="center"/>
      <w:outlineLvl w:val="0"/>
    </w:pPr>
    <w:rPr>
      <w:rFonts w:ascii="Arial" w:hAnsi="Arial"/>
      <w:b/>
      <w:sz w:val="32"/>
    </w:rPr>
  </w:style>
  <w:style w:type="paragraph" w:styleId="9">
    <w:name w:val="Body Text"/>
    <w:basedOn w:val="1"/>
    <w:qFormat/>
    <w:uiPriority w:val="1"/>
    <w:pPr>
      <w:ind w:left="117"/>
    </w:pPr>
    <w:rPr>
      <w:rFonts w:ascii="宋体" w:hAnsi="宋体" w:eastAsia="宋体" w:cs="宋体"/>
      <w:sz w:val="24"/>
      <w:szCs w:val="24"/>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semiHidden/>
    <w:unhideWhenUsed/>
    <w:qFormat/>
    <w:uiPriority w:val="2"/>
    <w:tblPr>
      <w:tblLayout w:type="fixed"/>
      <w:tblCellMar>
        <w:top w:w="0" w:type="dxa"/>
        <w:left w:w="0" w:type="dxa"/>
        <w:bottom w:w="0" w:type="dxa"/>
        <w:right w:w="0" w:type="dxa"/>
      </w:tblCellMar>
    </w:tblPr>
  </w:style>
  <w:style w:type="paragraph" w:styleId="17">
    <w:name w:val="List Paragraph"/>
    <w:basedOn w:val="1"/>
    <w:qFormat/>
    <w:uiPriority w:val="1"/>
    <w:pPr>
      <w:ind w:left="117"/>
    </w:pPr>
    <w:rPr>
      <w:rFonts w:ascii="宋体" w:hAnsi="宋体" w:eastAsia="宋体" w:cs="宋体"/>
    </w:rPr>
  </w:style>
  <w:style w:type="paragraph" w:customStyle="1" w:styleId="18">
    <w:name w:val="Table Paragraph"/>
    <w:basedOn w:val="1"/>
    <w:qFormat/>
    <w:uiPriority w:val="1"/>
    <w:rPr>
      <w:rFonts w:ascii="宋体" w:hAnsi="宋体" w:eastAsia="宋体" w:cs="宋体"/>
    </w:rPr>
  </w:style>
  <w:style w:type="paragraph" w:customStyle="1" w:styleId="1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2" textRotate="1"/>
    <customShpInfo spid="_x0000_s4103"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35381</Words>
  <Characters>38693</Characters>
  <TotalTime>2</TotalTime>
  <ScaleCrop>false</ScaleCrop>
  <LinksUpToDate>false</LinksUpToDate>
  <CharactersWithSpaces>40519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2020-01-06T17:02:00Z</dcterms:created>
  <dc:creator>Administrator</dc:creator>
  <cp:lastModifiedBy>Administrator</cp:lastModifiedBy>
  <cp:lastPrinted>2020-01-10T01:18:00Z</cp:lastPrinted>
  <dcterms:modified xsi:type="dcterms:W3CDTF">2020-01-19T08:01:00Z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WPS 文字</vt:lpwstr>
  </property>
  <property fmtid="{D5CDD505-2E9C-101B-9397-08002B2CF9AE}" pid="4" name="LastSaved">
    <vt:filetime>2020-01-06T00:00:00Z</vt:filetime>
  </property>
  <property fmtid="{D5CDD505-2E9C-101B-9397-08002B2CF9AE}" pid="5" name="KSOProductBuildVer">
    <vt:lpwstr>2052-11.1.0.8597</vt:lpwstr>
  </property>
</Properties>
</file>