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700" w:lineRule="exact"/>
        <w:jc w:val="center"/>
        <w:rPr>
          <w:rFonts w:ascii="黑体" w:hAnsi="宋体" w:eastAsia="黑体"/>
          <w:b/>
          <w:color w:val="000000"/>
          <w:spacing w:val="-4"/>
          <w:sz w:val="44"/>
          <w:szCs w:val="44"/>
        </w:rPr>
      </w:pPr>
      <w:r>
        <w:rPr>
          <w:rFonts w:hint="eastAsia" w:ascii="黑体" w:hAnsi="宋体" w:eastAsia="黑体"/>
          <w:b/>
          <w:color w:val="000000"/>
          <w:spacing w:val="-4"/>
          <w:sz w:val="44"/>
          <w:szCs w:val="44"/>
        </w:rPr>
        <w:t>铜仁市公共资源交易中心</w:t>
      </w:r>
    </w:p>
    <w:p>
      <w:pPr>
        <w:pStyle w:val="10"/>
        <w:spacing w:line="700" w:lineRule="exact"/>
        <w:jc w:val="center"/>
        <w:rPr>
          <w:rFonts w:ascii="黑体" w:hAnsi="宋体" w:eastAsia="黑体"/>
          <w:b/>
          <w:color w:val="000000"/>
          <w:spacing w:val="-4"/>
          <w:sz w:val="36"/>
          <w:szCs w:val="36"/>
        </w:rPr>
      </w:pPr>
      <w:r>
        <w:rPr>
          <w:rFonts w:hint="eastAsia" w:ascii="黑体" w:hAnsi="宋体" w:eastAsia="黑体"/>
          <w:b/>
          <w:color w:val="000000"/>
          <w:spacing w:val="-4"/>
          <w:sz w:val="36"/>
          <w:szCs w:val="36"/>
        </w:rPr>
        <w:t>（政府采购）</w:t>
      </w:r>
    </w:p>
    <w:p>
      <w:pPr>
        <w:pStyle w:val="10"/>
        <w:spacing w:line="700" w:lineRule="exact"/>
        <w:jc w:val="center"/>
        <w:rPr>
          <w:rFonts w:ascii="黑体" w:hAnsi="宋体" w:eastAsia="黑体"/>
          <w:b/>
          <w:color w:val="000000"/>
          <w:spacing w:val="-4"/>
          <w:sz w:val="44"/>
          <w:szCs w:val="44"/>
        </w:rPr>
      </w:pPr>
    </w:p>
    <w:p>
      <w:pPr>
        <w:pStyle w:val="10"/>
        <w:spacing w:line="700" w:lineRule="exact"/>
        <w:rPr>
          <w:rFonts w:ascii="黑体" w:hAnsi="宋体" w:eastAsia="黑体"/>
          <w:b/>
          <w:color w:val="000000"/>
          <w:spacing w:val="-4"/>
          <w:sz w:val="44"/>
          <w:szCs w:val="44"/>
        </w:rPr>
      </w:pPr>
    </w:p>
    <w:p>
      <w:pPr>
        <w:pStyle w:val="10"/>
        <w:spacing w:line="700" w:lineRule="exact"/>
        <w:rPr>
          <w:rFonts w:ascii="黑体" w:hAnsi="宋体" w:eastAsia="黑体"/>
          <w:b/>
          <w:color w:val="000000"/>
          <w:spacing w:val="-4"/>
          <w:sz w:val="44"/>
          <w:szCs w:val="44"/>
        </w:rPr>
      </w:pPr>
    </w:p>
    <w:p>
      <w:pPr>
        <w:pStyle w:val="10"/>
        <w:spacing w:line="360" w:lineRule="auto"/>
        <w:jc w:val="center"/>
        <w:rPr>
          <w:rFonts w:cs="宋体"/>
          <w:b/>
          <w:bCs/>
          <w:sz w:val="36"/>
          <w:szCs w:val="36"/>
        </w:rPr>
      </w:pPr>
      <w:r>
        <w:rPr>
          <w:rFonts w:hint="eastAsia" w:hAnsi="宋体" w:cs="宋体"/>
          <w:b/>
          <w:bCs/>
          <w:sz w:val="36"/>
          <w:szCs w:val="36"/>
        </w:rPr>
        <w:t>谈</w:t>
      </w:r>
    </w:p>
    <w:p>
      <w:pPr>
        <w:pStyle w:val="10"/>
        <w:spacing w:line="360" w:lineRule="auto"/>
        <w:jc w:val="center"/>
        <w:rPr>
          <w:rFonts w:cs="宋体"/>
          <w:b/>
          <w:bCs/>
          <w:sz w:val="36"/>
          <w:szCs w:val="36"/>
        </w:rPr>
      </w:pPr>
      <w:r>
        <w:rPr>
          <w:rFonts w:hint="eastAsia" w:hAnsi="宋体" w:cs="宋体"/>
          <w:b/>
          <w:bCs/>
          <w:sz w:val="36"/>
          <w:szCs w:val="36"/>
        </w:rPr>
        <w:t>判</w:t>
      </w:r>
    </w:p>
    <w:p>
      <w:pPr>
        <w:pStyle w:val="10"/>
        <w:spacing w:line="360" w:lineRule="auto"/>
        <w:jc w:val="center"/>
        <w:rPr>
          <w:rFonts w:cs="宋体"/>
          <w:b/>
          <w:bCs/>
          <w:sz w:val="36"/>
          <w:szCs w:val="36"/>
        </w:rPr>
      </w:pPr>
      <w:r>
        <w:rPr>
          <w:rFonts w:hint="eastAsia" w:hAnsi="宋体" w:cs="宋体"/>
          <w:b/>
          <w:bCs/>
          <w:sz w:val="36"/>
          <w:szCs w:val="36"/>
        </w:rPr>
        <w:t>文</w:t>
      </w:r>
    </w:p>
    <w:p>
      <w:pPr>
        <w:pStyle w:val="10"/>
        <w:spacing w:line="360" w:lineRule="auto"/>
        <w:jc w:val="center"/>
        <w:rPr>
          <w:rFonts w:cs="宋体"/>
          <w:b/>
          <w:bCs/>
          <w:sz w:val="36"/>
          <w:szCs w:val="36"/>
        </w:rPr>
      </w:pPr>
      <w:r>
        <w:rPr>
          <w:rFonts w:hint="eastAsia" w:hAnsi="宋体" w:cs="宋体"/>
          <w:b/>
          <w:bCs/>
          <w:sz w:val="36"/>
          <w:szCs w:val="36"/>
        </w:rPr>
        <w:t>件</w:t>
      </w:r>
    </w:p>
    <w:p>
      <w:pPr>
        <w:pStyle w:val="10"/>
        <w:spacing w:line="360" w:lineRule="auto"/>
        <w:ind w:firstLine="1265" w:firstLineChars="450"/>
        <w:rPr>
          <w:rFonts w:cs="宋体"/>
          <w:b/>
          <w:color w:val="000000"/>
          <w:sz w:val="28"/>
          <w:szCs w:val="28"/>
        </w:rPr>
      </w:pPr>
      <w:r>
        <w:rPr>
          <w:rFonts w:hAnsi="宋体" w:cs="宋体"/>
          <w:b/>
          <w:color w:val="000000"/>
          <w:sz w:val="28"/>
          <w:szCs w:val="28"/>
        </w:rPr>
        <w:t xml:space="preserve">         </w:t>
      </w:r>
    </w:p>
    <w:p>
      <w:pPr>
        <w:pStyle w:val="10"/>
        <w:spacing w:line="360" w:lineRule="auto"/>
        <w:ind w:firstLine="1265" w:firstLineChars="450"/>
        <w:rPr>
          <w:rFonts w:cs="宋体"/>
          <w:b/>
          <w:color w:val="000000"/>
          <w:sz w:val="28"/>
          <w:szCs w:val="28"/>
        </w:rPr>
      </w:pPr>
    </w:p>
    <w:p>
      <w:pPr>
        <w:pStyle w:val="10"/>
        <w:spacing w:line="360" w:lineRule="auto"/>
        <w:rPr>
          <w:rFonts w:cs="宋体"/>
          <w:b/>
          <w:color w:val="000000"/>
          <w:sz w:val="28"/>
          <w:szCs w:val="28"/>
        </w:rPr>
      </w:pPr>
      <w:r>
        <w:rPr>
          <w:rFonts w:hAnsi="宋体" w:cs="宋体"/>
          <w:b/>
          <w:color w:val="000000"/>
          <w:sz w:val="28"/>
          <w:szCs w:val="28"/>
        </w:rPr>
        <w:t xml:space="preserve">                                            </w:t>
      </w:r>
    </w:p>
    <w:p>
      <w:pPr>
        <w:pStyle w:val="10"/>
        <w:spacing w:line="560" w:lineRule="exact"/>
        <w:rPr>
          <w:rFonts w:hint="default" w:eastAsia="宋体" w:cs="宋体"/>
          <w:color w:val="000000"/>
          <w:sz w:val="28"/>
          <w:szCs w:val="28"/>
          <w:lang w:val="en-US" w:eastAsia="zh-CN"/>
        </w:rPr>
      </w:pPr>
      <w:r>
        <w:rPr>
          <w:rFonts w:hint="eastAsia" w:hAnsi="宋体" w:cs="宋体"/>
          <w:b/>
          <w:color w:val="000000"/>
          <w:sz w:val="28"/>
          <w:szCs w:val="28"/>
        </w:rPr>
        <w:t>招标项目：铜仁职业技术学院2019年教学、实训软件采购项目</w:t>
      </w:r>
      <w:r>
        <w:rPr>
          <w:rFonts w:hAnsi="宋体" w:cs="宋体"/>
          <w:b/>
          <w:color w:val="000000"/>
          <w:sz w:val="28"/>
          <w:szCs w:val="28"/>
        </w:rPr>
        <w:t xml:space="preserve">      </w:t>
      </w:r>
      <w:r>
        <w:rPr>
          <w:rFonts w:hint="eastAsia" w:hAnsi="宋体" w:cs="宋体"/>
          <w:b/>
          <w:color w:val="000000"/>
          <w:sz w:val="28"/>
          <w:szCs w:val="28"/>
        </w:rPr>
        <w:t>招标编号：</w:t>
      </w:r>
      <w:r>
        <w:rPr>
          <w:rFonts w:hAnsi="宋体" w:cs="宋体"/>
          <w:color w:val="000000"/>
          <w:sz w:val="28"/>
          <w:szCs w:val="28"/>
        </w:rPr>
        <w:t>TRZFCG-2019-</w:t>
      </w:r>
      <w:r>
        <w:rPr>
          <w:rFonts w:hint="eastAsia" w:hAnsi="宋体" w:cs="宋体"/>
          <w:color w:val="000000"/>
          <w:sz w:val="28"/>
          <w:szCs w:val="28"/>
          <w:lang w:val="en-US" w:eastAsia="zh-CN"/>
        </w:rPr>
        <w:t>242</w:t>
      </w:r>
    </w:p>
    <w:p>
      <w:pPr>
        <w:pStyle w:val="10"/>
        <w:spacing w:line="560" w:lineRule="exact"/>
        <w:rPr>
          <w:rFonts w:cs="宋体"/>
          <w:b/>
          <w:color w:val="000000"/>
          <w:sz w:val="28"/>
          <w:szCs w:val="28"/>
        </w:rPr>
      </w:pPr>
      <w:r>
        <w:rPr>
          <w:rFonts w:hint="eastAsia" w:hAnsi="宋体" w:cs="宋体"/>
          <w:b/>
          <w:color w:val="000000"/>
          <w:sz w:val="28"/>
          <w:szCs w:val="28"/>
        </w:rPr>
        <w:t>招标方式：竞争性谈判</w:t>
      </w:r>
      <w:r>
        <w:rPr>
          <w:rFonts w:hAnsi="宋体" w:cs="宋体"/>
          <w:b/>
          <w:color w:val="000000"/>
          <w:sz w:val="28"/>
          <w:szCs w:val="28"/>
        </w:rPr>
        <w:t xml:space="preserve">  </w:t>
      </w:r>
    </w:p>
    <w:p>
      <w:pPr>
        <w:pStyle w:val="10"/>
        <w:spacing w:line="560" w:lineRule="exact"/>
        <w:rPr>
          <w:rFonts w:cs="宋体"/>
          <w:b/>
          <w:color w:val="000000"/>
          <w:sz w:val="28"/>
          <w:szCs w:val="28"/>
        </w:rPr>
      </w:pPr>
      <w:r>
        <w:rPr>
          <w:rFonts w:hint="eastAsia" w:hAnsi="宋体" w:cs="宋体"/>
          <w:b/>
          <w:color w:val="000000"/>
          <w:sz w:val="28"/>
          <w:szCs w:val="28"/>
        </w:rPr>
        <w:t>项目类别：货物类</w:t>
      </w:r>
    </w:p>
    <w:p>
      <w:pPr>
        <w:pStyle w:val="10"/>
        <w:spacing w:line="560" w:lineRule="exact"/>
        <w:rPr>
          <w:rFonts w:cs="宋体"/>
          <w:b/>
          <w:color w:val="000000"/>
          <w:sz w:val="28"/>
          <w:szCs w:val="28"/>
        </w:rPr>
      </w:pPr>
      <w:r>
        <w:rPr>
          <w:rFonts w:hAnsi="宋体" w:cs="宋体"/>
          <w:b/>
          <w:color w:val="000000"/>
          <w:sz w:val="28"/>
          <w:szCs w:val="28"/>
        </w:rPr>
        <w:t xml:space="preserve">                                                                                                                                                                                                                                                                                                                                                                                                                                                          </w:t>
      </w:r>
    </w:p>
    <w:p>
      <w:pPr>
        <w:pStyle w:val="10"/>
        <w:spacing w:line="360" w:lineRule="auto"/>
        <w:rPr>
          <w:rFonts w:hint="eastAsia" w:eastAsia="宋体" w:cs="宋体"/>
          <w:b/>
          <w:color w:val="000000"/>
          <w:sz w:val="28"/>
          <w:szCs w:val="28"/>
          <w:lang w:val="en-US" w:eastAsia="zh-CN"/>
        </w:rPr>
      </w:pPr>
      <w:r>
        <w:rPr>
          <w:rFonts w:hAnsi="宋体" w:cs="宋体"/>
          <w:b/>
          <w:color w:val="000000"/>
          <w:sz w:val="28"/>
          <w:szCs w:val="28"/>
        </w:rPr>
        <w:t xml:space="preserve">           </w:t>
      </w:r>
      <w:r>
        <w:rPr>
          <w:rFonts w:hint="eastAsia" w:hAnsi="宋体" w:cs="宋体"/>
          <w:b/>
          <w:color w:val="000000"/>
          <w:sz w:val="28"/>
          <w:szCs w:val="28"/>
          <w:lang w:val="en-US" w:eastAsia="zh-CN"/>
        </w:rPr>
        <w:t xml:space="preserve"> </w:t>
      </w:r>
    </w:p>
    <w:p>
      <w:pPr>
        <w:pStyle w:val="10"/>
        <w:spacing w:line="360" w:lineRule="auto"/>
        <w:rPr>
          <w:rFonts w:cs="宋体"/>
          <w:b/>
          <w:color w:val="000000"/>
          <w:sz w:val="28"/>
          <w:szCs w:val="28"/>
        </w:rPr>
      </w:pPr>
      <w:r>
        <w:rPr>
          <w:rFonts w:hAnsi="宋体" w:cs="宋体"/>
          <w:b/>
          <w:color w:val="000000"/>
          <w:sz w:val="28"/>
          <w:szCs w:val="28"/>
        </w:rPr>
        <w:t xml:space="preserve">              </w:t>
      </w:r>
    </w:p>
    <w:p>
      <w:pPr>
        <w:pStyle w:val="6"/>
        <w:ind w:firstLine="0"/>
        <w:jc w:val="center"/>
        <w:rPr>
          <w:rFonts w:cs="宋体"/>
          <w:b/>
          <w:bCs/>
          <w:sz w:val="28"/>
          <w:szCs w:val="28"/>
        </w:rPr>
      </w:pPr>
      <w:r>
        <w:rPr>
          <w:rFonts w:hint="eastAsia" w:cs="宋体"/>
          <w:b/>
          <w:bCs/>
          <w:sz w:val="28"/>
          <w:szCs w:val="28"/>
        </w:rPr>
        <w:t>铜仁市公共资源交易中心编制</w:t>
      </w:r>
    </w:p>
    <w:p>
      <w:pPr>
        <w:pStyle w:val="10"/>
        <w:spacing w:line="360" w:lineRule="auto"/>
        <w:jc w:val="left"/>
        <w:rPr>
          <w:rFonts w:hAnsi="宋体"/>
          <w:b/>
          <w:bCs/>
          <w:sz w:val="30"/>
          <w:szCs w:val="30"/>
        </w:rPr>
      </w:pPr>
    </w:p>
    <w:p>
      <w:pPr>
        <w:spacing w:line="360" w:lineRule="auto"/>
        <w:jc w:val="center"/>
        <w:rPr>
          <w:rFonts w:ascii="宋体"/>
          <w:b/>
          <w:sz w:val="52"/>
          <w:szCs w:val="52"/>
        </w:rPr>
      </w:pPr>
    </w:p>
    <w:p>
      <w:pPr>
        <w:spacing w:line="360" w:lineRule="auto"/>
        <w:jc w:val="center"/>
        <w:rPr>
          <w:rFonts w:ascii="宋体"/>
          <w:b/>
          <w:sz w:val="52"/>
          <w:szCs w:val="52"/>
        </w:rPr>
      </w:pPr>
      <w:r>
        <w:rPr>
          <w:rFonts w:ascii="宋体" w:hAnsi="宋体"/>
          <w:b/>
          <w:sz w:val="52"/>
          <w:szCs w:val="52"/>
        </w:rPr>
        <w:t xml:space="preserve"> </w:t>
      </w:r>
    </w:p>
    <w:p>
      <w:pPr>
        <w:spacing w:line="360" w:lineRule="auto"/>
        <w:jc w:val="center"/>
        <w:rPr>
          <w:rFonts w:ascii="宋体"/>
          <w:b/>
          <w:sz w:val="36"/>
          <w:szCs w:val="36"/>
        </w:rPr>
      </w:pPr>
      <w:r>
        <w:rPr>
          <w:rFonts w:hint="eastAsia" w:ascii="宋体" w:hAnsi="宋体"/>
          <w:b/>
          <w:sz w:val="36"/>
          <w:szCs w:val="36"/>
        </w:rPr>
        <w:t>目</w:t>
      </w:r>
      <w:r>
        <w:rPr>
          <w:rFonts w:ascii="宋体" w:hAnsi="宋体"/>
          <w:b/>
          <w:sz w:val="36"/>
          <w:szCs w:val="36"/>
        </w:rPr>
        <w:t xml:space="preserve">   </w:t>
      </w:r>
      <w:r>
        <w:rPr>
          <w:rFonts w:hint="eastAsia" w:ascii="宋体" w:hAnsi="宋体"/>
          <w:b/>
          <w:sz w:val="36"/>
          <w:szCs w:val="36"/>
        </w:rPr>
        <w:t>录</w:t>
      </w:r>
    </w:p>
    <w:p>
      <w:pPr>
        <w:spacing w:line="360" w:lineRule="auto"/>
        <w:jc w:val="center"/>
        <w:rPr>
          <w:rFonts w:ascii="宋体"/>
          <w:b/>
          <w:sz w:val="36"/>
          <w:szCs w:val="36"/>
        </w:rPr>
      </w:pPr>
    </w:p>
    <w:p>
      <w:pPr>
        <w:numPr>
          <w:ilvl w:val="0"/>
          <w:numId w:val="1"/>
        </w:numPr>
        <w:spacing w:line="360" w:lineRule="auto"/>
        <w:rPr>
          <w:rFonts w:ascii="宋体"/>
          <w:b/>
          <w:sz w:val="28"/>
          <w:szCs w:val="28"/>
        </w:rPr>
      </w:pPr>
      <w:r>
        <w:rPr>
          <w:rFonts w:hint="eastAsia" w:ascii="宋体" w:hAnsi="宋体"/>
          <w:b/>
          <w:sz w:val="28"/>
          <w:szCs w:val="28"/>
        </w:rPr>
        <w:t>谈判公告</w:t>
      </w:r>
    </w:p>
    <w:p>
      <w:pPr>
        <w:numPr>
          <w:ilvl w:val="0"/>
          <w:numId w:val="1"/>
        </w:numPr>
        <w:spacing w:line="360" w:lineRule="auto"/>
        <w:rPr>
          <w:rFonts w:ascii="宋体"/>
          <w:b/>
          <w:sz w:val="28"/>
          <w:szCs w:val="28"/>
        </w:rPr>
      </w:pPr>
      <w:r>
        <w:rPr>
          <w:rFonts w:hint="eastAsia" w:ascii="宋体" w:hAnsi="宋体"/>
          <w:b/>
          <w:sz w:val="28"/>
          <w:szCs w:val="28"/>
        </w:rPr>
        <w:t>谈判供应商须知</w:t>
      </w:r>
    </w:p>
    <w:p>
      <w:pPr>
        <w:numPr>
          <w:ilvl w:val="0"/>
          <w:numId w:val="1"/>
        </w:numPr>
        <w:spacing w:line="360" w:lineRule="auto"/>
        <w:rPr>
          <w:rFonts w:ascii="宋体"/>
          <w:b/>
          <w:sz w:val="28"/>
          <w:szCs w:val="28"/>
        </w:rPr>
      </w:pPr>
      <w:r>
        <w:rPr>
          <w:rFonts w:hint="eastAsia" w:ascii="宋体" w:hAnsi="宋体"/>
          <w:b/>
          <w:sz w:val="28"/>
          <w:szCs w:val="28"/>
        </w:rPr>
        <w:t>谈判供应商须知正文部分</w:t>
      </w:r>
    </w:p>
    <w:p>
      <w:pPr>
        <w:numPr>
          <w:ilvl w:val="0"/>
          <w:numId w:val="1"/>
        </w:numPr>
        <w:spacing w:line="360" w:lineRule="auto"/>
        <w:rPr>
          <w:rFonts w:ascii="宋体"/>
          <w:b/>
          <w:sz w:val="28"/>
          <w:szCs w:val="28"/>
        </w:rPr>
      </w:pPr>
      <w:r>
        <w:rPr>
          <w:rFonts w:hint="eastAsia" w:ascii="宋体" w:hAnsi="宋体"/>
          <w:b/>
          <w:bCs/>
          <w:sz w:val="28"/>
          <w:szCs w:val="28"/>
        </w:rPr>
        <w:t>谈判内容及要求</w:t>
      </w:r>
    </w:p>
    <w:p>
      <w:pPr>
        <w:numPr>
          <w:ilvl w:val="0"/>
          <w:numId w:val="1"/>
        </w:numPr>
        <w:spacing w:line="360" w:lineRule="auto"/>
        <w:rPr>
          <w:rFonts w:ascii="宋体"/>
          <w:b/>
          <w:sz w:val="28"/>
          <w:szCs w:val="28"/>
        </w:rPr>
      </w:pPr>
      <w:r>
        <w:rPr>
          <w:rFonts w:hint="eastAsia" w:ascii="宋体" w:hAnsi="宋体"/>
          <w:b/>
          <w:sz w:val="28"/>
          <w:szCs w:val="28"/>
        </w:rPr>
        <w:t>铜仁市政府采购合同（参考文本）</w:t>
      </w:r>
    </w:p>
    <w:p>
      <w:pPr>
        <w:numPr>
          <w:ilvl w:val="0"/>
          <w:numId w:val="1"/>
        </w:numPr>
        <w:spacing w:line="360" w:lineRule="auto"/>
        <w:rPr>
          <w:rFonts w:ascii="宋体"/>
          <w:b/>
          <w:sz w:val="28"/>
          <w:szCs w:val="28"/>
        </w:rPr>
      </w:pPr>
      <w:r>
        <w:rPr>
          <w:rFonts w:hint="eastAsia" w:ascii="宋体" w:hAnsi="宋体"/>
          <w:b/>
          <w:sz w:val="28"/>
          <w:szCs w:val="28"/>
        </w:rPr>
        <w:t>响应文件格式</w:t>
      </w: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outlineLvl w:val="0"/>
        <w:rPr>
          <w:rFonts w:ascii="宋体"/>
          <w:b/>
          <w:bCs/>
          <w:sz w:val="30"/>
          <w:szCs w:val="30"/>
        </w:rPr>
      </w:pPr>
      <w:bookmarkStart w:id="0" w:name="_Toc268599006"/>
    </w:p>
    <w:bookmarkEnd w:id="0"/>
    <w:p>
      <w:pPr>
        <w:jc w:val="center"/>
        <w:rPr>
          <w:color w:val="000000"/>
          <w:sz w:val="36"/>
          <w:szCs w:val="36"/>
        </w:rPr>
      </w:pPr>
      <w:r>
        <w:rPr>
          <w:rFonts w:hint="eastAsia" w:ascii="宋体" w:hAnsi="宋体"/>
          <w:b/>
          <w:color w:val="000000"/>
          <w:sz w:val="36"/>
          <w:szCs w:val="36"/>
        </w:rPr>
        <w:t>第一章</w:t>
      </w:r>
      <w:r>
        <w:rPr>
          <w:rFonts w:ascii="宋体" w:hAnsi="宋体"/>
          <w:b/>
          <w:color w:val="000000"/>
          <w:sz w:val="36"/>
          <w:szCs w:val="36"/>
        </w:rPr>
        <w:t xml:space="preserve">  </w:t>
      </w:r>
      <w:r>
        <w:rPr>
          <w:rFonts w:hint="eastAsia" w:ascii="宋体" w:hAnsi="宋体"/>
          <w:b/>
          <w:color w:val="000000"/>
          <w:sz w:val="36"/>
          <w:szCs w:val="36"/>
        </w:rPr>
        <w:t>谈判公告</w:t>
      </w:r>
    </w:p>
    <w:p>
      <w:pPr>
        <w:pStyle w:val="10"/>
        <w:spacing w:line="440" w:lineRule="exact"/>
        <w:ind w:firstLine="600" w:firstLineChars="250"/>
        <w:rPr>
          <w:rFonts w:hAnsi="宋体"/>
          <w:color w:val="000000"/>
          <w:sz w:val="24"/>
          <w:szCs w:val="24"/>
        </w:rPr>
      </w:pPr>
      <w:r>
        <w:rPr>
          <w:rFonts w:hint="eastAsia" w:hAnsi="宋体"/>
          <w:color w:val="000000"/>
          <w:sz w:val="24"/>
          <w:szCs w:val="24"/>
        </w:rPr>
        <w:t>根据《中华人民共和国政府采购法》、《政府采购非招标采购方式管理办法》及相关规定，铜仁市公共资源交易中心受</w:t>
      </w:r>
      <w:r>
        <w:rPr>
          <w:rFonts w:hint="eastAsia" w:hAnsi="宋体" w:cs="宋体"/>
          <w:b/>
          <w:color w:val="000000"/>
          <w:sz w:val="28"/>
          <w:szCs w:val="28"/>
        </w:rPr>
        <w:t>铜仁职业技术学院</w:t>
      </w:r>
      <w:r>
        <w:rPr>
          <w:rFonts w:hint="eastAsia" w:hAnsi="宋体"/>
          <w:color w:val="000000"/>
          <w:sz w:val="24"/>
          <w:szCs w:val="24"/>
        </w:rPr>
        <w:t>委托，对</w:t>
      </w:r>
      <w:r>
        <w:rPr>
          <w:rFonts w:hint="eastAsia" w:hAnsi="宋体" w:cs="宋体"/>
          <w:b/>
          <w:color w:val="000000"/>
          <w:sz w:val="28"/>
          <w:szCs w:val="28"/>
        </w:rPr>
        <w:t>铜仁职业技术学院2019年教学、实训软件采购项目</w:t>
      </w:r>
      <w:r>
        <w:rPr>
          <w:rFonts w:hint="eastAsia" w:hAnsi="宋体"/>
          <w:color w:val="000000"/>
          <w:sz w:val="24"/>
          <w:szCs w:val="24"/>
        </w:rPr>
        <w:t>采用</w:t>
      </w:r>
      <w:r>
        <w:rPr>
          <w:rFonts w:hint="eastAsia" w:hAnsi="宋体"/>
          <w:b/>
          <w:bCs/>
          <w:color w:val="000000"/>
          <w:sz w:val="24"/>
          <w:szCs w:val="24"/>
        </w:rPr>
        <w:t>竞争性谈判</w:t>
      </w:r>
      <w:r>
        <w:rPr>
          <w:rFonts w:hint="eastAsia" w:hAnsi="宋体"/>
          <w:color w:val="000000"/>
          <w:sz w:val="24"/>
          <w:szCs w:val="24"/>
        </w:rPr>
        <w:t>的方式进行采购，欢迎具备投标资质条件的供货商参加投标。</w:t>
      </w:r>
    </w:p>
    <w:p>
      <w:pPr>
        <w:pStyle w:val="10"/>
        <w:spacing w:line="500" w:lineRule="exact"/>
        <w:ind w:firstLine="482" w:firstLineChars="200"/>
        <w:rPr>
          <w:rFonts w:hAnsi="宋体"/>
          <w:b/>
          <w:color w:val="000000"/>
          <w:sz w:val="24"/>
          <w:szCs w:val="24"/>
        </w:rPr>
      </w:pPr>
      <w:r>
        <w:rPr>
          <w:rFonts w:hAnsi="宋体"/>
          <w:b/>
          <w:color w:val="000000"/>
          <w:sz w:val="24"/>
          <w:szCs w:val="24"/>
        </w:rPr>
        <w:t>1</w:t>
      </w:r>
      <w:r>
        <w:rPr>
          <w:rFonts w:hint="eastAsia" w:hAnsi="宋体"/>
          <w:b/>
          <w:color w:val="000000"/>
          <w:sz w:val="24"/>
          <w:szCs w:val="24"/>
        </w:rPr>
        <w:t>、项目名称：</w:t>
      </w:r>
      <w:r>
        <w:rPr>
          <w:rFonts w:hint="eastAsia" w:hAnsi="宋体" w:cs="宋体"/>
          <w:b/>
          <w:color w:val="000000"/>
          <w:sz w:val="28"/>
          <w:szCs w:val="28"/>
        </w:rPr>
        <w:t>铜仁职业技术学院2019年教学、实训软件采购项目</w:t>
      </w:r>
    </w:p>
    <w:p>
      <w:pPr>
        <w:pStyle w:val="10"/>
        <w:spacing w:line="500" w:lineRule="exact"/>
        <w:rPr>
          <w:rFonts w:hint="default" w:hAnsi="宋体" w:eastAsia="宋体"/>
          <w:color w:val="000000"/>
          <w:sz w:val="24"/>
          <w:szCs w:val="24"/>
          <w:lang w:val="en-US" w:eastAsia="zh-CN"/>
        </w:rPr>
      </w:pPr>
      <w:r>
        <w:rPr>
          <w:rFonts w:hAnsi="宋体"/>
          <w:b/>
          <w:color w:val="000000"/>
          <w:sz w:val="24"/>
          <w:szCs w:val="24"/>
        </w:rPr>
        <w:t xml:space="preserve">    2</w:t>
      </w:r>
      <w:r>
        <w:rPr>
          <w:rFonts w:hint="eastAsia" w:hAnsi="宋体"/>
          <w:b/>
          <w:color w:val="000000"/>
          <w:sz w:val="24"/>
          <w:szCs w:val="24"/>
        </w:rPr>
        <w:t>、项目编号：</w:t>
      </w:r>
      <w:r>
        <w:rPr>
          <w:rFonts w:hAnsi="宋体"/>
          <w:b/>
          <w:color w:val="000000"/>
          <w:sz w:val="24"/>
          <w:szCs w:val="24"/>
        </w:rPr>
        <w:t>TRZFCG-2019-2</w:t>
      </w:r>
      <w:r>
        <w:rPr>
          <w:rFonts w:hint="eastAsia" w:hAnsi="宋体"/>
          <w:b/>
          <w:color w:val="000000"/>
          <w:sz w:val="24"/>
          <w:szCs w:val="24"/>
          <w:lang w:val="en-US" w:eastAsia="zh-CN"/>
        </w:rPr>
        <w:t>42</w:t>
      </w:r>
    </w:p>
    <w:p>
      <w:pPr>
        <w:spacing w:line="500" w:lineRule="exact"/>
        <w:ind w:firstLine="472" w:firstLineChars="196"/>
        <w:outlineLvl w:val="0"/>
        <w:rPr>
          <w:rFonts w:ascii="宋体"/>
          <w:color w:val="0000FF"/>
          <w:sz w:val="24"/>
        </w:rPr>
      </w:pPr>
      <w:r>
        <w:rPr>
          <w:rFonts w:ascii="宋体" w:hAnsi="宋体"/>
          <w:b/>
          <w:color w:val="000000"/>
          <w:sz w:val="24"/>
        </w:rPr>
        <w:t>3</w:t>
      </w:r>
      <w:r>
        <w:rPr>
          <w:rFonts w:hint="eastAsia" w:ascii="宋体" w:hAnsi="宋体"/>
          <w:b/>
          <w:color w:val="000000"/>
          <w:sz w:val="24"/>
        </w:rPr>
        <w:t>、报名时间</w:t>
      </w:r>
      <w:r>
        <w:rPr>
          <w:rFonts w:ascii="宋体" w:hAnsi="宋体"/>
          <w:b/>
          <w:color w:val="000000"/>
          <w:sz w:val="24"/>
        </w:rPr>
        <w:t>:</w:t>
      </w:r>
      <w:r>
        <w:rPr>
          <w:rFonts w:ascii="宋体" w:hAnsi="宋体"/>
          <w:color w:val="000000"/>
          <w:sz w:val="24"/>
        </w:rPr>
        <w:t xml:space="preserve"> </w:t>
      </w:r>
      <w:r>
        <w:rPr>
          <w:rFonts w:ascii="宋体" w:hAnsi="宋体"/>
          <w:b/>
          <w:bCs/>
          <w:color w:val="FF0000"/>
          <w:sz w:val="24"/>
        </w:rPr>
        <w:t>20</w:t>
      </w:r>
      <w:r>
        <w:rPr>
          <w:rFonts w:hint="eastAsia" w:ascii="宋体" w:hAnsi="宋体"/>
          <w:b/>
          <w:bCs/>
          <w:color w:val="FF0000"/>
          <w:sz w:val="24"/>
          <w:lang w:val="en-US" w:eastAsia="zh-CN"/>
        </w:rPr>
        <w:t>20</w:t>
      </w:r>
      <w:r>
        <w:rPr>
          <w:rFonts w:hint="eastAsia" w:ascii="宋体" w:hAnsi="宋体"/>
          <w:b/>
          <w:bCs/>
          <w:color w:val="FF0000"/>
          <w:sz w:val="24"/>
        </w:rPr>
        <w:t>年</w:t>
      </w:r>
      <w:r>
        <w:rPr>
          <w:rFonts w:ascii="宋体" w:hAnsi="宋体"/>
          <w:b/>
          <w:bCs/>
          <w:color w:val="FF0000"/>
          <w:sz w:val="24"/>
        </w:rPr>
        <w:t>1</w:t>
      </w:r>
      <w:r>
        <w:rPr>
          <w:rFonts w:hint="eastAsia" w:ascii="宋体" w:hAnsi="宋体"/>
          <w:b/>
          <w:bCs/>
          <w:color w:val="FF0000"/>
          <w:sz w:val="24"/>
        </w:rPr>
        <w:t>月</w:t>
      </w:r>
      <w:r>
        <w:rPr>
          <w:rFonts w:hint="eastAsia" w:ascii="宋体" w:hAnsi="宋体"/>
          <w:b/>
          <w:bCs/>
          <w:color w:val="FF0000"/>
          <w:sz w:val="24"/>
          <w:lang w:val="en-US" w:eastAsia="zh-CN"/>
        </w:rPr>
        <w:t>2</w:t>
      </w:r>
      <w:r>
        <w:rPr>
          <w:rFonts w:hint="eastAsia" w:ascii="宋体" w:hAnsi="宋体"/>
          <w:b/>
          <w:bCs/>
          <w:color w:val="FF0000"/>
          <w:sz w:val="24"/>
        </w:rPr>
        <w:t>日</w:t>
      </w:r>
      <w:r>
        <w:rPr>
          <w:rFonts w:ascii="宋体" w:hAnsi="宋体"/>
          <w:b/>
          <w:bCs/>
          <w:color w:val="FF0000"/>
          <w:sz w:val="24"/>
        </w:rPr>
        <w:t xml:space="preserve">09:00 </w:t>
      </w:r>
      <w:r>
        <w:rPr>
          <w:rFonts w:hint="eastAsia" w:ascii="宋体" w:hAnsi="宋体"/>
          <w:b/>
          <w:bCs/>
          <w:color w:val="FF0000"/>
          <w:sz w:val="24"/>
        </w:rPr>
        <w:t>至</w:t>
      </w:r>
      <w:r>
        <w:rPr>
          <w:rFonts w:ascii="宋体" w:hAnsi="宋体"/>
          <w:b/>
          <w:bCs/>
          <w:color w:val="FF0000"/>
          <w:sz w:val="24"/>
        </w:rPr>
        <w:t>20</w:t>
      </w:r>
      <w:r>
        <w:rPr>
          <w:rFonts w:hint="eastAsia" w:ascii="宋体" w:hAnsi="宋体"/>
          <w:b/>
          <w:bCs/>
          <w:color w:val="FF0000"/>
          <w:sz w:val="24"/>
          <w:lang w:val="en-US" w:eastAsia="zh-CN"/>
        </w:rPr>
        <w:t>20</w:t>
      </w:r>
      <w:r>
        <w:rPr>
          <w:rFonts w:hint="eastAsia" w:ascii="宋体" w:hAnsi="宋体"/>
          <w:b/>
          <w:bCs/>
          <w:color w:val="FF0000"/>
          <w:sz w:val="24"/>
        </w:rPr>
        <w:t>年</w:t>
      </w:r>
      <w:r>
        <w:rPr>
          <w:rFonts w:ascii="宋体" w:hAnsi="宋体"/>
          <w:b/>
          <w:bCs/>
          <w:color w:val="FF0000"/>
          <w:sz w:val="24"/>
        </w:rPr>
        <w:t>1</w:t>
      </w:r>
      <w:r>
        <w:rPr>
          <w:rFonts w:hint="eastAsia" w:ascii="宋体" w:hAnsi="宋体"/>
          <w:b/>
          <w:bCs/>
          <w:color w:val="FF0000"/>
          <w:sz w:val="24"/>
        </w:rPr>
        <w:t>月</w:t>
      </w:r>
      <w:r>
        <w:rPr>
          <w:rFonts w:hint="eastAsia" w:ascii="宋体" w:hAnsi="宋体"/>
          <w:b/>
          <w:bCs/>
          <w:color w:val="FF0000"/>
          <w:sz w:val="24"/>
          <w:lang w:val="en-US" w:eastAsia="zh-CN"/>
        </w:rPr>
        <w:t>7</w:t>
      </w:r>
      <w:r>
        <w:rPr>
          <w:rFonts w:hint="eastAsia" w:ascii="宋体" w:hAnsi="宋体"/>
          <w:b/>
          <w:bCs/>
          <w:color w:val="FF0000"/>
          <w:sz w:val="24"/>
        </w:rPr>
        <w:t>日</w:t>
      </w:r>
      <w:r>
        <w:rPr>
          <w:rFonts w:ascii="宋体" w:hAnsi="宋体"/>
          <w:b/>
          <w:bCs/>
          <w:color w:val="FF0000"/>
          <w:sz w:val="24"/>
        </w:rPr>
        <w:t>17:00</w:t>
      </w:r>
    </w:p>
    <w:p>
      <w:pPr>
        <w:spacing w:line="500" w:lineRule="exact"/>
        <w:ind w:firstLine="472" w:firstLineChars="196"/>
        <w:rPr>
          <w:rFonts w:ascii="宋体"/>
          <w:color w:val="000000"/>
          <w:sz w:val="24"/>
        </w:rPr>
      </w:pPr>
      <w:r>
        <w:rPr>
          <w:rFonts w:ascii="宋体" w:hAnsi="宋体"/>
          <w:b/>
          <w:color w:val="000000"/>
          <w:sz w:val="24"/>
        </w:rPr>
        <w:t>4</w:t>
      </w:r>
      <w:r>
        <w:rPr>
          <w:rFonts w:hint="eastAsia" w:ascii="宋体" w:hAnsi="宋体"/>
          <w:b/>
          <w:color w:val="000000"/>
          <w:sz w:val="24"/>
        </w:rPr>
        <w:t>、报名地点：</w:t>
      </w:r>
      <w:r>
        <w:rPr>
          <w:rFonts w:hint="eastAsia" w:ascii="宋体" w:hAnsi="宋体"/>
          <w:color w:val="000000"/>
          <w:sz w:val="24"/>
        </w:rPr>
        <w:t>铜仁市公共资源交易中心官方网址（</w:t>
      </w:r>
      <w:r>
        <w:rPr>
          <w:rFonts w:ascii="宋体" w:hAnsi="宋体"/>
          <w:color w:val="000000"/>
          <w:sz w:val="24"/>
        </w:rPr>
        <w:t>http://jyzx.trs.gov.cn)</w:t>
      </w:r>
    </w:p>
    <w:p>
      <w:pPr>
        <w:spacing w:line="500" w:lineRule="exact"/>
        <w:ind w:firstLine="472" w:firstLineChars="196"/>
        <w:rPr>
          <w:rFonts w:ascii="宋体"/>
          <w:b/>
          <w:color w:val="000000"/>
          <w:sz w:val="24"/>
        </w:rPr>
      </w:pPr>
      <w:r>
        <w:rPr>
          <w:rFonts w:ascii="宋体" w:hAnsi="宋体"/>
          <w:b/>
          <w:color w:val="000000"/>
          <w:sz w:val="24"/>
        </w:rPr>
        <w:t>5</w:t>
      </w:r>
      <w:r>
        <w:rPr>
          <w:rFonts w:hint="eastAsia" w:ascii="宋体" w:hAnsi="宋体"/>
          <w:b/>
          <w:color w:val="000000"/>
          <w:sz w:val="24"/>
        </w:rPr>
        <w:t>、投标有效期：投标截止日算起，</w:t>
      </w:r>
      <w:r>
        <w:rPr>
          <w:rFonts w:ascii="宋体" w:hAnsi="宋体"/>
          <w:b/>
          <w:color w:val="000000"/>
          <w:sz w:val="24"/>
        </w:rPr>
        <w:t>90</w:t>
      </w:r>
      <w:r>
        <w:rPr>
          <w:rFonts w:hint="eastAsia" w:ascii="宋体" w:hAnsi="宋体"/>
          <w:b/>
          <w:color w:val="000000"/>
          <w:sz w:val="24"/>
        </w:rPr>
        <w:t>天。</w:t>
      </w:r>
    </w:p>
    <w:p>
      <w:pPr>
        <w:pStyle w:val="10"/>
        <w:spacing w:line="500" w:lineRule="exact"/>
        <w:ind w:firstLine="472" w:firstLineChars="196"/>
        <w:rPr>
          <w:rFonts w:hAnsi="宋体"/>
          <w:b/>
          <w:color w:val="000000"/>
          <w:sz w:val="24"/>
          <w:szCs w:val="24"/>
        </w:rPr>
      </w:pPr>
      <w:r>
        <w:rPr>
          <w:rFonts w:hAnsi="宋体"/>
          <w:b/>
          <w:color w:val="000000"/>
          <w:sz w:val="24"/>
          <w:szCs w:val="24"/>
        </w:rPr>
        <w:t>6</w:t>
      </w:r>
      <w:r>
        <w:rPr>
          <w:rFonts w:hint="eastAsia" w:hAnsi="宋体"/>
          <w:b/>
          <w:color w:val="000000"/>
          <w:sz w:val="24"/>
          <w:szCs w:val="24"/>
        </w:rPr>
        <w:t>、本项目不接受联合体。</w:t>
      </w:r>
    </w:p>
    <w:p>
      <w:pPr>
        <w:pStyle w:val="10"/>
        <w:spacing w:line="500" w:lineRule="exact"/>
        <w:ind w:firstLine="472" w:firstLineChars="196"/>
        <w:rPr>
          <w:rFonts w:hAnsi="宋体"/>
          <w:b/>
          <w:color w:val="000000"/>
          <w:sz w:val="24"/>
          <w:szCs w:val="24"/>
        </w:rPr>
      </w:pPr>
      <w:r>
        <w:rPr>
          <w:rFonts w:hAnsi="宋体"/>
          <w:b/>
          <w:color w:val="000000"/>
          <w:sz w:val="24"/>
          <w:szCs w:val="24"/>
        </w:rPr>
        <w:t>7</w:t>
      </w:r>
      <w:r>
        <w:rPr>
          <w:rFonts w:hint="eastAsia" w:hAnsi="宋体"/>
          <w:b/>
          <w:color w:val="000000"/>
          <w:sz w:val="24"/>
          <w:szCs w:val="24"/>
        </w:rPr>
        <w:t>、</w:t>
      </w:r>
      <w:r>
        <w:rPr>
          <w:rFonts w:hint="eastAsia"/>
          <w:b/>
          <w:color w:val="000000"/>
          <w:sz w:val="24"/>
          <w:szCs w:val="24"/>
        </w:rPr>
        <w:t>购买招标文件地点及联系方式</w:t>
      </w:r>
    </w:p>
    <w:p>
      <w:pPr>
        <w:pStyle w:val="10"/>
        <w:spacing w:line="500" w:lineRule="exact"/>
        <w:ind w:firstLine="840" w:firstLineChars="350"/>
        <w:rPr>
          <w:color w:val="000000"/>
          <w:sz w:val="24"/>
          <w:szCs w:val="24"/>
        </w:rPr>
      </w:pPr>
      <w:r>
        <w:rPr>
          <w:rFonts w:hint="eastAsia"/>
          <w:color w:val="000000"/>
          <w:sz w:val="24"/>
          <w:szCs w:val="24"/>
        </w:rPr>
        <w:t>地址：铜仁市公共资源交易中心官方网址</w:t>
      </w:r>
      <w:r>
        <w:rPr>
          <w:rFonts w:hint="eastAsia" w:hAnsi="宋体"/>
          <w:color w:val="000000"/>
          <w:sz w:val="24"/>
        </w:rPr>
        <w:t>（</w:t>
      </w:r>
      <w:r>
        <w:rPr>
          <w:rFonts w:hAnsi="宋体"/>
          <w:color w:val="000000"/>
          <w:sz w:val="24"/>
        </w:rPr>
        <w:t>http://jyzx.trs.gov.cn)</w:t>
      </w:r>
    </w:p>
    <w:p>
      <w:pPr>
        <w:pStyle w:val="10"/>
        <w:spacing w:line="500" w:lineRule="exact"/>
        <w:ind w:firstLine="840" w:firstLineChars="350"/>
        <w:rPr>
          <w:color w:val="000000"/>
          <w:sz w:val="24"/>
          <w:szCs w:val="24"/>
        </w:rPr>
      </w:pPr>
      <w:r>
        <w:rPr>
          <w:rFonts w:hint="eastAsia" w:hAnsi="宋体"/>
          <w:color w:val="000000"/>
          <w:sz w:val="24"/>
        </w:rPr>
        <w:t>联系电话：</w:t>
      </w:r>
      <w:r>
        <w:rPr>
          <w:rFonts w:hAnsi="宋体"/>
          <w:color w:val="000000"/>
          <w:sz w:val="24"/>
        </w:rPr>
        <w:t>0856-3912922</w:t>
      </w:r>
    </w:p>
    <w:p>
      <w:pPr>
        <w:pStyle w:val="10"/>
        <w:spacing w:line="500" w:lineRule="exact"/>
        <w:ind w:firstLine="472" w:firstLineChars="196"/>
        <w:rPr>
          <w:rFonts w:hAnsi="宋体"/>
          <w:color w:val="000000"/>
          <w:sz w:val="24"/>
          <w:szCs w:val="24"/>
        </w:rPr>
      </w:pPr>
      <w:r>
        <w:rPr>
          <w:rFonts w:hAnsi="宋体"/>
          <w:b/>
          <w:color w:val="000000"/>
          <w:sz w:val="24"/>
          <w:szCs w:val="24"/>
        </w:rPr>
        <w:t>8</w:t>
      </w:r>
      <w:r>
        <w:rPr>
          <w:rFonts w:hint="eastAsia" w:hAnsi="宋体"/>
          <w:b/>
          <w:color w:val="000000"/>
          <w:sz w:val="24"/>
          <w:szCs w:val="24"/>
        </w:rPr>
        <w:t>、招标文件售价</w:t>
      </w:r>
      <w:r>
        <w:rPr>
          <w:rFonts w:hint="eastAsia" w:hAnsi="宋体"/>
          <w:color w:val="000000"/>
          <w:sz w:val="24"/>
          <w:szCs w:val="24"/>
        </w:rPr>
        <w:t>（招标文件售后不退）</w:t>
      </w:r>
      <w:r>
        <w:rPr>
          <w:rFonts w:hint="eastAsia" w:hAnsi="宋体"/>
          <w:b/>
          <w:color w:val="000000"/>
          <w:sz w:val="24"/>
          <w:szCs w:val="24"/>
        </w:rPr>
        <w:t>：</w:t>
      </w:r>
      <w:r>
        <w:rPr>
          <w:rFonts w:hint="eastAsia" w:hAnsi="宋体"/>
          <w:b/>
          <w:color w:val="000000"/>
          <w:sz w:val="24"/>
          <w:szCs w:val="24"/>
          <w:lang w:eastAsia="zh-CN"/>
        </w:rPr>
        <w:t>每包各</w:t>
      </w:r>
      <w:r>
        <w:rPr>
          <w:rFonts w:hint="eastAsia" w:hAnsi="宋体"/>
          <w:color w:val="000000"/>
          <w:sz w:val="24"/>
          <w:szCs w:val="24"/>
        </w:rPr>
        <w:t>人民</w:t>
      </w:r>
      <w:r>
        <w:rPr>
          <w:rFonts w:hAnsi="宋体"/>
          <w:color w:val="000000"/>
          <w:sz w:val="24"/>
          <w:szCs w:val="24"/>
        </w:rPr>
        <w:t>0</w:t>
      </w:r>
      <w:r>
        <w:rPr>
          <w:rFonts w:hint="eastAsia" w:hAnsi="宋体"/>
          <w:color w:val="000000"/>
          <w:sz w:val="24"/>
          <w:szCs w:val="24"/>
        </w:rPr>
        <w:t>元</w:t>
      </w:r>
      <w:r>
        <w:rPr>
          <w:rFonts w:hAnsi="宋体"/>
          <w:color w:val="000000"/>
          <w:sz w:val="24"/>
          <w:szCs w:val="24"/>
        </w:rPr>
        <w:t>/</w:t>
      </w:r>
      <w:r>
        <w:rPr>
          <w:rFonts w:hint="eastAsia" w:hAnsi="宋体"/>
          <w:color w:val="000000"/>
          <w:sz w:val="24"/>
          <w:szCs w:val="24"/>
        </w:rPr>
        <w:t>套</w:t>
      </w:r>
    </w:p>
    <w:p>
      <w:pPr>
        <w:pStyle w:val="8"/>
        <w:spacing w:line="500" w:lineRule="exact"/>
        <w:rPr>
          <w:rFonts w:ascii="宋体" w:cs="宋体"/>
          <w:sz w:val="24"/>
          <w:szCs w:val="24"/>
        </w:rPr>
      </w:pPr>
      <w:r>
        <w:rPr>
          <w:rFonts w:hint="eastAsia" w:ascii="宋体" w:hAnsi="宋体" w:cs="宋体"/>
          <w:b/>
          <w:bCs/>
          <w:sz w:val="24"/>
          <w:szCs w:val="24"/>
        </w:rPr>
        <w:t>注：</w:t>
      </w:r>
      <w:r>
        <w:rPr>
          <w:rFonts w:hint="eastAsia" w:ascii="宋体" w:hAnsi="宋体" w:cs="宋体"/>
          <w:sz w:val="24"/>
          <w:szCs w:val="24"/>
        </w:rPr>
        <w:t>投标人应随时登录贵州省政府采购网（</w:t>
      </w:r>
      <w:r>
        <w:rPr>
          <w:rFonts w:ascii="宋体" w:hAnsi="宋体" w:cs="宋体"/>
          <w:sz w:val="24"/>
          <w:szCs w:val="24"/>
        </w:rPr>
        <w:t>http://www.ccgp-guizhou.gov.cn/</w:t>
      </w:r>
      <w:r>
        <w:rPr>
          <w:rFonts w:hint="eastAsia" w:ascii="宋体" w:hAnsi="宋体" w:cs="宋体"/>
          <w:sz w:val="24"/>
          <w:szCs w:val="24"/>
        </w:rPr>
        <w:t>）或铜仁市公共资源交易中心网</w:t>
      </w:r>
      <w:r>
        <w:rPr>
          <w:rFonts w:hint="eastAsia" w:ascii="宋体" w:hAnsi="宋体"/>
          <w:color w:val="000000"/>
          <w:sz w:val="24"/>
        </w:rPr>
        <w:t>（</w:t>
      </w:r>
      <w:r>
        <w:rPr>
          <w:rFonts w:ascii="宋体" w:hAnsi="宋体"/>
          <w:color w:val="000000"/>
          <w:sz w:val="24"/>
        </w:rPr>
        <w:t>http://jyzx.trs.gov.cn)</w:t>
      </w:r>
      <w:r>
        <w:rPr>
          <w:rFonts w:hint="eastAsia" w:ascii="宋体" w:hAnsi="宋体" w:cs="宋体"/>
          <w:sz w:val="24"/>
          <w:szCs w:val="24"/>
        </w:rPr>
        <w:t>“交</w:t>
      </w:r>
      <w:bookmarkStart w:id="8" w:name="_GoBack"/>
      <w:bookmarkEnd w:id="8"/>
      <w:r>
        <w:rPr>
          <w:rFonts w:hint="eastAsia" w:ascii="宋体" w:hAnsi="宋体" w:cs="宋体"/>
          <w:sz w:val="24"/>
          <w:szCs w:val="24"/>
        </w:rPr>
        <w:t>易平台”查看、处理采购人发出的文件澄清、补充、更正等通知内容，如因投标人未及时上网查询导致的后果，由投标人自己承担。</w:t>
      </w:r>
    </w:p>
    <w:p>
      <w:pPr>
        <w:pStyle w:val="10"/>
        <w:spacing w:line="500" w:lineRule="exact"/>
        <w:ind w:firstLine="361" w:firstLineChars="150"/>
        <w:jc w:val="left"/>
        <w:rPr>
          <w:rFonts w:hAnsi="宋体"/>
          <w:color w:val="000000"/>
          <w:sz w:val="24"/>
          <w:szCs w:val="24"/>
        </w:rPr>
      </w:pPr>
      <w:r>
        <w:rPr>
          <w:rFonts w:hAnsi="宋体"/>
          <w:b/>
          <w:color w:val="000000"/>
          <w:sz w:val="24"/>
          <w:szCs w:val="24"/>
        </w:rPr>
        <w:t xml:space="preserve"> 9</w:t>
      </w:r>
      <w:r>
        <w:rPr>
          <w:rFonts w:hint="eastAsia" w:hAnsi="宋体"/>
          <w:b/>
          <w:color w:val="000000"/>
          <w:sz w:val="24"/>
          <w:szCs w:val="24"/>
        </w:rPr>
        <w:t>、开评标时须提供的资质复印件加盖公章：</w:t>
      </w:r>
    </w:p>
    <w:p>
      <w:pPr>
        <w:pStyle w:val="10"/>
        <w:spacing w:line="500" w:lineRule="exact"/>
        <w:ind w:firstLine="600" w:firstLineChars="250"/>
        <w:jc w:val="left"/>
        <w:rPr>
          <w:rFonts w:hAnsi="宋体"/>
          <w:color w:val="000000"/>
          <w:sz w:val="24"/>
          <w:szCs w:val="24"/>
        </w:rPr>
      </w:pPr>
      <w:r>
        <w:rPr>
          <w:rFonts w:hint="eastAsia" w:hAnsi="宋体"/>
          <w:color w:val="000000"/>
          <w:sz w:val="24"/>
          <w:szCs w:val="24"/>
        </w:rPr>
        <w:t>（</w:t>
      </w:r>
      <w:r>
        <w:rPr>
          <w:rFonts w:hAnsi="宋体"/>
          <w:color w:val="000000"/>
          <w:sz w:val="24"/>
          <w:szCs w:val="24"/>
        </w:rPr>
        <w:t>1</w:t>
      </w:r>
      <w:r>
        <w:rPr>
          <w:rFonts w:hint="eastAsia" w:hAnsi="宋体"/>
          <w:color w:val="000000"/>
          <w:sz w:val="24"/>
          <w:szCs w:val="24"/>
        </w:rPr>
        <w:t>）工商营业执照副本；</w:t>
      </w:r>
    </w:p>
    <w:p>
      <w:pPr>
        <w:pStyle w:val="10"/>
        <w:spacing w:line="500" w:lineRule="exact"/>
        <w:ind w:firstLine="600" w:firstLineChars="250"/>
        <w:jc w:val="left"/>
        <w:outlineLvl w:val="0"/>
        <w:rPr>
          <w:rFonts w:hAnsi="宋体"/>
          <w:color w:val="000000"/>
          <w:sz w:val="24"/>
          <w:szCs w:val="24"/>
        </w:rPr>
      </w:pPr>
      <w:r>
        <w:rPr>
          <w:rFonts w:hint="eastAsia" w:hAnsi="宋体"/>
          <w:color w:val="000000"/>
          <w:sz w:val="24"/>
          <w:szCs w:val="24"/>
        </w:rPr>
        <w:t>（</w:t>
      </w:r>
      <w:r>
        <w:rPr>
          <w:rFonts w:hAnsi="宋体"/>
          <w:color w:val="000000"/>
          <w:sz w:val="24"/>
          <w:szCs w:val="24"/>
        </w:rPr>
        <w:t>2</w:t>
      </w:r>
      <w:r>
        <w:rPr>
          <w:rFonts w:hint="eastAsia" w:hAnsi="宋体"/>
          <w:color w:val="000000"/>
          <w:sz w:val="24"/>
          <w:szCs w:val="24"/>
        </w:rPr>
        <w:t>）税务登记证；</w:t>
      </w:r>
    </w:p>
    <w:p>
      <w:pPr>
        <w:pStyle w:val="10"/>
        <w:spacing w:line="500" w:lineRule="exact"/>
        <w:ind w:firstLine="600" w:firstLineChars="250"/>
        <w:jc w:val="left"/>
        <w:rPr>
          <w:rFonts w:hAnsi="宋体"/>
          <w:color w:val="000000"/>
          <w:sz w:val="24"/>
          <w:szCs w:val="24"/>
        </w:rPr>
      </w:pPr>
      <w:r>
        <w:rPr>
          <w:rFonts w:hint="eastAsia" w:hAnsi="宋体"/>
          <w:color w:val="000000"/>
          <w:sz w:val="24"/>
          <w:szCs w:val="24"/>
        </w:rPr>
        <w:t>（</w:t>
      </w:r>
      <w:r>
        <w:rPr>
          <w:rFonts w:hAnsi="宋体"/>
          <w:color w:val="000000"/>
          <w:sz w:val="24"/>
          <w:szCs w:val="24"/>
        </w:rPr>
        <w:t>3</w:t>
      </w:r>
      <w:r>
        <w:rPr>
          <w:rFonts w:hint="eastAsia" w:hAnsi="宋体"/>
          <w:color w:val="000000"/>
          <w:sz w:val="24"/>
          <w:szCs w:val="24"/>
        </w:rPr>
        <w:t>）组织机构代码证；</w:t>
      </w:r>
    </w:p>
    <w:p>
      <w:pPr>
        <w:pStyle w:val="10"/>
        <w:spacing w:line="500" w:lineRule="exact"/>
        <w:ind w:firstLine="720" w:firstLineChars="300"/>
        <w:jc w:val="left"/>
        <w:rPr>
          <w:rFonts w:hAnsi="宋体"/>
          <w:color w:val="000000"/>
          <w:sz w:val="24"/>
          <w:szCs w:val="24"/>
        </w:rPr>
      </w:pPr>
      <w:r>
        <w:rPr>
          <w:rFonts w:hint="eastAsia" w:hAnsi="宋体"/>
          <w:color w:val="FF0000"/>
          <w:sz w:val="24"/>
          <w:szCs w:val="24"/>
        </w:rPr>
        <w:t>（注：三证合一的只提供工商营业执照副本）</w:t>
      </w:r>
    </w:p>
    <w:p>
      <w:pPr>
        <w:pStyle w:val="10"/>
        <w:spacing w:line="500" w:lineRule="exact"/>
        <w:ind w:firstLine="600" w:firstLineChars="250"/>
        <w:jc w:val="left"/>
        <w:outlineLvl w:val="0"/>
        <w:rPr>
          <w:rFonts w:hAnsi="宋体"/>
          <w:color w:val="000000"/>
          <w:sz w:val="24"/>
          <w:szCs w:val="24"/>
        </w:rPr>
      </w:pPr>
      <w:r>
        <w:rPr>
          <w:rFonts w:hint="eastAsia" w:hAnsi="宋体"/>
          <w:color w:val="000000"/>
          <w:sz w:val="24"/>
          <w:szCs w:val="24"/>
        </w:rPr>
        <w:t>（</w:t>
      </w:r>
      <w:r>
        <w:rPr>
          <w:rFonts w:hAnsi="宋体"/>
          <w:color w:val="000000"/>
          <w:sz w:val="24"/>
          <w:szCs w:val="24"/>
        </w:rPr>
        <w:t>4</w:t>
      </w:r>
      <w:r>
        <w:rPr>
          <w:rFonts w:hint="eastAsia" w:hAnsi="宋体"/>
          <w:color w:val="000000"/>
          <w:sz w:val="24"/>
          <w:szCs w:val="24"/>
        </w:rPr>
        <w:t>）法人代表身份证或委托代理人持法人授权委托书及代理人身份证件；</w:t>
      </w:r>
    </w:p>
    <w:p>
      <w:pPr>
        <w:pStyle w:val="10"/>
        <w:spacing w:line="440" w:lineRule="exact"/>
        <w:ind w:firstLine="720" w:firstLineChars="300"/>
        <w:jc w:val="left"/>
      </w:pPr>
      <w:r>
        <w:rPr>
          <w:rFonts w:hint="eastAsia" w:hAnsi="宋体" w:cs="宋体"/>
          <w:color w:val="333333"/>
          <w:kern w:val="2"/>
          <w:sz w:val="24"/>
          <w:szCs w:val="24"/>
          <w:shd w:val="clear" w:color="auto" w:fill="FFFFFF"/>
        </w:rPr>
        <w:t>（</w:t>
      </w:r>
      <w:r>
        <w:rPr>
          <w:rFonts w:hAnsi="宋体" w:cs="宋体"/>
          <w:color w:val="333333"/>
          <w:kern w:val="2"/>
          <w:sz w:val="24"/>
          <w:szCs w:val="24"/>
          <w:shd w:val="clear" w:color="auto" w:fill="FFFFFF"/>
        </w:rPr>
        <w:t>5</w:t>
      </w:r>
      <w:r>
        <w:rPr>
          <w:rFonts w:hint="eastAsia" w:hAnsi="宋体" w:cs="宋体"/>
          <w:color w:val="333333"/>
          <w:kern w:val="2"/>
          <w:sz w:val="24"/>
          <w:szCs w:val="24"/>
          <w:shd w:val="clear" w:color="auto" w:fill="FFFFFF"/>
        </w:rPr>
        <w:t>）</w:t>
      </w:r>
      <w:r>
        <w:rPr>
          <w:rFonts w:hint="eastAsia" w:hAnsi="宋体" w:cs="宋体"/>
          <w:color w:val="333333"/>
          <w:kern w:val="2"/>
          <w:sz w:val="22"/>
          <w:szCs w:val="22"/>
          <w:shd w:val="clear" w:color="auto" w:fill="FFFFFF"/>
        </w:rPr>
        <w:t>“信用中国”网站（</w:t>
      </w:r>
      <w:r>
        <w:rPr>
          <w:rFonts w:hAnsi="宋体" w:cs="宋体"/>
          <w:color w:val="333333"/>
          <w:kern w:val="2"/>
          <w:sz w:val="22"/>
          <w:szCs w:val="22"/>
          <w:shd w:val="clear" w:color="auto" w:fill="FFFFFF"/>
        </w:rPr>
        <w:t xml:space="preserve">www.creditchina.gov.cn </w:t>
      </w:r>
      <w:r>
        <w:rPr>
          <w:rFonts w:hint="eastAsia" w:hAnsi="宋体" w:cs="宋体"/>
          <w:color w:val="333333"/>
          <w:kern w:val="2"/>
          <w:sz w:val="22"/>
          <w:szCs w:val="22"/>
          <w:shd w:val="clear" w:color="auto" w:fill="FFFFFF"/>
        </w:rPr>
        <w:t>）和“中国政府采购网”中“政府采购严重违法失信行为记录名单”（</w:t>
      </w:r>
      <w:r>
        <w:rPr>
          <w:rFonts w:hAnsi="宋体" w:cs="宋体"/>
          <w:color w:val="333333"/>
          <w:kern w:val="2"/>
          <w:sz w:val="22"/>
          <w:szCs w:val="22"/>
          <w:shd w:val="clear" w:color="auto" w:fill="FFFFFF"/>
        </w:rPr>
        <w:t xml:space="preserve">http://www.ccgp.gov.cn/search/cr/ </w:t>
      </w:r>
      <w:r>
        <w:rPr>
          <w:rFonts w:hint="eastAsia" w:hAnsi="宋体" w:cs="宋体"/>
          <w:color w:val="333333"/>
          <w:kern w:val="2"/>
          <w:sz w:val="22"/>
          <w:szCs w:val="22"/>
          <w:shd w:val="clear" w:color="auto" w:fill="FFFFFF"/>
        </w:rPr>
        <w:t>）查询的信用记录情况（对列入失信被执行人、重大税收违法案件当事人名单、政府采购严重违法失信行为记录名单的供应商，应当拒绝其参与政府采购活动，如查询结果显示“没查到您要的信息”或“没有该企业的相关记录”，视为没有上述不良信用记录。）查询截止时间：报名时间至开标时间期间；信用信息查询记录和证据留存方式：投标人提供查询记录截图（制作于标书内）。</w:t>
      </w:r>
    </w:p>
    <w:p>
      <w:pPr>
        <w:pStyle w:val="10"/>
        <w:spacing w:line="500" w:lineRule="exact"/>
        <w:ind w:firstLine="481"/>
        <w:jc w:val="left"/>
        <w:rPr>
          <w:rFonts w:hAnsi="宋体"/>
          <w:color w:val="000000"/>
          <w:sz w:val="24"/>
          <w:szCs w:val="24"/>
        </w:rPr>
      </w:pPr>
      <w:r>
        <w:rPr>
          <w:rFonts w:hAnsi="宋体"/>
          <w:b/>
          <w:color w:val="000000"/>
          <w:sz w:val="24"/>
          <w:szCs w:val="24"/>
        </w:rPr>
        <w:t>10</w:t>
      </w:r>
      <w:r>
        <w:rPr>
          <w:rFonts w:hint="eastAsia" w:hAnsi="宋体"/>
          <w:b/>
          <w:color w:val="000000"/>
          <w:sz w:val="24"/>
          <w:szCs w:val="24"/>
        </w:rPr>
        <w:t>、投标保证金：</w:t>
      </w:r>
      <w:r>
        <w:rPr>
          <w:rFonts w:hint="eastAsia" w:hAnsi="宋体"/>
          <w:b/>
          <w:color w:val="000000"/>
          <w:sz w:val="24"/>
          <w:szCs w:val="24"/>
          <w:lang w:eastAsia="zh-CN"/>
        </w:rPr>
        <w:t>每包各</w:t>
      </w:r>
      <w:r>
        <w:rPr>
          <w:rFonts w:hint="eastAsia" w:hAnsi="宋体"/>
          <w:b/>
          <w:color w:val="000000"/>
          <w:sz w:val="24"/>
          <w:szCs w:val="24"/>
          <w:lang w:val="en-US" w:eastAsia="zh-CN"/>
        </w:rPr>
        <w:t>2000</w:t>
      </w:r>
      <w:r>
        <w:rPr>
          <w:rFonts w:hint="eastAsia" w:hAnsi="宋体"/>
          <w:color w:val="000000"/>
          <w:sz w:val="24"/>
          <w:szCs w:val="24"/>
        </w:rPr>
        <w:t>元人民币</w:t>
      </w:r>
    </w:p>
    <w:p>
      <w:pPr>
        <w:pStyle w:val="10"/>
        <w:spacing w:line="500" w:lineRule="exact"/>
        <w:ind w:firstLine="481"/>
        <w:jc w:val="left"/>
        <w:rPr>
          <w:rFonts w:hAnsi="宋体"/>
          <w:color w:val="000000"/>
          <w:sz w:val="24"/>
          <w:szCs w:val="24"/>
        </w:rPr>
      </w:pPr>
      <w:r>
        <w:rPr>
          <w:rFonts w:hAnsi="宋体"/>
          <w:color w:val="000000"/>
          <w:sz w:val="24"/>
          <w:szCs w:val="24"/>
        </w:rPr>
        <w:t xml:space="preserve">    </w:t>
      </w:r>
      <w:r>
        <w:rPr>
          <w:rFonts w:hint="eastAsia" w:hAnsi="宋体"/>
          <w:color w:val="000000"/>
          <w:sz w:val="24"/>
          <w:szCs w:val="24"/>
        </w:rPr>
        <w:t>投标保证金交纳方式</w:t>
      </w:r>
      <w:r>
        <w:rPr>
          <w:rFonts w:hAnsi="宋体"/>
          <w:color w:val="000000"/>
          <w:sz w:val="24"/>
          <w:szCs w:val="24"/>
        </w:rPr>
        <w:t>:</w:t>
      </w:r>
      <w:r>
        <w:rPr>
          <w:rFonts w:hint="eastAsia" w:hAnsi="宋体"/>
          <w:color w:val="000000"/>
          <w:sz w:val="24"/>
          <w:szCs w:val="24"/>
        </w:rPr>
        <w:t>具体缴退流程见铜仁市公共资源交易中心网站</w:t>
      </w:r>
      <w:r>
        <w:rPr>
          <w:rFonts w:hint="eastAsia" w:hAnsi="宋体"/>
          <w:color w:val="000000"/>
          <w:sz w:val="24"/>
        </w:rPr>
        <w:t>（</w:t>
      </w:r>
      <w:r>
        <w:rPr>
          <w:rFonts w:hAnsi="宋体"/>
          <w:color w:val="000000"/>
          <w:sz w:val="24"/>
        </w:rPr>
        <w:t>http://jyzx.trs.gov.cn)</w:t>
      </w:r>
      <w:r>
        <w:rPr>
          <w:rFonts w:hint="eastAsia" w:hAnsi="宋体"/>
          <w:color w:val="000000"/>
          <w:sz w:val="24"/>
          <w:szCs w:val="24"/>
        </w:rPr>
        <w:t>，点击首页</w:t>
      </w:r>
      <w:r>
        <w:rPr>
          <w:rFonts w:hAnsi="宋体"/>
          <w:color w:val="000000"/>
          <w:sz w:val="24"/>
          <w:szCs w:val="24"/>
        </w:rPr>
        <w:t>--</w:t>
      </w:r>
      <w:r>
        <w:rPr>
          <w:rFonts w:hint="eastAsia" w:hAnsi="宋体"/>
          <w:color w:val="000000"/>
          <w:sz w:val="24"/>
          <w:szCs w:val="24"/>
        </w:rPr>
        <w:t>办事指南，自行缴纳保证金</w:t>
      </w:r>
      <w:r>
        <w:rPr>
          <w:rFonts w:hAnsi="宋体"/>
          <w:color w:val="000000"/>
          <w:sz w:val="24"/>
          <w:szCs w:val="24"/>
        </w:rPr>
        <w:t xml:space="preserve"> </w:t>
      </w:r>
    </w:p>
    <w:p>
      <w:pPr>
        <w:pStyle w:val="10"/>
        <w:spacing w:line="500" w:lineRule="exact"/>
        <w:ind w:firstLine="840" w:firstLineChars="350"/>
        <w:jc w:val="left"/>
        <w:rPr>
          <w:rFonts w:hAnsi="宋体"/>
          <w:color w:val="000000"/>
          <w:sz w:val="24"/>
          <w:szCs w:val="24"/>
        </w:rPr>
      </w:pPr>
      <w:r>
        <w:rPr>
          <w:rFonts w:hint="eastAsia" w:hAnsi="宋体"/>
          <w:color w:val="000000"/>
          <w:sz w:val="24"/>
          <w:szCs w:val="24"/>
        </w:rPr>
        <w:t>收款单位：铜仁市公共资源交易中心</w:t>
      </w:r>
    </w:p>
    <w:p>
      <w:pPr>
        <w:spacing w:line="500" w:lineRule="exact"/>
        <w:ind w:firstLine="840" w:firstLineChars="350"/>
        <w:rPr>
          <w:rFonts w:ascii="宋体"/>
          <w:color w:val="000000"/>
          <w:sz w:val="24"/>
        </w:rPr>
      </w:pPr>
      <w:r>
        <w:rPr>
          <w:rFonts w:hint="eastAsia" w:ascii="宋体" w:hAnsi="宋体"/>
          <w:color w:val="000000"/>
          <w:sz w:val="24"/>
        </w:rPr>
        <w:t>开</w:t>
      </w:r>
      <w:r>
        <w:rPr>
          <w:rFonts w:ascii="宋体" w:hAnsi="宋体"/>
          <w:color w:val="000000"/>
          <w:sz w:val="24"/>
        </w:rPr>
        <w:t xml:space="preserve"> </w:t>
      </w:r>
      <w:r>
        <w:rPr>
          <w:rFonts w:hint="eastAsia" w:ascii="宋体" w:hAnsi="宋体"/>
          <w:color w:val="000000"/>
          <w:sz w:val="24"/>
        </w:rPr>
        <w:t>户</w:t>
      </w:r>
      <w:r>
        <w:rPr>
          <w:rFonts w:ascii="宋体" w:hAnsi="宋体"/>
          <w:color w:val="000000"/>
          <w:sz w:val="24"/>
        </w:rPr>
        <w:t xml:space="preserve"> </w:t>
      </w:r>
      <w:r>
        <w:rPr>
          <w:rFonts w:hint="eastAsia" w:ascii="宋体" w:hAnsi="宋体"/>
          <w:color w:val="000000"/>
          <w:sz w:val="24"/>
        </w:rPr>
        <w:t>行：贵州银行股份有限公司铜仁分行</w:t>
      </w:r>
    </w:p>
    <w:p>
      <w:pPr>
        <w:spacing w:line="500" w:lineRule="exact"/>
        <w:ind w:firstLine="840" w:firstLineChars="350"/>
        <w:rPr>
          <w:rFonts w:ascii="宋体"/>
          <w:color w:val="000000"/>
          <w:sz w:val="24"/>
        </w:rPr>
      </w:pPr>
      <w:r>
        <w:rPr>
          <w:rFonts w:hint="eastAsia" w:ascii="宋体" w:hAnsi="宋体"/>
          <w:color w:val="000000"/>
          <w:sz w:val="24"/>
        </w:rPr>
        <w:t>帐</w:t>
      </w:r>
      <w:r>
        <w:rPr>
          <w:rFonts w:ascii="宋体" w:hAnsi="宋体"/>
          <w:color w:val="000000"/>
          <w:sz w:val="24"/>
        </w:rPr>
        <w:t xml:space="preserve">    </w:t>
      </w:r>
      <w:r>
        <w:rPr>
          <w:rFonts w:hint="eastAsia" w:ascii="宋体" w:hAnsi="宋体"/>
          <w:color w:val="000000"/>
          <w:sz w:val="24"/>
        </w:rPr>
        <w:t>号：</w:t>
      </w:r>
      <w:r>
        <w:rPr>
          <w:rFonts w:ascii="宋体" w:hAnsi="宋体"/>
          <w:color w:val="000000"/>
          <w:sz w:val="24"/>
        </w:rPr>
        <w:t>0601001500000296</w:t>
      </w:r>
    </w:p>
    <w:p>
      <w:pPr>
        <w:spacing w:line="500" w:lineRule="exact"/>
        <w:ind w:firstLine="482" w:firstLineChars="200"/>
        <w:rPr>
          <w:rFonts w:ascii="宋体"/>
          <w:color w:val="000000"/>
          <w:sz w:val="24"/>
        </w:rPr>
      </w:pPr>
      <w:r>
        <w:rPr>
          <w:rFonts w:ascii="宋体" w:hAnsi="宋体"/>
          <w:b/>
          <w:bCs/>
          <w:color w:val="000000"/>
          <w:sz w:val="24"/>
        </w:rPr>
        <w:t>11</w:t>
      </w:r>
      <w:r>
        <w:rPr>
          <w:rFonts w:hint="eastAsia" w:ascii="宋体" w:hAnsi="宋体"/>
          <w:b/>
          <w:bCs/>
          <w:color w:val="000000"/>
          <w:sz w:val="24"/>
        </w:rPr>
        <w:t>、采购预算</w:t>
      </w:r>
      <w:r>
        <w:rPr>
          <w:rFonts w:ascii="宋体" w:hAnsi="宋体"/>
          <w:b/>
          <w:bCs/>
          <w:color w:val="000000"/>
          <w:sz w:val="24"/>
        </w:rPr>
        <w:t xml:space="preserve"> </w:t>
      </w:r>
      <w:r>
        <w:rPr>
          <w:rFonts w:hint="eastAsia" w:ascii="宋体" w:hAnsi="宋体"/>
          <w:b/>
          <w:bCs/>
          <w:color w:val="000000"/>
          <w:sz w:val="24"/>
        </w:rPr>
        <w:t>：</w:t>
      </w:r>
      <w:r>
        <w:rPr>
          <w:rFonts w:ascii="宋体" w:hAnsi="宋体"/>
          <w:b/>
          <w:bCs/>
          <w:color w:val="000000"/>
          <w:sz w:val="24"/>
        </w:rPr>
        <w:t>9</w:t>
      </w:r>
      <w:r>
        <w:rPr>
          <w:rFonts w:hint="eastAsia" w:ascii="宋体" w:hAnsi="宋体"/>
          <w:b/>
          <w:bCs/>
          <w:color w:val="000000"/>
          <w:sz w:val="24"/>
          <w:lang w:val="en-US" w:eastAsia="zh-CN"/>
        </w:rPr>
        <w:t>10000</w:t>
      </w:r>
      <w:r>
        <w:rPr>
          <w:rFonts w:hint="eastAsia" w:ascii="宋体" w:hAnsi="宋体"/>
          <w:b/>
          <w:bCs/>
          <w:color w:val="000000"/>
          <w:sz w:val="24"/>
        </w:rPr>
        <w:t>元</w:t>
      </w:r>
      <w:r>
        <w:rPr>
          <w:rFonts w:hint="eastAsia" w:ascii="宋体" w:hAnsi="宋体"/>
          <w:b/>
          <w:bCs/>
          <w:color w:val="000000"/>
          <w:sz w:val="24"/>
          <w:lang w:val="en-US" w:eastAsia="zh-CN"/>
        </w:rPr>
        <w:t>,其中1包377201元，2包218000元，3包122000元，4包192799元</w:t>
      </w:r>
      <w:r>
        <w:rPr>
          <w:rFonts w:hint="eastAsia" w:ascii="宋体" w:hAnsi="宋体"/>
          <w:b/>
          <w:bCs/>
          <w:color w:val="000000"/>
          <w:sz w:val="24"/>
        </w:rPr>
        <w:t>（最高限价：</w:t>
      </w:r>
      <w:r>
        <w:rPr>
          <w:rFonts w:ascii="宋体" w:hAnsi="宋体"/>
          <w:b/>
          <w:bCs/>
          <w:color w:val="000000"/>
          <w:sz w:val="24"/>
        </w:rPr>
        <w:t>9</w:t>
      </w:r>
      <w:r>
        <w:rPr>
          <w:rFonts w:hint="eastAsia" w:ascii="宋体" w:hAnsi="宋体"/>
          <w:b/>
          <w:bCs/>
          <w:color w:val="000000"/>
          <w:sz w:val="24"/>
          <w:lang w:val="en-US" w:eastAsia="zh-CN"/>
        </w:rPr>
        <w:t>10000</w:t>
      </w:r>
      <w:r>
        <w:rPr>
          <w:rFonts w:hint="eastAsia" w:ascii="宋体" w:hAnsi="宋体"/>
          <w:b/>
          <w:bCs/>
          <w:color w:val="000000"/>
          <w:sz w:val="24"/>
        </w:rPr>
        <w:t>元</w:t>
      </w:r>
      <w:r>
        <w:rPr>
          <w:rFonts w:hint="eastAsia" w:ascii="宋体" w:hAnsi="宋体"/>
          <w:b/>
          <w:bCs/>
          <w:color w:val="000000"/>
          <w:sz w:val="24"/>
          <w:lang w:val="en-US" w:eastAsia="zh-CN"/>
        </w:rPr>
        <w:t>,其中1包377201元，2包218000元，3包122000元，4包192799元</w:t>
      </w:r>
      <w:r>
        <w:rPr>
          <w:rFonts w:hint="eastAsia" w:ascii="宋体" w:hAnsi="宋体"/>
          <w:b/>
          <w:bCs/>
          <w:color w:val="000000"/>
          <w:sz w:val="24"/>
        </w:rPr>
        <w:t>）</w:t>
      </w:r>
    </w:p>
    <w:p>
      <w:pPr>
        <w:spacing w:line="500" w:lineRule="exact"/>
        <w:ind w:firstLine="472" w:firstLineChars="196"/>
        <w:rPr>
          <w:rFonts w:ascii="宋体"/>
          <w:color w:val="0000FF"/>
          <w:sz w:val="24"/>
        </w:rPr>
      </w:pPr>
      <w:r>
        <w:rPr>
          <w:rFonts w:ascii="宋体" w:hAnsi="宋体"/>
          <w:b/>
          <w:color w:val="000000"/>
          <w:sz w:val="24"/>
        </w:rPr>
        <w:t>12</w:t>
      </w:r>
      <w:r>
        <w:rPr>
          <w:rFonts w:hint="eastAsia" w:ascii="宋体" w:hAnsi="宋体"/>
          <w:b/>
          <w:color w:val="000000"/>
          <w:sz w:val="24"/>
        </w:rPr>
        <w:t>、谈判时间</w:t>
      </w:r>
      <w:r>
        <w:rPr>
          <w:rFonts w:hint="eastAsia" w:ascii="宋体" w:hAnsi="宋体"/>
          <w:b/>
          <w:bCs w:val="0"/>
          <w:color w:val="FF0000"/>
          <w:sz w:val="24"/>
        </w:rPr>
        <w:t>：</w:t>
      </w:r>
      <w:r>
        <w:rPr>
          <w:rFonts w:ascii="宋体" w:hAnsi="宋体"/>
          <w:b/>
          <w:bCs w:val="0"/>
          <w:color w:val="FF0000"/>
          <w:sz w:val="24"/>
        </w:rPr>
        <w:t>20</w:t>
      </w:r>
      <w:r>
        <w:rPr>
          <w:rFonts w:hint="eastAsia" w:ascii="宋体" w:hAnsi="宋体"/>
          <w:b/>
          <w:bCs w:val="0"/>
          <w:color w:val="FF0000"/>
          <w:sz w:val="24"/>
          <w:lang w:val="en-US" w:eastAsia="zh-CN"/>
        </w:rPr>
        <w:t>20</w:t>
      </w:r>
      <w:r>
        <w:rPr>
          <w:rFonts w:hint="eastAsia" w:ascii="宋体" w:hAnsi="宋体"/>
          <w:b/>
          <w:bCs w:val="0"/>
          <w:color w:val="FF0000"/>
          <w:sz w:val="24"/>
        </w:rPr>
        <w:t>年</w:t>
      </w:r>
      <w:r>
        <w:rPr>
          <w:rFonts w:ascii="宋体" w:hAnsi="宋体"/>
          <w:b/>
          <w:bCs w:val="0"/>
          <w:color w:val="FF0000"/>
          <w:sz w:val="24"/>
        </w:rPr>
        <w:t>1</w:t>
      </w:r>
      <w:r>
        <w:rPr>
          <w:rFonts w:hint="eastAsia" w:ascii="宋体" w:hAnsi="宋体"/>
          <w:b/>
          <w:bCs w:val="0"/>
          <w:color w:val="FF0000"/>
          <w:sz w:val="24"/>
        </w:rPr>
        <w:t>月</w:t>
      </w:r>
      <w:r>
        <w:rPr>
          <w:rFonts w:hint="eastAsia" w:ascii="宋体" w:hAnsi="宋体"/>
          <w:b/>
          <w:bCs w:val="0"/>
          <w:color w:val="FF0000"/>
          <w:sz w:val="24"/>
          <w:lang w:val="en-US" w:eastAsia="zh-CN"/>
        </w:rPr>
        <w:t>8</w:t>
      </w:r>
      <w:r>
        <w:rPr>
          <w:rFonts w:hint="eastAsia" w:ascii="宋体" w:hAnsi="宋体"/>
          <w:b/>
          <w:bCs w:val="0"/>
          <w:color w:val="FF0000"/>
          <w:sz w:val="24"/>
        </w:rPr>
        <w:t>日</w:t>
      </w:r>
      <w:r>
        <w:rPr>
          <w:rFonts w:hint="eastAsia" w:ascii="宋体" w:hAnsi="宋体"/>
          <w:b/>
          <w:bCs w:val="0"/>
          <w:color w:val="FF0000"/>
          <w:sz w:val="24"/>
          <w:lang w:val="en-US" w:eastAsia="zh-CN"/>
        </w:rPr>
        <w:t>9</w:t>
      </w:r>
      <w:r>
        <w:rPr>
          <w:rFonts w:ascii="宋体" w:hAnsi="宋体"/>
          <w:b/>
          <w:bCs w:val="0"/>
          <w:color w:val="FF0000"/>
          <w:sz w:val="24"/>
        </w:rPr>
        <w:t>:</w:t>
      </w:r>
      <w:r>
        <w:rPr>
          <w:rFonts w:hint="eastAsia" w:ascii="宋体" w:hAnsi="宋体"/>
          <w:b/>
          <w:bCs w:val="0"/>
          <w:color w:val="FF0000"/>
          <w:sz w:val="24"/>
          <w:lang w:val="en-US" w:eastAsia="zh-CN"/>
        </w:rPr>
        <w:t>3</w:t>
      </w:r>
      <w:r>
        <w:rPr>
          <w:rFonts w:ascii="宋体" w:hAnsi="宋体"/>
          <w:b/>
          <w:bCs w:val="0"/>
          <w:color w:val="FF0000"/>
          <w:sz w:val="24"/>
        </w:rPr>
        <w:t>0</w:t>
      </w:r>
      <w:r>
        <w:rPr>
          <w:rFonts w:hint="eastAsia" w:ascii="宋体" w:hAnsi="宋体"/>
          <w:b/>
          <w:bCs w:val="0"/>
          <w:color w:val="FF0000"/>
          <w:sz w:val="24"/>
        </w:rPr>
        <w:t>时</w:t>
      </w:r>
    </w:p>
    <w:p>
      <w:pPr>
        <w:spacing w:line="500" w:lineRule="exact"/>
        <w:ind w:firstLine="470" w:firstLineChars="196"/>
        <w:rPr>
          <w:rFonts w:ascii="宋体"/>
          <w:bCs/>
          <w:color w:val="000000"/>
          <w:sz w:val="24"/>
        </w:rPr>
      </w:pPr>
      <w:r>
        <w:rPr>
          <w:rFonts w:ascii="宋体" w:hAnsi="宋体"/>
          <w:bCs/>
          <w:color w:val="000000"/>
          <w:sz w:val="24"/>
        </w:rPr>
        <w:t>13</w:t>
      </w:r>
      <w:r>
        <w:rPr>
          <w:rFonts w:hint="eastAsia" w:ascii="宋体" w:hAnsi="宋体"/>
          <w:bCs/>
          <w:color w:val="000000"/>
          <w:sz w:val="24"/>
        </w:rPr>
        <w:t>、谈判地点：铜仁市公共服务中心四楼开标室（铜仁市碧江区川硐教育园区麒龙国际旁）</w:t>
      </w:r>
    </w:p>
    <w:p>
      <w:pPr>
        <w:spacing w:line="500" w:lineRule="exact"/>
        <w:ind w:firstLine="960" w:firstLineChars="400"/>
        <w:rPr>
          <w:rFonts w:ascii="宋体"/>
          <w:color w:val="000000"/>
          <w:sz w:val="24"/>
        </w:rPr>
      </w:pPr>
      <w:r>
        <w:rPr>
          <w:rFonts w:hint="eastAsia" w:ascii="宋体" w:hAnsi="宋体"/>
          <w:color w:val="000000"/>
          <w:sz w:val="24"/>
        </w:rPr>
        <w:t>联系电话：</w:t>
      </w:r>
      <w:r>
        <w:rPr>
          <w:rFonts w:ascii="宋体" w:hAnsi="宋体"/>
          <w:color w:val="000000"/>
          <w:sz w:val="24"/>
        </w:rPr>
        <w:t xml:space="preserve">0856-3912922      </w:t>
      </w:r>
    </w:p>
    <w:p>
      <w:pPr>
        <w:spacing w:line="500" w:lineRule="exact"/>
        <w:ind w:firstLine="960" w:firstLineChars="400"/>
        <w:rPr>
          <w:rFonts w:ascii="宋体"/>
          <w:sz w:val="24"/>
        </w:rPr>
      </w:pPr>
      <w:r>
        <w:rPr>
          <w:rFonts w:hint="eastAsia" w:ascii="宋体" w:hAnsi="宋体"/>
          <w:sz w:val="24"/>
        </w:rPr>
        <w:t>联</w:t>
      </w:r>
      <w:r>
        <w:rPr>
          <w:rFonts w:ascii="宋体" w:hAnsi="宋体"/>
          <w:sz w:val="24"/>
        </w:rPr>
        <w:t xml:space="preserve"> </w:t>
      </w:r>
      <w:r>
        <w:rPr>
          <w:rFonts w:hint="eastAsia" w:ascii="宋体" w:hAnsi="宋体"/>
          <w:sz w:val="24"/>
        </w:rPr>
        <w:t>系</w:t>
      </w:r>
      <w:r>
        <w:rPr>
          <w:rFonts w:ascii="宋体" w:hAnsi="宋体"/>
          <w:sz w:val="24"/>
        </w:rPr>
        <w:t xml:space="preserve"> </w:t>
      </w:r>
      <w:r>
        <w:rPr>
          <w:rFonts w:hint="eastAsia" w:ascii="宋体" w:hAnsi="宋体"/>
          <w:sz w:val="24"/>
        </w:rPr>
        <w:t>人：黄灵</w:t>
      </w:r>
      <w:r>
        <w:rPr>
          <w:rFonts w:ascii="宋体" w:hAnsi="宋体"/>
          <w:sz w:val="24"/>
        </w:rPr>
        <w:t xml:space="preserve">     </w:t>
      </w:r>
    </w:p>
    <w:p>
      <w:pPr>
        <w:numPr>
          <w:ilvl w:val="0"/>
          <w:numId w:val="2"/>
        </w:numPr>
        <w:adjustRightInd w:val="0"/>
        <w:snapToGrid w:val="0"/>
        <w:spacing w:line="500" w:lineRule="exact"/>
        <w:ind w:left="1199" w:leftChars="228" w:hanging="720" w:hangingChars="300"/>
        <w:rPr>
          <w:rFonts w:ascii="宋体"/>
          <w:color w:val="000000"/>
          <w:sz w:val="24"/>
        </w:rPr>
      </w:pPr>
      <w:r>
        <w:rPr>
          <w:rFonts w:hint="eastAsia" w:ascii="宋体" w:hAnsi="宋体"/>
          <w:color w:val="000000"/>
          <w:sz w:val="24"/>
        </w:rPr>
        <w:t>采购人地点及联系方式</w:t>
      </w:r>
    </w:p>
    <w:p>
      <w:pPr>
        <w:adjustRightInd w:val="0"/>
        <w:snapToGrid w:val="0"/>
        <w:spacing w:line="500" w:lineRule="exact"/>
        <w:ind w:firstLine="960" w:firstLineChars="400"/>
        <w:rPr>
          <w:rFonts w:hint="eastAsia" w:ascii="宋体" w:eastAsia="宋体" w:cs="宋体"/>
          <w:b/>
          <w:color w:val="000000"/>
          <w:sz w:val="28"/>
          <w:szCs w:val="28"/>
          <w:lang w:val="en-US" w:eastAsia="zh-CN"/>
        </w:rPr>
      </w:pPr>
      <w:r>
        <w:rPr>
          <w:rFonts w:hint="eastAsia" w:ascii="宋体" w:hAnsi="宋体"/>
          <w:color w:val="000000"/>
          <w:sz w:val="24"/>
        </w:rPr>
        <w:t>联系地址</w:t>
      </w:r>
      <w:r>
        <w:rPr>
          <w:rFonts w:ascii="宋体" w:hAnsi="宋体"/>
          <w:color w:val="000000"/>
          <w:sz w:val="24"/>
        </w:rPr>
        <w:t>:</w:t>
      </w:r>
      <w:r>
        <w:rPr>
          <w:rFonts w:hint="eastAsia" w:ascii="宋体" w:hAnsi="宋体"/>
          <w:color w:val="000000"/>
          <w:sz w:val="24"/>
          <w:lang w:eastAsia="zh-CN"/>
        </w:rPr>
        <w:t>铜仁职业技术学院</w:t>
      </w:r>
    </w:p>
    <w:p>
      <w:pPr>
        <w:adjustRightInd w:val="0"/>
        <w:snapToGrid w:val="0"/>
        <w:spacing w:line="500" w:lineRule="exact"/>
        <w:ind w:firstLine="960" w:firstLineChars="400"/>
        <w:rPr>
          <w:rFonts w:ascii="宋体" w:cs="宋体"/>
          <w:b/>
          <w:bCs/>
          <w:color w:val="000000"/>
          <w:sz w:val="28"/>
          <w:szCs w:val="28"/>
        </w:rPr>
      </w:pPr>
      <w:r>
        <w:rPr>
          <w:rFonts w:hint="eastAsia" w:ascii="宋体" w:hAnsi="宋体"/>
          <w:color w:val="000000"/>
          <w:sz w:val="24"/>
        </w:rPr>
        <w:t>项目联系人</w:t>
      </w:r>
      <w:r>
        <w:rPr>
          <w:rFonts w:ascii="宋体" w:hAnsi="宋体"/>
          <w:color w:val="000000"/>
          <w:sz w:val="24"/>
        </w:rPr>
        <w:t>:</w:t>
      </w:r>
      <w:r>
        <w:rPr>
          <w:rFonts w:hint="eastAsia" w:ascii="宋体" w:hAnsi="宋体"/>
          <w:b/>
          <w:bCs/>
          <w:color w:val="000000"/>
          <w:sz w:val="28"/>
          <w:szCs w:val="28"/>
          <w:lang w:eastAsia="zh-CN"/>
        </w:rPr>
        <w:t>龙</w:t>
      </w:r>
      <w:r>
        <w:rPr>
          <w:rFonts w:hint="eastAsia" w:ascii="宋体" w:hAnsi="宋体" w:cs="宋体"/>
          <w:b/>
          <w:bCs/>
          <w:color w:val="000000"/>
          <w:sz w:val="28"/>
          <w:szCs w:val="28"/>
        </w:rPr>
        <w:t>老师</w:t>
      </w:r>
    </w:p>
    <w:p>
      <w:pPr>
        <w:adjustRightInd w:val="0"/>
        <w:snapToGrid w:val="0"/>
        <w:spacing w:line="500" w:lineRule="exact"/>
        <w:ind w:firstLine="960" w:firstLineChars="400"/>
        <w:rPr>
          <w:rFonts w:hint="default" w:ascii="宋体" w:eastAsia="宋体"/>
          <w:color w:val="000000"/>
          <w:sz w:val="24"/>
          <w:lang w:val="en-US" w:eastAsia="zh-CN"/>
        </w:rPr>
      </w:pPr>
      <w:r>
        <w:rPr>
          <w:rFonts w:hint="eastAsia" w:ascii="宋体" w:hAnsi="宋体"/>
          <w:color w:val="000000"/>
          <w:sz w:val="24"/>
        </w:rPr>
        <w:t>联系电话</w:t>
      </w:r>
      <w:r>
        <w:rPr>
          <w:rFonts w:ascii="宋体" w:hAnsi="宋体"/>
          <w:color w:val="000000"/>
          <w:sz w:val="24"/>
        </w:rPr>
        <w:t>:</w:t>
      </w:r>
      <w:r>
        <w:rPr>
          <w:color w:val="000000"/>
        </w:rPr>
        <w:t xml:space="preserve"> </w:t>
      </w:r>
      <w:r>
        <w:rPr>
          <w:rFonts w:hint="eastAsia" w:ascii="宋体" w:hAnsi="宋体"/>
          <w:b/>
          <w:bCs/>
          <w:color w:val="000000"/>
          <w:sz w:val="28"/>
          <w:szCs w:val="28"/>
          <w:lang w:val="en-US" w:eastAsia="zh-CN"/>
        </w:rPr>
        <w:t>15685689777</w:t>
      </w:r>
    </w:p>
    <w:p>
      <w:pPr>
        <w:numPr>
          <w:ilvl w:val="0"/>
          <w:numId w:val="2"/>
        </w:numPr>
        <w:spacing w:line="500" w:lineRule="exact"/>
        <w:ind w:left="1199" w:leftChars="228" w:hanging="720" w:hangingChars="300"/>
        <w:rPr>
          <w:rFonts w:ascii="宋体"/>
          <w:sz w:val="24"/>
        </w:rPr>
      </w:pPr>
      <w:r>
        <w:rPr>
          <w:rFonts w:hint="eastAsia" w:ascii="宋体" w:hAnsi="宋体"/>
          <w:sz w:val="24"/>
        </w:rPr>
        <w:t>电子投标技术支持电话：</w:t>
      </w:r>
      <w:r>
        <w:rPr>
          <w:rFonts w:ascii="宋体" w:hAnsi="宋体"/>
          <w:sz w:val="24"/>
        </w:rPr>
        <w:t>08563960513</w:t>
      </w:r>
      <w:r>
        <w:rPr>
          <w:rFonts w:hint="eastAsia" w:ascii="宋体" w:hAnsi="宋体"/>
          <w:sz w:val="24"/>
        </w:rPr>
        <w:t>（固话），</w:t>
      </w:r>
      <w:r>
        <w:rPr>
          <w:rFonts w:ascii="宋体" w:hAnsi="宋体"/>
          <w:sz w:val="24"/>
        </w:rPr>
        <w:t>18352864732</w:t>
      </w:r>
      <w:r>
        <w:rPr>
          <w:rFonts w:hint="eastAsia" w:ascii="宋体" w:hAnsi="宋体"/>
          <w:sz w:val="24"/>
        </w:rPr>
        <w:t>。</w:t>
      </w:r>
    </w:p>
    <w:p>
      <w:pPr>
        <w:numPr>
          <w:ilvl w:val="0"/>
          <w:numId w:val="2"/>
        </w:numPr>
        <w:spacing w:line="500" w:lineRule="exact"/>
        <w:ind w:left="1199" w:leftChars="228" w:hanging="720" w:hangingChars="300"/>
        <w:rPr>
          <w:rFonts w:ascii="宋体"/>
          <w:sz w:val="24"/>
        </w:rPr>
      </w:pPr>
      <w:r>
        <w:rPr>
          <w:rFonts w:hint="eastAsia" w:ascii="宋体" w:hAnsi="宋体"/>
          <w:sz w:val="24"/>
        </w:rPr>
        <w:t>保证金热线：</w:t>
      </w:r>
      <w:r>
        <w:rPr>
          <w:rFonts w:ascii="宋体" w:hAnsi="宋体"/>
          <w:sz w:val="24"/>
        </w:rPr>
        <w:t>0856-3910364</w:t>
      </w:r>
    </w:p>
    <w:p>
      <w:pPr>
        <w:numPr>
          <w:ilvl w:val="0"/>
          <w:numId w:val="2"/>
        </w:numPr>
        <w:spacing w:line="500" w:lineRule="exact"/>
        <w:ind w:left="1199" w:leftChars="228" w:hanging="720" w:hangingChars="300"/>
        <w:rPr>
          <w:rFonts w:ascii="宋体"/>
          <w:b/>
          <w:bCs/>
          <w:sz w:val="24"/>
        </w:rPr>
      </w:pPr>
      <w:r>
        <w:rPr>
          <w:rFonts w:ascii="宋体" w:hAnsi="宋体"/>
          <w:sz w:val="24"/>
        </w:rPr>
        <w:t>CA</w:t>
      </w:r>
      <w:r>
        <w:rPr>
          <w:rFonts w:hint="eastAsia" w:ascii="宋体" w:hAnsi="宋体"/>
          <w:sz w:val="24"/>
        </w:rPr>
        <w:t>数字证书及电子签章：</w:t>
      </w:r>
      <w:r>
        <w:rPr>
          <w:rFonts w:ascii="宋体" w:hAnsi="宋体"/>
          <w:sz w:val="24"/>
        </w:rPr>
        <w:t>0856-3912912</w:t>
      </w:r>
      <w:r>
        <w:rPr>
          <w:rFonts w:hint="eastAsia" w:ascii="宋体" w:hAnsi="宋体"/>
          <w:sz w:val="24"/>
        </w:rPr>
        <w:t>、</w:t>
      </w:r>
      <w:r>
        <w:rPr>
          <w:rFonts w:ascii="宋体" w:hAnsi="宋体"/>
          <w:sz w:val="24"/>
        </w:rPr>
        <w:t>3912378</w:t>
      </w:r>
      <w:r>
        <w:rPr>
          <w:rFonts w:ascii="宋体" w:hAnsi="宋体"/>
          <w:sz w:val="24"/>
        </w:rPr>
        <w:br w:type="textWrapping"/>
      </w:r>
      <w:r>
        <w:rPr>
          <w:rFonts w:ascii="宋体" w:hAnsi="宋体"/>
          <w:sz w:val="24"/>
        </w:rPr>
        <w:t xml:space="preserve"> </w:t>
      </w:r>
    </w:p>
    <w:p>
      <w:pPr>
        <w:spacing w:line="500" w:lineRule="exact"/>
        <w:rPr>
          <w:rFonts w:ascii="宋体"/>
          <w:sz w:val="24"/>
        </w:rPr>
      </w:pPr>
    </w:p>
    <w:p>
      <w:pPr>
        <w:spacing w:line="500" w:lineRule="exact"/>
        <w:rPr>
          <w:rFonts w:ascii="宋体"/>
          <w:sz w:val="24"/>
        </w:rPr>
      </w:pPr>
    </w:p>
    <w:p>
      <w:pPr>
        <w:pStyle w:val="10"/>
      </w:pPr>
    </w:p>
    <w:p>
      <w:pPr>
        <w:pStyle w:val="34"/>
        <w:spacing w:line="360" w:lineRule="auto"/>
        <w:jc w:val="center"/>
        <w:rPr>
          <w:rFonts w:hAnsi="宋体"/>
          <w:b/>
          <w:bCs/>
          <w:sz w:val="30"/>
          <w:szCs w:val="30"/>
        </w:rPr>
      </w:pPr>
      <w:r>
        <w:rPr>
          <w:rFonts w:hint="eastAsia" w:hAnsi="宋体"/>
          <w:b/>
          <w:sz w:val="36"/>
        </w:rPr>
        <w:t>第二章</w:t>
      </w:r>
      <w:r>
        <w:rPr>
          <w:rFonts w:hAnsi="宋体"/>
          <w:b/>
          <w:sz w:val="36"/>
        </w:rPr>
        <w:t xml:space="preserve">  </w:t>
      </w:r>
      <w:r>
        <w:rPr>
          <w:rFonts w:hint="eastAsia" w:hAnsi="宋体"/>
          <w:b/>
          <w:sz w:val="36"/>
        </w:rPr>
        <w:t>谈判供应商须知</w:t>
      </w:r>
    </w:p>
    <w:p>
      <w:pPr>
        <w:spacing w:line="400" w:lineRule="exact"/>
        <w:jc w:val="center"/>
        <w:rPr>
          <w:rFonts w:ascii="宋体"/>
          <w:b/>
          <w:bCs/>
          <w:sz w:val="32"/>
        </w:rPr>
      </w:pPr>
      <w:r>
        <w:rPr>
          <w:rFonts w:hint="eastAsia" w:ascii="宋体" w:hAnsi="宋体"/>
          <w:b/>
          <w:bCs/>
          <w:sz w:val="24"/>
        </w:rPr>
        <w:t>谈判供应商须知前附表</w:t>
      </w:r>
      <w:r>
        <w:rPr>
          <w:rFonts w:ascii="宋体" w:hAnsi="宋体"/>
          <w:b/>
          <w:bCs/>
          <w:sz w:val="24"/>
        </w:rPr>
        <w:t>1</w:t>
      </w:r>
    </w:p>
    <w:p>
      <w:pPr>
        <w:spacing w:line="400" w:lineRule="exact"/>
        <w:ind w:firstLine="525"/>
        <w:rPr>
          <w:rFonts w:ascii="宋体"/>
          <w:sz w:val="24"/>
        </w:rPr>
      </w:pPr>
      <w:r>
        <w:rPr>
          <w:rFonts w:hint="eastAsia" w:ascii="宋体" w:hAnsi="宋体"/>
          <w:sz w:val="24"/>
        </w:rPr>
        <w:t>本须知前附表的条款号是与《谈判供应商须知》中条款的项号相对应的。如果有矛盾的话，应以本附表为准。</w:t>
      </w:r>
      <w:r>
        <w:rPr>
          <w:rFonts w:ascii="宋体" w:hAnsi="宋体"/>
          <w:sz w:val="24"/>
        </w:rPr>
        <w:t xml:space="preserve"> </w:t>
      </w:r>
    </w:p>
    <w:p>
      <w:pPr>
        <w:spacing w:line="400" w:lineRule="exact"/>
        <w:ind w:firstLine="525"/>
        <w:rPr>
          <w:rFonts w:ascii="宋体"/>
          <w:sz w:val="24"/>
        </w:rPr>
      </w:pPr>
    </w:p>
    <w:tbl>
      <w:tblPr>
        <w:tblStyle w:val="17"/>
        <w:tblW w:w="87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751"/>
        <w:gridCol w:w="7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dxa"/>
          </w:tcPr>
          <w:p>
            <w:pPr>
              <w:spacing w:line="400" w:lineRule="exact"/>
              <w:rPr>
                <w:rFonts w:ascii="宋体"/>
                <w:sz w:val="24"/>
              </w:rPr>
            </w:pPr>
            <w:r>
              <w:rPr>
                <w:rFonts w:hint="eastAsia" w:ascii="宋体" w:hAnsi="宋体"/>
                <w:sz w:val="24"/>
              </w:rPr>
              <w:t>项号</w:t>
            </w:r>
          </w:p>
        </w:tc>
        <w:tc>
          <w:tcPr>
            <w:tcW w:w="751" w:type="dxa"/>
          </w:tcPr>
          <w:p>
            <w:pPr>
              <w:spacing w:line="400" w:lineRule="exact"/>
              <w:rPr>
                <w:rFonts w:ascii="宋体"/>
                <w:sz w:val="24"/>
              </w:rPr>
            </w:pPr>
            <w:r>
              <w:rPr>
                <w:rFonts w:hint="eastAsia" w:ascii="宋体" w:hAnsi="宋体"/>
                <w:sz w:val="24"/>
              </w:rPr>
              <w:t>条款号</w:t>
            </w:r>
          </w:p>
        </w:tc>
        <w:tc>
          <w:tcPr>
            <w:tcW w:w="7518" w:type="dxa"/>
          </w:tcPr>
          <w:p>
            <w:pPr>
              <w:spacing w:line="400" w:lineRule="exact"/>
              <w:jc w:val="center"/>
              <w:rPr>
                <w:rFonts w:ascii="宋体"/>
                <w:sz w:val="24"/>
              </w:rPr>
            </w:pPr>
            <w:r>
              <w:rPr>
                <w:rFonts w:hint="eastAsia" w:ascii="宋体" w:hAnsi="宋体"/>
                <w:sz w:val="24"/>
              </w:rPr>
              <w:t>编</w:t>
            </w:r>
            <w:r>
              <w:rPr>
                <w:rFonts w:ascii="宋体" w:hAnsi="宋体"/>
                <w:sz w:val="24"/>
              </w:rPr>
              <w:t xml:space="preserve">   </w:t>
            </w:r>
            <w:r>
              <w:rPr>
                <w:rFonts w:hint="eastAsia" w:ascii="宋体" w:hAnsi="宋体"/>
                <w:sz w:val="24"/>
              </w:rPr>
              <w:t>列</w:t>
            </w:r>
            <w:r>
              <w:rPr>
                <w:rFonts w:ascii="宋体" w:hAnsi="宋体"/>
                <w:sz w:val="24"/>
              </w:rPr>
              <w:t xml:space="preserve">   </w:t>
            </w:r>
            <w:r>
              <w:rPr>
                <w:rFonts w:hint="eastAsia" w:ascii="宋体" w:hAnsi="宋体"/>
                <w:sz w:val="24"/>
              </w:rPr>
              <w:t>内</w:t>
            </w:r>
            <w:r>
              <w:rPr>
                <w:rFonts w:ascii="宋体" w:hAnsi="宋体"/>
                <w:sz w:val="24"/>
              </w:rPr>
              <w:t xml:space="preserve">    </w:t>
            </w:r>
            <w:r>
              <w:rPr>
                <w:rFonts w:hint="eastAsia" w:ascii="宋体" w:hAnsi="宋体"/>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dxa"/>
            <w:vAlign w:val="center"/>
          </w:tcPr>
          <w:p>
            <w:pPr>
              <w:spacing w:line="400" w:lineRule="exact"/>
              <w:jc w:val="center"/>
              <w:rPr>
                <w:rFonts w:ascii="宋体" w:hAnsi="宋体"/>
                <w:sz w:val="24"/>
              </w:rPr>
            </w:pPr>
            <w:r>
              <w:rPr>
                <w:rFonts w:ascii="宋体" w:hAnsi="宋体"/>
                <w:sz w:val="24"/>
              </w:rPr>
              <w:t>1</w:t>
            </w:r>
          </w:p>
        </w:tc>
        <w:tc>
          <w:tcPr>
            <w:tcW w:w="751" w:type="dxa"/>
            <w:vAlign w:val="center"/>
          </w:tcPr>
          <w:p>
            <w:pPr>
              <w:spacing w:line="400" w:lineRule="exact"/>
              <w:jc w:val="center"/>
              <w:rPr>
                <w:rFonts w:ascii="宋体" w:hAnsi="宋体"/>
                <w:sz w:val="24"/>
              </w:rPr>
            </w:pPr>
            <w:r>
              <w:rPr>
                <w:rFonts w:ascii="宋体" w:hAnsi="宋体"/>
                <w:sz w:val="24"/>
              </w:rPr>
              <w:t>1.1</w:t>
            </w:r>
          </w:p>
        </w:tc>
        <w:tc>
          <w:tcPr>
            <w:tcW w:w="7518" w:type="dxa"/>
            <w:vAlign w:val="center"/>
          </w:tcPr>
          <w:p>
            <w:pPr>
              <w:adjustRightInd w:val="0"/>
              <w:snapToGrid w:val="0"/>
              <w:spacing w:line="360" w:lineRule="auto"/>
              <w:rPr>
                <w:rFonts w:ascii="宋体" w:cs="宋体"/>
                <w:b/>
                <w:color w:val="000000"/>
                <w:sz w:val="28"/>
                <w:szCs w:val="28"/>
              </w:rPr>
            </w:pPr>
            <w:r>
              <w:rPr>
                <w:rFonts w:hint="eastAsia" w:ascii="宋体" w:hAnsi="宋体"/>
                <w:sz w:val="24"/>
              </w:rPr>
              <w:t>项目名称：铜仁职业技术学院2019年教学、实训软件采购项目</w:t>
            </w:r>
          </w:p>
          <w:p>
            <w:pPr>
              <w:adjustRightInd w:val="0"/>
              <w:snapToGrid w:val="0"/>
              <w:spacing w:line="360" w:lineRule="auto"/>
              <w:rPr>
                <w:rFonts w:ascii="宋体" w:cs="宋体"/>
                <w:b/>
                <w:color w:val="000000"/>
                <w:sz w:val="28"/>
                <w:szCs w:val="28"/>
              </w:rPr>
            </w:pPr>
            <w:r>
              <w:rPr>
                <w:rFonts w:hint="eastAsia" w:ascii="宋体" w:hAnsi="宋体"/>
                <w:sz w:val="24"/>
              </w:rPr>
              <w:t>采购人名称：铜仁职业技术学院</w:t>
            </w:r>
          </w:p>
          <w:p>
            <w:pPr>
              <w:adjustRightInd w:val="0"/>
              <w:snapToGrid w:val="0"/>
              <w:spacing w:line="360" w:lineRule="auto"/>
              <w:rPr>
                <w:rFonts w:ascii="宋体"/>
                <w:sz w:val="24"/>
              </w:rPr>
            </w:pPr>
            <w:r>
              <w:rPr>
                <w:rFonts w:hint="eastAsia" w:ascii="宋体" w:hAnsi="宋体"/>
                <w:sz w:val="24"/>
              </w:rPr>
              <w:t>采购人地址：铜仁职业技术学院</w:t>
            </w:r>
          </w:p>
          <w:p>
            <w:pPr>
              <w:jc w:val="left"/>
              <w:rPr>
                <w:rFonts w:hint="eastAsia" w:ascii="宋体" w:hAnsi="宋体"/>
                <w:sz w:val="24"/>
                <w:lang w:eastAsia="zh-CN"/>
              </w:rPr>
            </w:pPr>
            <w:r>
              <w:rPr>
                <w:rFonts w:hint="eastAsia" w:ascii="宋体" w:hAnsi="宋体"/>
                <w:sz w:val="24"/>
              </w:rPr>
              <w:t>项目内容</w:t>
            </w:r>
            <w:r>
              <w:rPr>
                <w:rFonts w:hint="eastAsia" w:ascii="宋体" w:hAnsi="宋体"/>
                <w:b/>
                <w:bCs/>
                <w:sz w:val="24"/>
              </w:rPr>
              <w:t>：铜仁职业技术学院2019年教学、实训软件采购项目</w:t>
            </w:r>
            <w:r>
              <w:rPr>
                <w:rFonts w:hint="eastAsia" w:ascii="宋体" w:hAnsi="宋体"/>
                <w:b/>
                <w:bCs/>
                <w:sz w:val="24"/>
                <w:lang w:eastAsia="zh-CN"/>
              </w:rPr>
              <w:t>（</w:t>
            </w:r>
            <w:r>
              <w:rPr>
                <w:rFonts w:hint="eastAsia" w:ascii="宋体" w:hAnsi="宋体"/>
                <w:b/>
                <w:bCs/>
                <w:sz w:val="24"/>
                <w:lang w:val="en-US" w:eastAsia="zh-CN"/>
              </w:rPr>
              <w:t>1包经济与管理学院软件采购；2包农学院软件采购；3包</w:t>
            </w:r>
            <w:r>
              <w:rPr>
                <w:rFonts w:hint="eastAsia" w:ascii="宋体" w:hAnsi="宋体"/>
                <w:b/>
                <w:bCs/>
                <w:sz w:val="24"/>
              </w:rPr>
              <w:t>信息工程学院软件采购</w:t>
            </w:r>
            <w:r>
              <w:rPr>
                <w:rFonts w:hint="eastAsia" w:ascii="宋体" w:hAnsi="宋体"/>
                <w:b/>
                <w:bCs/>
                <w:sz w:val="24"/>
                <w:lang w:eastAsia="zh-CN"/>
              </w:rPr>
              <w:t>；</w:t>
            </w:r>
            <w:r>
              <w:rPr>
                <w:rFonts w:hint="eastAsia" w:ascii="宋体" w:hAnsi="宋体"/>
                <w:b/>
                <w:bCs/>
                <w:sz w:val="24"/>
                <w:lang w:val="en-US" w:eastAsia="zh-CN"/>
              </w:rPr>
              <w:t>4包</w:t>
            </w:r>
            <w:r>
              <w:rPr>
                <w:rFonts w:hint="eastAsia" w:ascii="宋体" w:hAnsi="宋体"/>
                <w:b/>
                <w:bCs/>
                <w:sz w:val="24"/>
                <w:lang w:eastAsia="zh-CN"/>
              </w:rPr>
              <w:t>药学院</w:t>
            </w:r>
            <w:r>
              <w:rPr>
                <w:rFonts w:hint="eastAsia" w:ascii="宋体" w:hAnsi="宋体"/>
                <w:b/>
                <w:bCs/>
                <w:sz w:val="24"/>
                <w:lang w:val="en-US" w:eastAsia="zh-CN"/>
              </w:rPr>
              <w:t>软件采购</w:t>
            </w:r>
            <w:r>
              <w:rPr>
                <w:rFonts w:hint="eastAsia" w:ascii="宋体" w:hAnsi="宋体"/>
                <w:b/>
                <w:bCs/>
                <w:sz w:val="24"/>
                <w:lang w:eastAsia="zh-CN"/>
              </w:rPr>
              <w:t>）</w:t>
            </w:r>
          </w:p>
          <w:p>
            <w:pPr>
              <w:spacing w:line="400" w:lineRule="exact"/>
              <w:rPr>
                <w:rFonts w:ascii="宋体" w:hAnsi="宋体"/>
                <w:sz w:val="24"/>
                <w:u w:val="single"/>
              </w:rPr>
            </w:pPr>
            <w:r>
              <w:rPr>
                <w:rFonts w:hint="eastAsia" w:ascii="宋体" w:hAnsi="宋体"/>
                <w:sz w:val="24"/>
              </w:rPr>
              <w:t>项目编号：</w:t>
            </w:r>
            <w:r>
              <w:rPr>
                <w:rFonts w:ascii="宋体" w:hAnsi="宋体"/>
                <w:sz w:val="24"/>
              </w:rPr>
              <w:t xml:space="preserve"> </w:t>
            </w:r>
            <w:r>
              <w:rPr>
                <w:rFonts w:ascii="宋体" w:hAnsi="宋体"/>
                <w:sz w:val="24"/>
                <w:u w:val="single"/>
              </w:rPr>
              <w:t xml:space="preserve">  </w:t>
            </w:r>
            <w:r>
              <w:rPr>
                <w:rFonts w:ascii="宋体" w:hAnsi="宋体"/>
                <w:b/>
                <w:bCs/>
                <w:sz w:val="24"/>
                <w:u w:val="single"/>
              </w:rPr>
              <w:t xml:space="preserve"> </w:t>
            </w:r>
            <w:r>
              <w:rPr>
                <w:rFonts w:ascii="宋体" w:hAnsi="宋体"/>
                <w:b/>
                <w:bCs/>
                <w:color w:val="000000"/>
                <w:sz w:val="24"/>
                <w:u w:val="single"/>
              </w:rPr>
              <w:t>TRZFCG-2019-2</w:t>
            </w:r>
            <w:r>
              <w:rPr>
                <w:rFonts w:hint="eastAsia" w:ascii="宋体" w:hAnsi="宋体"/>
                <w:b/>
                <w:bCs/>
                <w:color w:val="000000"/>
                <w:sz w:val="24"/>
                <w:u w:val="single"/>
                <w:lang w:val="en-US" w:eastAsia="zh-CN"/>
              </w:rPr>
              <w:t>42</w:t>
            </w:r>
            <w:r>
              <w:rPr>
                <w:rFonts w:ascii="宋体" w:hAnsi="宋体"/>
                <w:sz w:val="24"/>
                <w:u w:val="single"/>
              </w:rPr>
              <w:t xml:space="preserve">  </w:t>
            </w:r>
          </w:p>
          <w:p>
            <w:pPr>
              <w:spacing w:line="500" w:lineRule="exact"/>
              <w:ind w:firstLine="480" w:firstLineChars="200"/>
              <w:rPr>
                <w:rFonts w:ascii="宋体"/>
                <w:color w:val="000000"/>
                <w:sz w:val="24"/>
              </w:rPr>
            </w:pPr>
            <w:r>
              <w:rPr>
                <w:rFonts w:hint="eastAsia" w:ascii="Arial" w:hAnsi="Arial" w:cs="Arial"/>
                <w:sz w:val="24"/>
              </w:rPr>
              <w:t>财政审核控制价（预算价）：</w:t>
            </w:r>
            <w:r>
              <w:rPr>
                <w:rFonts w:ascii="宋体" w:hAnsi="宋体"/>
                <w:b/>
                <w:bCs/>
                <w:color w:val="000000"/>
                <w:sz w:val="24"/>
              </w:rPr>
              <w:t>9</w:t>
            </w:r>
            <w:r>
              <w:rPr>
                <w:rFonts w:hint="eastAsia" w:ascii="宋体" w:hAnsi="宋体"/>
                <w:b/>
                <w:bCs/>
                <w:color w:val="000000"/>
                <w:sz w:val="24"/>
                <w:lang w:val="en-US" w:eastAsia="zh-CN"/>
              </w:rPr>
              <w:t>10000</w:t>
            </w:r>
            <w:r>
              <w:rPr>
                <w:rFonts w:hint="eastAsia" w:ascii="宋体" w:hAnsi="宋体"/>
                <w:b/>
                <w:bCs/>
                <w:color w:val="000000"/>
                <w:sz w:val="24"/>
              </w:rPr>
              <w:t>元</w:t>
            </w:r>
            <w:r>
              <w:rPr>
                <w:rFonts w:hint="eastAsia" w:ascii="宋体" w:hAnsi="宋体"/>
                <w:b/>
                <w:bCs/>
                <w:color w:val="000000"/>
                <w:sz w:val="24"/>
                <w:lang w:val="en-US" w:eastAsia="zh-CN"/>
              </w:rPr>
              <w:t>,其中1包377201元，2包218000元，3包122000元，4包192799元</w:t>
            </w:r>
            <w:r>
              <w:rPr>
                <w:rFonts w:hint="eastAsia" w:ascii="宋体" w:hAnsi="宋体"/>
                <w:b/>
                <w:bCs/>
                <w:color w:val="000000"/>
                <w:sz w:val="24"/>
              </w:rPr>
              <w:t>（最高限价：</w:t>
            </w:r>
            <w:r>
              <w:rPr>
                <w:rFonts w:ascii="宋体" w:hAnsi="宋体"/>
                <w:b/>
                <w:bCs/>
                <w:color w:val="000000"/>
                <w:sz w:val="24"/>
              </w:rPr>
              <w:t>9</w:t>
            </w:r>
            <w:r>
              <w:rPr>
                <w:rFonts w:hint="eastAsia" w:ascii="宋体" w:hAnsi="宋体"/>
                <w:b/>
                <w:bCs/>
                <w:color w:val="000000"/>
                <w:sz w:val="24"/>
                <w:lang w:val="en-US" w:eastAsia="zh-CN"/>
              </w:rPr>
              <w:t>10000</w:t>
            </w:r>
            <w:r>
              <w:rPr>
                <w:rFonts w:hint="eastAsia" w:ascii="宋体" w:hAnsi="宋体"/>
                <w:b/>
                <w:bCs/>
                <w:color w:val="000000"/>
                <w:sz w:val="24"/>
              </w:rPr>
              <w:t>元</w:t>
            </w:r>
            <w:r>
              <w:rPr>
                <w:rFonts w:hint="eastAsia" w:ascii="宋体" w:hAnsi="宋体"/>
                <w:b/>
                <w:bCs/>
                <w:color w:val="000000"/>
                <w:sz w:val="24"/>
                <w:lang w:val="en-US" w:eastAsia="zh-CN"/>
              </w:rPr>
              <w:t>,其中1包377201元，2包218000元，3包122000元，4包192799元</w:t>
            </w:r>
            <w:r>
              <w:rPr>
                <w:rFonts w:hint="eastAsia" w:ascii="宋体" w:hAnsi="宋体"/>
                <w:b/>
                <w:bCs/>
                <w:color w:val="000000"/>
                <w:sz w:val="24"/>
              </w:rPr>
              <w:t>）</w:t>
            </w:r>
          </w:p>
          <w:p>
            <w:pPr>
              <w:spacing w:line="400" w:lineRule="exact"/>
              <w:rPr>
                <w:rFonts w:ascii="宋体"/>
                <w:sz w:val="24"/>
                <w:u w:val="single"/>
              </w:rPr>
            </w:pPr>
            <w:r>
              <w:rPr>
                <w:rFonts w:hint="eastAsia" w:ascii="Arial" w:hAnsi="Arial" w:cs="Arial"/>
                <w:sz w:val="24"/>
              </w:rPr>
              <w:t>（谈判</w:t>
            </w:r>
            <w:r>
              <w:rPr>
                <w:rFonts w:hint="eastAsia" w:ascii="宋体" w:hAnsi="宋体"/>
                <w:sz w:val="24"/>
              </w:rPr>
              <w:t>首次</w:t>
            </w:r>
            <w:r>
              <w:rPr>
                <w:rFonts w:hint="eastAsia" w:ascii="宋体" w:hAnsi="宋体"/>
                <w:sz w:val="24"/>
                <w:szCs w:val="24"/>
              </w:rPr>
              <w:t>报价不能超过财政审核预算价</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dxa"/>
            <w:vAlign w:val="center"/>
          </w:tcPr>
          <w:p>
            <w:pPr>
              <w:spacing w:line="400" w:lineRule="exact"/>
              <w:jc w:val="center"/>
              <w:rPr>
                <w:rFonts w:ascii="宋体" w:hAnsi="宋体"/>
                <w:sz w:val="24"/>
              </w:rPr>
            </w:pPr>
            <w:r>
              <w:rPr>
                <w:rFonts w:ascii="宋体" w:hAnsi="宋体"/>
                <w:sz w:val="24"/>
              </w:rPr>
              <w:t>2</w:t>
            </w:r>
          </w:p>
        </w:tc>
        <w:tc>
          <w:tcPr>
            <w:tcW w:w="751" w:type="dxa"/>
            <w:vAlign w:val="center"/>
          </w:tcPr>
          <w:p>
            <w:pPr>
              <w:spacing w:line="400" w:lineRule="exact"/>
              <w:jc w:val="center"/>
              <w:rPr>
                <w:rFonts w:ascii="宋体" w:hAnsi="宋体"/>
                <w:sz w:val="24"/>
              </w:rPr>
            </w:pPr>
          </w:p>
        </w:tc>
        <w:tc>
          <w:tcPr>
            <w:tcW w:w="7518" w:type="dxa"/>
            <w:vAlign w:val="center"/>
          </w:tcPr>
          <w:p>
            <w:pPr>
              <w:spacing w:line="400" w:lineRule="exact"/>
              <w:rPr>
                <w:rFonts w:ascii="宋体"/>
                <w:sz w:val="24"/>
              </w:rPr>
            </w:pPr>
            <w:r>
              <w:rPr>
                <w:rFonts w:hint="eastAsia" w:ascii="宋体" w:hAnsi="宋体"/>
                <w:sz w:val="24"/>
              </w:rPr>
              <w:t>是否允许中国境外供应商参加本采购项目：</w:t>
            </w:r>
            <w:r>
              <w:rPr>
                <w:rFonts w:hint="eastAsia" w:ascii="宋体" w:hAnsi="宋体"/>
                <w:b/>
                <w:sz w:val="24"/>
              </w:rPr>
              <w:t>□</w:t>
            </w:r>
            <w:r>
              <w:rPr>
                <w:rFonts w:hint="eastAsia" w:ascii="宋体" w:hAnsi="宋体"/>
                <w:sz w:val="24"/>
              </w:rPr>
              <w:t>是</w:t>
            </w:r>
            <w:r>
              <w:rPr>
                <w:rFonts w:ascii="宋体" w:hAnsi="宋体"/>
                <w:sz w:val="24"/>
              </w:rPr>
              <w:t xml:space="preserve">/ </w:t>
            </w:r>
            <w:r>
              <w:rPr>
                <w:rFonts w:ascii="Arial" w:hAnsi="Arial" w:cs="Arial"/>
                <w:b/>
                <w:sz w:val="24"/>
              </w:rPr>
              <w:t>√</w:t>
            </w:r>
            <w:r>
              <w:rPr>
                <w:rFonts w:hint="eastAsia" w:ascii="宋体" w:hAnsi="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11" w:type="dxa"/>
            <w:vAlign w:val="center"/>
          </w:tcPr>
          <w:p>
            <w:pPr>
              <w:spacing w:line="400" w:lineRule="exact"/>
              <w:jc w:val="center"/>
              <w:rPr>
                <w:rFonts w:ascii="宋体" w:hAnsi="宋体"/>
                <w:sz w:val="24"/>
              </w:rPr>
            </w:pPr>
            <w:r>
              <w:rPr>
                <w:rFonts w:ascii="宋体" w:hAnsi="宋体"/>
                <w:sz w:val="24"/>
              </w:rPr>
              <w:t>3</w:t>
            </w:r>
          </w:p>
        </w:tc>
        <w:tc>
          <w:tcPr>
            <w:tcW w:w="751" w:type="dxa"/>
            <w:vAlign w:val="center"/>
          </w:tcPr>
          <w:p>
            <w:pPr>
              <w:spacing w:line="400" w:lineRule="exact"/>
              <w:jc w:val="center"/>
              <w:rPr>
                <w:rFonts w:ascii="宋体" w:hAnsi="宋体"/>
                <w:sz w:val="24"/>
              </w:rPr>
            </w:pPr>
            <w:r>
              <w:rPr>
                <w:rFonts w:ascii="宋体" w:hAnsi="宋体"/>
                <w:sz w:val="24"/>
              </w:rPr>
              <w:t>3</w:t>
            </w:r>
          </w:p>
        </w:tc>
        <w:tc>
          <w:tcPr>
            <w:tcW w:w="7518" w:type="dxa"/>
            <w:vAlign w:val="center"/>
          </w:tcPr>
          <w:p>
            <w:pPr>
              <w:spacing w:line="400" w:lineRule="exact"/>
              <w:rPr>
                <w:rFonts w:ascii="宋体"/>
                <w:sz w:val="24"/>
              </w:rPr>
            </w:pPr>
            <w:r>
              <w:rPr>
                <w:rFonts w:hint="eastAsia" w:ascii="宋体" w:hAnsi="宋体"/>
                <w:sz w:val="24"/>
              </w:rPr>
              <w:t>资格标准：</w:t>
            </w:r>
          </w:p>
          <w:p>
            <w:pPr>
              <w:spacing w:line="400" w:lineRule="exact"/>
              <w:rPr>
                <w:rFonts w:ascii="宋体"/>
                <w:sz w:val="24"/>
              </w:rPr>
            </w:pPr>
            <w:r>
              <w:rPr>
                <w:rFonts w:hint="eastAsia" w:ascii="宋体" w:hAnsi="宋体"/>
                <w:sz w:val="24"/>
              </w:rPr>
              <w:t>详见第三章《谈判响应供应商须知》第</w:t>
            </w:r>
            <w:r>
              <w:rPr>
                <w:rFonts w:ascii="宋体" w:hAnsi="宋体"/>
                <w:sz w:val="24"/>
              </w:rPr>
              <w:t>3</w:t>
            </w:r>
            <w:r>
              <w:rPr>
                <w:rFonts w:hint="eastAsia" w:ascii="宋体" w:hAnsi="宋体"/>
                <w:sz w:val="24"/>
              </w:rPr>
              <w:t>条，以及第三章《采购内容及要求》有关内容。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11" w:type="dxa"/>
            <w:vAlign w:val="center"/>
          </w:tcPr>
          <w:p>
            <w:pPr>
              <w:spacing w:line="400" w:lineRule="exact"/>
              <w:jc w:val="center"/>
              <w:rPr>
                <w:rFonts w:ascii="宋体" w:hAnsi="宋体"/>
                <w:sz w:val="24"/>
              </w:rPr>
            </w:pPr>
            <w:r>
              <w:rPr>
                <w:rFonts w:ascii="宋体" w:hAnsi="宋体"/>
                <w:sz w:val="24"/>
              </w:rPr>
              <w:t>4</w:t>
            </w:r>
          </w:p>
        </w:tc>
        <w:tc>
          <w:tcPr>
            <w:tcW w:w="751" w:type="dxa"/>
            <w:vAlign w:val="center"/>
          </w:tcPr>
          <w:p>
            <w:pPr>
              <w:spacing w:line="400" w:lineRule="exact"/>
              <w:rPr>
                <w:rFonts w:ascii="宋体"/>
                <w:sz w:val="24"/>
              </w:rPr>
            </w:pPr>
          </w:p>
        </w:tc>
        <w:tc>
          <w:tcPr>
            <w:tcW w:w="7518" w:type="dxa"/>
            <w:vAlign w:val="center"/>
          </w:tcPr>
          <w:p>
            <w:pPr>
              <w:spacing w:line="400" w:lineRule="exact"/>
              <w:rPr>
                <w:rFonts w:ascii="宋体" w:hAnsi="宋体"/>
                <w:sz w:val="24"/>
              </w:rPr>
            </w:pPr>
            <w:r>
              <w:rPr>
                <w:rFonts w:hint="eastAsia" w:ascii="宋体" w:hAnsi="宋体"/>
                <w:sz w:val="24"/>
              </w:rPr>
              <w:t>响应文件递交地址：</w:t>
            </w:r>
            <w:r>
              <w:rPr>
                <w:rFonts w:hint="eastAsia" w:ascii="宋体" w:hAnsi="宋体"/>
                <w:color w:val="000000"/>
                <w:sz w:val="24"/>
              </w:rPr>
              <w:t>铜仁市公共资源交易中心</w:t>
            </w:r>
            <w:r>
              <w:rPr>
                <w:rFonts w:ascii="宋体" w:hAnsi="宋体"/>
                <w:color w:val="000000"/>
                <w:sz w:val="24"/>
              </w:rPr>
              <w:t xml:space="preserve">  </w:t>
            </w:r>
            <w:r>
              <w:rPr>
                <w:rFonts w:ascii="宋体" w:hAnsi="宋体"/>
                <w:sz w:val="24"/>
              </w:rPr>
              <w:t xml:space="preserve">  </w:t>
            </w:r>
          </w:p>
          <w:p>
            <w:pPr>
              <w:spacing w:line="400" w:lineRule="exact"/>
              <w:rPr>
                <w:rFonts w:ascii="宋体"/>
                <w:sz w:val="24"/>
              </w:rPr>
            </w:pPr>
            <w:r>
              <w:rPr>
                <w:rFonts w:hint="eastAsia" w:ascii="宋体" w:hAnsi="宋体"/>
                <w:sz w:val="24"/>
              </w:rPr>
              <w:t>响应文件提交截止时间：详见谈判邀请。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11" w:type="dxa"/>
            <w:vAlign w:val="center"/>
          </w:tcPr>
          <w:p>
            <w:pPr>
              <w:spacing w:line="400" w:lineRule="exact"/>
              <w:jc w:val="center"/>
              <w:rPr>
                <w:rFonts w:ascii="宋体" w:hAnsi="宋体"/>
                <w:sz w:val="24"/>
              </w:rPr>
            </w:pPr>
            <w:r>
              <w:rPr>
                <w:rFonts w:ascii="宋体" w:hAnsi="宋体"/>
                <w:sz w:val="24"/>
              </w:rPr>
              <w:t>5</w:t>
            </w:r>
          </w:p>
        </w:tc>
        <w:tc>
          <w:tcPr>
            <w:tcW w:w="751" w:type="dxa"/>
            <w:vAlign w:val="center"/>
          </w:tcPr>
          <w:p>
            <w:pPr>
              <w:spacing w:line="400" w:lineRule="exact"/>
              <w:jc w:val="center"/>
              <w:rPr>
                <w:rFonts w:ascii="宋体" w:hAnsi="宋体"/>
                <w:sz w:val="24"/>
              </w:rPr>
            </w:pPr>
            <w:r>
              <w:rPr>
                <w:rFonts w:ascii="宋体" w:hAnsi="宋体"/>
                <w:sz w:val="24"/>
              </w:rPr>
              <w:t>12</w:t>
            </w:r>
          </w:p>
        </w:tc>
        <w:tc>
          <w:tcPr>
            <w:tcW w:w="7518" w:type="dxa"/>
            <w:vAlign w:val="center"/>
          </w:tcPr>
          <w:p>
            <w:pPr>
              <w:spacing w:line="400" w:lineRule="exact"/>
              <w:rPr>
                <w:rFonts w:ascii="Arial" w:cs="Arial"/>
                <w:sz w:val="24"/>
              </w:rPr>
            </w:pPr>
            <w:r>
              <w:rPr>
                <w:rFonts w:hint="eastAsia" w:ascii="Arial" w:cs="Arial"/>
                <w:sz w:val="24"/>
              </w:rPr>
              <w:t>谈判保证金：响应文件应附有人民币</w:t>
            </w:r>
            <w:r>
              <w:rPr>
                <w:rFonts w:hint="eastAsia" w:ascii="宋体" w:hAnsi="宋体" w:cs="宋体"/>
                <w:b/>
                <w:bCs/>
                <w:sz w:val="24"/>
                <w:u w:val="single"/>
                <w:lang w:eastAsia="zh-CN"/>
              </w:rPr>
              <w:t>每包各</w:t>
            </w:r>
            <w:r>
              <w:rPr>
                <w:rFonts w:hint="eastAsia" w:ascii="宋体" w:hAnsi="宋体" w:cs="宋体"/>
                <w:b/>
                <w:bCs/>
                <w:sz w:val="24"/>
                <w:u w:val="single"/>
                <w:lang w:val="en-US" w:eastAsia="zh-CN"/>
              </w:rPr>
              <w:t>2000</w:t>
            </w:r>
            <w:r>
              <w:rPr>
                <w:rFonts w:hint="eastAsia" w:ascii="宋体" w:hAnsi="宋体" w:cs="宋体"/>
                <w:b/>
                <w:bCs/>
                <w:sz w:val="24"/>
              </w:rPr>
              <w:t>元</w:t>
            </w:r>
            <w:r>
              <w:rPr>
                <w:rFonts w:hint="eastAsia" w:ascii="Arial" w:cs="Arial"/>
                <w:sz w:val="24"/>
              </w:rPr>
              <w:t>整的谈判保证金，</w:t>
            </w:r>
            <w:r>
              <w:rPr>
                <w:rFonts w:hint="eastAsia" w:ascii="Arial" w:hAnsi="Arial" w:cs="Arial"/>
                <w:sz w:val="24"/>
              </w:rPr>
              <w:t>保证金必须从供应商账户支付且在响应文件提交截止时间前到账，支票、汇票、本票、网上银行支付等非现金形式提交。</w:t>
            </w:r>
          </w:p>
          <w:p>
            <w:pPr>
              <w:spacing w:line="400" w:lineRule="exact"/>
              <w:rPr>
                <w:rFonts w:ascii="Arial" w:hAnsi="Arial" w:cs="Arial"/>
                <w:sz w:val="24"/>
              </w:rPr>
            </w:pPr>
            <w:r>
              <w:rPr>
                <w:rFonts w:hint="eastAsia" w:ascii="Arial" w:cs="Arial"/>
                <w:sz w:val="24"/>
              </w:rPr>
              <w:t>为方便谈判保证金的收、退结算，请在银行汇款凭证上标注项目随机码，谈判保证金缴交凭证请随同响应文件同时送达。</w:t>
            </w:r>
            <w:r>
              <w:rPr>
                <w:rFonts w:ascii="Arial" w:hAnsi="Arial" w:cs="Arial"/>
                <w:sz w:val="24"/>
              </w:rPr>
              <w:t xml:space="preserve"> </w:t>
            </w:r>
            <w:r>
              <w:rPr>
                <w:rFonts w:hint="eastAsia" w:ascii="Arial" w:hAnsi="Arial" w:cs="Arial"/>
                <w:sz w:val="24"/>
              </w:rPr>
              <w:t>（保证金不得超过采购项目预算金额的</w:t>
            </w:r>
            <w:r>
              <w:rPr>
                <w:rFonts w:ascii="Arial" w:hAnsi="Arial" w:cs="Arial"/>
                <w:sz w:val="24"/>
              </w:rPr>
              <w:t>2%</w:t>
            </w:r>
            <w:r>
              <w:rPr>
                <w:rFonts w:hint="eastAsia" w:ascii="Arial" w:hAnsi="Arial" w:cs="Arial"/>
                <w:sz w:val="24"/>
              </w:rPr>
              <w:t>）</w:t>
            </w:r>
            <w:r>
              <w:rPr>
                <w:rFonts w:ascii="Arial" w:hAnsi="Arial" w:cs="Arial"/>
                <w:sz w:val="24"/>
              </w:rPr>
              <w:t xml:space="preserve">        </w:t>
            </w:r>
          </w:p>
          <w:p>
            <w:pPr>
              <w:spacing w:line="400" w:lineRule="exact"/>
              <w:rPr>
                <w:rFonts w:ascii="宋体" w:hAnsi="宋体"/>
                <w:sz w:val="24"/>
              </w:rPr>
            </w:pPr>
            <w:r>
              <w:rPr>
                <w:rFonts w:hint="eastAsia" w:ascii="Arial" w:cs="Arial"/>
                <w:sz w:val="24"/>
              </w:rPr>
              <w:t>注：谈判保证金必须在提交响应文件截止时间前到帐，否则视为无效响应。</w:t>
            </w:r>
            <w:r>
              <w:rPr>
                <w:rFonts w:ascii="宋体" w:hAnsi="宋体"/>
                <w:sz w:val="24"/>
                <w:szCs w:val="28"/>
              </w:rPr>
              <w:t xml:space="preserve">       </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511" w:type="dxa"/>
            <w:vAlign w:val="center"/>
          </w:tcPr>
          <w:p>
            <w:pPr>
              <w:spacing w:line="400" w:lineRule="exact"/>
              <w:jc w:val="center"/>
              <w:rPr>
                <w:rFonts w:ascii="宋体" w:hAnsi="宋体"/>
                <w:sz w:val="24"/>
              </w:rPr>
            </w:pPr>
            <w:r>
              <w:rPr>
                <w:rFonts w:ascii="宋体" w:hAnsi="宋体"/>
                <w:sz w:val="24"/>
              </w:rPr>
              <w:t>6</w:t>
            </w:r>
          </w:p>
        </w:tc>
        <w:tc>
          <w:tcPr>
            <w:tcW w:w="751" w:type="dxa"/>
            <w:vAlign w:val="center"/>
          </w:tcPr>
          <w:p>
            <w:pPr>
              <w:spacing w:line="400" w:lineRule="exact"/>
              <w:jc w:val="center"/>
              <w:rPr>
                <w:rFonts w:ascii="宋体" w:hAnsi="宋体"/>
                <w:sz w:val="24"/>
              </w:rPr>
            </w:pPr>
          </w:p>
        </w:tc>
        <w:tc>
          <w:tcPr>
            <w:tcW w:w="7518" w:type="dxa"/>
          </w:tcPr>
          <w:p>
            <w:pPr>
              <w:spacing w:line="400" w:lineRule="exact"/>
              <w:rPr>
                <w:rFonts w:ascii="宋体"/>
                <w:sz w:val="24"/>
                <w:u w:val="single"/>
              </w:rPr>
            </w:pPr>
            <w:r>
              <w:rPr>
                <w:rFonts w:hint="eastAsia" w:ascii="宋体" w:hAnsi="宋体"/>
                <w:sz w:val="24"/>
                <w:u w:val="single"/>
              </w:rPr>
              <w:t>谈判规则、评审标准：最低评标价法</w:t>
            </w:r>
          </w:p>
          <w:p>
            <w:pPr>
              <w:spacing w:line="400" w:lineRule="exact"/>
              <w:rPr>
                <w:rFonts w:ascii="宋体"/>
                <w:sz w:val="24"/>
                <w:u w:val="single"/>
              </w:rPr>
            </w:pPr>
            <w:r>
              <w:rPr>
                <w:rFonts w:hint="eastAsia" w:ascii="宋体" w:hAnsi="宋体"/>
                <w:sz w:val="24"/>
                <w:u w:val="single"/>
              </w:rPr>
              <w:t>详见《谈判供应商须知前附表</w:t>
            </w:r>
            <w:r>
              <w:rPr>
                <w:rFonts w:ascii="宋体" w:hAnsi="宋体"/>
                <w:sz w:val="24"/>
                <w:u w:val="single"/>
              </w:rPr>
              <w:t>3</w:t>
            </w:r>
            <w:r>
              <w:rPr>
                <w:rFonts w:hint="eastAsia" w:ascii="宋体" w:hAnsi="宋体"/>
                <w:sz w:val="24"/>
                <w:u w:val="single"/>
              </w:rPr>
              <w:t>》；</w:t>
            </w:r>
          </w:p>
          <w:p>
            <w:pPr>
              <w:spacing w:line="400" w:lineRule="exact"/>
              <w:rPr>
                <w:rFonts w:ascii="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511" w:type="dxa"/>
            <w:vAlign w:val="center"/>
          </w:tcPr>
          <w:p>
            <w:pPr>
              <w:spacing w:line="400" w:lineRule="exact"/>
              <w:jc w:val="center"/>
              <w:rPr>
                <w:rFonts w:ascii="宋体" w:hAnsi="宋体"/>
                <w:sz w:val="24"/>
              </w:rPr>
            </w:pPr>
            <w:r>
              <w:rPr>
                <w:rFonts w:ascii="宋体" w:hAnsi="宋体"/>
                <w:sz w:val="24"/>
              </w:rPr>
              <w:t>7</w:t>
            </w:r>
          </w:p>
        </w:tc>
        <w:tc>
          <w:tcPr>
            <w:tcW w:w="751" w:type="dxa"/>
            <w:vAlign w:val="center"/>
          </w:tcPr>
          <w:p>
            <w:pPr>
              <w:spacing w:line="400" w:lineRule="exact"/>
              <w:jc w:val="center"/>
              <w:rPr>
                <w:rFonts w:ascii="宋体" w:hAnsi="宋体"/>
                <w:sz w:val="24"/>
              </w:rPr>
            </w:pPr>
            <w:r>
              <w:rPr>
                <w:rFonts w:ascii="宋体" w:hAnsi="宋体"/>
                <w:sz w:val="24"/>
              </w:rPr>
              <w:t>22.4</w:t>
            </w:r>
          </w:p>
        </w:tc>
        <w:tc>
          <w:tcPr>
            <w:tcW w:w="7518" w:type="dxa"/>
            <w:vAlign w:val="center"/>
          </w:tcPr>
          <w:p>
            <w:pPr>
              <w:spacing w:line="400" w:lineRule="exact"/>
              <w:rPr>
                <w:rFonts w:ascii="宋体"/>
                <w:sz w:val="24"/>
              </w:rPr>
            </w:pPr>
            <w:r>
              <w:rPr>
                <w:rFonts w:hint="eastAsia" w:ascii="宋体" w:hAnsi="宋体"/>
                <w:sz w:val="24"/>
              </w:rPr>
              <w:t>谈判代理服务费标准及收取方式：</w:t>
            </w:r>
            <w:r>
              <w:rPr>
                <w:rFonts w:ascii="宋体" w:hAnsi="宋体"/>
                <w:sz w:val="24"/>
                <w:u w:val="single"/>
              </w:rPr>
              <w:t xml:space="preserve">     </w:t>
            </w:r>
            <w:r>
              <w:rPr>
                <w:rFonts w:hint="eastAsia" w:ascii="宋体" w:hAnsi="宋体"/>
                <w:sz w:val="24"/>
                <w:u w:val="single"/>
              </w:rPr>
              <w:t>无</w:t>
            </w:r>
            <w:r>
              <w:rPr>
                <w:rFonts w:ascii="宋体" w:hAnsi="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511" w:type="dxa"/>
            <w:vAlign w:val="center"/>
          </w:tcPr>
          <w:p>
            <w:pPr>
              <w:spacing w:line="400" w:lineRule="exact"/>
              <w:jc w:val="center"/>
              <w:rPr>
                <w:rFonts w:ascii="宋体"/>
                <w:sz w:val="24"/>
              </w:rPr>
            </w:pPr>
          </w:p>
        </w:tc>
        <w:tc>
          <w:tcPr>
            <w:tcW w:w="751" w:type="dxa"/>
            <w:vAlign w:val="center"/>
          </w:tcPr>
          <w:p>
            <w:pPr>
              <w:spacing w:line="400" w:lineRule="exact"/>
              <w:jc w:val="center"/>
              <w:rPr>
                <w:rFonts w:ascii="宋体"/>
                <w:sz w:val="24"/>
              </w:rPr>
            </w:pPr>
          </w:p>
        </w:tc>
        <w:tc>
          <w:tcPr>
            <w:tcW w:w="7518" w:type="dxa"/>
            <w:vAlign w:val="center"/>
          </w:tcPr>
          <w:p>
            <w:pPr>
              <w:spacing w:line="400" w:lineRule="exact"/>
              <w:rPr>
                <w:rFonts w:ascii="宋体"/>
                <w:sz w:val="24"/>
              </w:rPr>
            </w:pPr>
            <w:r>
              <w:rPr>
                <w:rFonts w:hint="eastAsia" w:ascii="仿宋_GB2312" w:hAnsi="仿宋_GB2312" w:eastAsia="仿宋_GB2312" w:cs="仿宋_GB2312"/>
                <w:b/>
                <w:bCs/>
                <w:sz w:val="24"/>
                <w:szCs w:val="24"/>
              </w:rPr>
              <w:t>招标代理服务费：本中心不收取服务费</w:t>
            </w:r>
          </w:p>
        </w:tc>
      </w:tr>
    </w:tbl>
    <w:p>
      <w:pPr>
        <w:spacing w:line="400" w:lineRule="exact"/>
        <w:jc w:val="center"/>
        <w:rPr>
          <w:rFonts w:ascii="宋体"/>
          <w:b/>
          <w:bCs/>
          <w:sz w:val="32"/>
          <w:u w:val="single"/>
        </w:rPr>
      </w:pPr>
      <w:r>
        <w:rPr>
          <w:rFonts w:ascii="宋体"/>
          <w:b/>
          <w:bCs/>
          <w:sz w:val="24"/>
        </w:rPr>
        <w:br w:type="page"/>
      </w:r>
      <w:r>
        <w:rPr>
          <w:rFonts w:hint="eastAsia" w:ascii="宋体" w:hAnsi="宋体"/>
          <w:b/>
          <w:bCs/>
          <w:sz w:val="24"/>
          <w:u w:val="single"/>
        </w:rPr>
        <w:t>谈判供应商须知前附表</w:t>
      </w:r>
      <w:r>
        <w:rPr>
          <w:rFonts w:ascii="宋体" w:hAnsi="宋体"/>
          <w:b/>
          <w:bCs/>
          <w:sz w:val="24"/>
          <w:u w:val="single"/>
        </w:rPr>
        <w:t>2:</w:t>
      </w:r>
      <w:r>
        <w:rPr>
          <w:rFonts w:hint="eastAsia" w:ascii="宋体" w:hAnsi="宋体"/>
          <w:b/>
          <w:bCs/>
          <w:sz w:val="24"/>
          <w:u w:val="single"/>
        </w:rPr>
        <w:t>资格性、符合性检查表</w:t>
      </w:r>
    </w:p>
    <w:p>
      <w:pPr>
        <w:spacing w:line="400" w:lineRule="exact"/>
        <w:ind w:firstLine="495"/>
        <w:rPr>
          <w:rFonts w:ascii="宋体"/>
          <w:sz w:val="24"/>
        </w:rPr>
      </w:pPr>
      <w:r>
        <w:rPr>
          <w:rFonts w:hint="eastAsia" w:ascii="宋体" w:hAnsi="宋体"/>
          <w:sz w:val="24"/>
        </w:rPr>
        <w:t>本须知前附表</w:t>
      </w:r>
      <w:r>
        <w:rPr>
          <w:rFonts w:ascii="宋体" w:hAnsi="宋体"/>
          <w:sz w:val="24"/>
        </w:rPr>
        <w:t>2</w:t>
      </w:r>
      <w:r>
        <w:rPr>
          <w:rFonts w:hint="eastAsia" w:ascii="宋体" w:hAnsi="宋体"/>
          <w:sz w:val="24"/>
        </w:rPr>
        <w:t>集中列示了资格性、符合性检查的所有条款，其内容是谈判小组判断谈判供应商的报价是否有效的重要依据。</w:t>
      </w:r>
    </w:p>
    <w:tbl>
      <w:tblPr>
        <w:tblStyle w:val="1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328"/>
        <w:gridCol w:w="551"/>
        <w:gridCol w:w="7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Pr>
          <w:p>
            <w:pPr>
              <w:spacing w:line="400" w:lineRule="exact"/>
              <w:rPr>
                <w:rFonts w:ascii="宋体"/>
                <w:b/>
                <w:sz w:val="24"/>
              </w:rPr>
            </w:pPr>
          </w:p>
          <w:p>
            <w:pPr>
              <w:spacing w:line="400" w:lineRule="exact"/>
              <w:jc w:val="center"/>
              <w:rPr>
                <w:rFonts w:ascii="宋体"/>
                <w:b/>
                <w:sz w:val="24"/>
              </w:rPr>
            </w:pPr>
            <w:r>
              <w:rPr>
                <w:rFonts w:hint="eastAsia" w:ascii="宋体" w:hAnsi="宋体"/>
                <w:b/>
                <w:sz w:val="24"/>
              </w:rPr>
              <w:t>资格性要求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Align w:val="center"/>
          </w:tcPr>
          <w:p>
            <w:pPr>
              <w:spacing w:line="400" w:lineRule="exact"/>
              <w:jc w:val="center"/>
              <w:rPr>
                <w:rFonts w:ascii="宋体"/>
                <w:sz w:val="24"/>
              </w:rPr>
            </w:pPr>
            <w:r>
              <w:rPr>
                <w:rFonts w:hint="eastAsia" w:ascii="宋体" w:hAnsi="宋体"/>
                <w:sz w:val="24"/>
              </w:rPr>
              <w:t>项号</w:t>
            </w:r>
          </w:p>
        </w:tc>
        <w:tc>
          <w:tcPr>
            <w:tcW w:w="328" w:type="dxa"/>
            <w:vAlign w:val="center"/>
          </w:tcPr>
          <w:p>
            <w:pPr>
              <w:spacing w:line="400" w:lineRule="exact"/>
              <w:jc w:val="center"/>
              <w:rPr>
                <w:rFonts w:ascii="宋体"/>
                <w:sz w:val="24"/>
              </w:rPr>
            </w:pPr>
            <w:r>
              <w:rPr>
                <w:rFonts w:hint="eastAsia" w:ascii="宋体" w:hAnsi="宋体"/>
                <w:sz w:val="24"/>
              </w:rPr>
              <w:t>章</w:t>
            </w:r>
          </w:p>
        </w:tc>
        <w:tc>
          <w:tcPr>
            <w:tcW w:w="551" w:type="dxa"/>
            <w:vAlign w:val="center"/>
          </w:tcPr>
          <w:p>
            <w:pPr>
              <w:spacing w:line="400" w:lineRule="exact"/>
              <w:jc w:val="center"/>
              <w:rPr>
                <w:rFonts w:ascii="宋体"/>
                <w:sz w:val="24"/>
              </w:rPr>
            </w:pPr>
            <w:r>
              <w:rPr>
                <w:rFonts w:hint="eastAsia" w:ascii="宋体" w:hAnsi="宋体"/>
                <w:sz w:val="24"/>
              </w:rPr>
              <w:t>条款号</w:t>
            </w:r>
          </w:p>
        </w:tc>
        <w:tc>
          <w:tcPr>
            <w:tcW w:w="7035" w:type="dxa"/>
            <w:vAlign w:val="center"/>
          </w:tcPr>
          <w:p>
            <w:pPr>
              <w:spacing w:line="400" w:lineRule="exact"/>
              <w:jc w:val="center"/>
              <w:rPr>
                <w:rFonts w:ascii="宋体"/>
                <w:sz w:val="24"/>
              </w:rPr>
            </w:pPr>
            <w:r>
              <w:rPr>
                <w:rFonts w:hint="eastAsia" w:ascii="宋体" w:hAnsi="宋体"/>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pPr>
              <w:spacing w:line="400" w:lineRule="exact"/>
              <w:jc w:val="center"/>
              <w:rPr>
                <w:rFonts w:ascii="宋体" w:hAnsi="宋体"/>
                <w:sz w:val="24"/>
              </w:rPr>
            </w:pPr>
            <w:r>
              <w:rPr>
                <w:rFonts w:ascii="宋体" w:hAnsi="宋体"/>
                <w:sz w:val="24"/>
              </w:rPr>
              <w:t>1</w:t>
            </w:r>
          </w:p>
        </w:tc>
        <w:tc>
          <w:tcPr>
            <w:tcW w:w="328" w:type="dxa"/>
          </w:tcPr>
          <w:p>
            <w:pPr>
              <w:spacing w:line="400" w:lineRule="exact"/>
              <w:jc w:val="center"/>
              <w:rPr>
                <w:rFonts w:ascii="宋体"/>
                <w:sz w:val="24"/>
              </w:rPr>
            </w:pPr>
            <w:r>
              <w:rPr>
                <w:rFonts w:hint="eastAsia" w:ascii="宋体" w:hAnsi="宋体"/>
                <w:sz w:val="24"/>
              </w:rPr>
              <w:t>二</w:t>
            </w:r>
          </w:p>
        </w:tc>
        <w:tc>
          <w:tcPr>
            <w:tcW w:w="551" w:type="dxa"/>
            <w:vAlign w:val="center"/>
          </w:tcPr>
          <w:p>
            <w:pPr>
              <w:spacing w:line="400" w:lineRule="exact"/>
              <w:jc w:val="center"/>
              <w:rPr>
                <w:rFonts w:ascii="宋体" w:hAnsi="宋体"/>
                <w:sz w:val="24"/>
              </w:rPr>
            </w:pPr>
            <w:r>
              <w:rPr>
                <w:rFonts w:ascii="宋体" w:hAnsi="宋体"/>
                <w:sz w:val="24"/>
              </w:rPr>
              <w:t>3</w:t>
            </w:r>
          </w:p>
        </w:tc>
        <w:tc>
          <w:tcPr>
            <w:tcW w:w="7035" w:type="dxa"/>
          </w:tcPr>
          <w:p>
            <w:pPr>
              <w:spacing w:line="400" w:lineRule="exact"/>
              <w:rPr>
                <w:rFonts w:ascii="宋体"/>
                <w:sz w:val="24"/>
              </w:rPr>
            </w:pPr>
            <w:r>
              <w:rPr>
                <w:rFonts w:hint="eastAsia" w:ascii="宋体" w:hAnsi="宋体"/>
                <w:sz w:val="24"/>
              </w:rPr>
              <w:t>合格的谈判供应商</w:t>
            </w:r>
          </w:p>
          <w:p>
            <w:pPr>
              <w:spacing w:line="400" w:lineRule="exact"/>
              <w:rPr>
                <w:rFonts w:ascii="宋体"/>
                <w:sz w:val="24"/>
              </w:rPr>
            </w:pPr>
            <w:r>
              <w:rPr>
                <w:rFonts w:hint="eastAsia" w:ascii="宋体" w:hAnsi="宋体"/>
                <w:sz w:val="24"/>
              </w:rPr>
              <w:t>具体内容详见第三章第</w:t>
            </w:r>
            <w:r>
              <w:rPr>
                <w:rFonts w:ascii="宋体" w:hAnsi="宋体"/>
                <w:sz w:val="24"/>
              </w:rPr>
              <w:t>3</w:t>
            </w:r>
            <w:r>
              <w:rPr>
                <w:rFonts w:hint="eastAsia" w:ascii="宋体" w:hAnsi="宋体"/>
                <w:sz w:val="24"/>
              </w:rPr>
              <w:t>条“合格的谈判供应商”。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4" w:type="dxa"/>
          </w:tcPr>
          <w:p>
            <w:pPr>
              <w:spacing w:line="400" w:lineRule="exact"/>
              <w:jc w:val="center"/>
              <w:rPr>
                <w:rFonts w:ascii="宋体" w:hAnsi="宋体"/>
                <w:sz w:val="24"/>
              </w:rPr>
            </w:pPr>
            <w:r>
              <w:rPr>
                <w:rFonts w:ascii="宋体" w:hAnsi="宋体"/>
                <w:sz w:val="24"/>
              </w:rPr>
              <w:t>2</w:t>
            </w:r>
          </w:p>
        </w:tc>
        <w:tc>
          <w:tcPr>
            <w:tcW w:w="328" w:type="dxa"/>
          </w:tcPr>
          <w:p>
            <w:pPr>
              <w:spacing w:line="400" w:lineRule="exact"/>
              <w:jc w:val="center"/>
              <w:rPr>
                <w:rFonts w:ascii="宋体" w:hAnsi="宋体"/>
                <w:sz w:val="24"/>
              </w:rPr>
            </w:pPr>
          </w:p>
        </w:tc>
        <w:tc>
          <w:tcPr>
            <w:tcW w:w="551" w:type="dxa"/>
            <w:vAlign w:val="center"/>
          </w:tcPr>
          <w:p>
            <w:pPr>
              <w:spacing w:line="400" w:lineRule="exact"/>
              <w:jc w:val="center"/>
              <w:rPr>
                <w:rFonts w:ascii="宋体" w:hAnsi="宋体"/>
                <w:sz w:val="24"/>
              </w:rPr>
            </w:pPr>
          </w:p>
        </w:tc>
        <w:tc>
          <w:tcPr>
            <w:tcW w:w="7035" w:type="dxa"/>
          </w:tcPr>
          <w:p>
            <w:pPr>
              <w:spacing w:line="400" w:lineRule="exact"/>
              <w:rPr>
                <w:rFonts w:ascii="宋体"/>
                <w:sz w:val="24"/>
              </w:rPr>
            </w:pPr>
            <w:r>
              <w:rPr>
                <w:rFonts w:hint="eastAsia" w:ascii="宋体" w:hAnsi="宋体"/>
                <w:sz w:val="24"/>
              </w:rPr>
              <w:t>谈判代表若不是法定代表人，则必须提供法定代表人对谈判代表的授权书原件及谈判代表的身份证复印件（正反面均需复印）。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pPr>
              <w:spacing w:line="400" w:lineRule="exact"/>
              <w:jc w:val="center"/>
              <w:rPr>
                <w:rFonts w:ascii="宋体" w:hAnsi="宋体"/>
                <w:sz w:val="24"/>
              </w:rPr>
            </w:pPr>
            <w:r>
              <w:rPr>
                <w:rFonts w:ascii="宋体" w:hAnsi="宋体"/>
                <w:sz w:val="24"/>
              </w:rPr>
              <w:t>3</w:t>
            </w:r>
          </w:p>
        </w:tc>
        <w:tc>
          <w:tcPr>
            <w:tcW w:w="328" w:type="dxa"/>
          </w:tcPr>
          <w:p>
            <w:pPr>
              <w:spacing w:line="400" w:lineRule="exact"/>
              <w:jc w:val="center"/>
              <w:rPr>
                <w:rFonts w:ascii="宋体"/>
                <w:sz w:val="24"/>
              </w:rPr>
            </w:pPr>
            <w:r>
              <w:rPr>
                <w:rFonts w:hint="eastAsia" w:ascii="宋体" w:hAnsi="宋体"/>
                <w:sz w:val="24"/>
              </w:rPr>
              <w:t>二</w:t>
            </w:r>
          </w:p>
        </w:tc>
        <w:tc>
          <w:tcPr>
            <w:tcW w:w="551" w:type="dxa"/>
            <w:vAlign w:val="center"/>
          </w:tcPr>
          <w:p>
            <w:pPr>
              <w:spacing w:line="400" w:lineRule="exact"/>
              <w:jc w:val="center"/>
              <w:rPr>
                <w:rFonts w:ascii="宋体" w:hAnsi="宋体"/>
                <w:sz w:val="24"/>
              </w:rPr>
            </w:pPr>
            <w:r>
              <w:rPr>
                <w:rFonts w:ascii="宋体" w:hAnsi="宋体"/>
                <w:sz w:val="24"/>
              </w:rPr>
              <w:t>3.1</w:t>
            </w:r>
          </w:p>
        </w:tc>
        <w:tc>
          <w:tcPr>
            <w:tcW w:w="7035" w:type="dxa"/>
          </w:tcPr>
          <w:p>
            <w:pPr>
              <w:pStyle w:val="35"/>
              <w:spacing w:line="400" w:lineRule="exact"/>
              <w:ind w:firstLine="31680"/>
              <w:rPr>
                <w:color w:val="FF0000"/>
              </w:rPr>
            </w:pPr>
            <w:r>
              <w:rPr>
                <w:rFonts w:hint="eastAsia"/>
                <w:color w:val="FF0000"/>
              </w:rPr>
              <w:t>参加政府采购活动的谈判供应商应当符合《中华人民共和国政府采购法》第二十二条规定：</w:t>
            </w:r>
          </w:p>
          <w:p>
            <w:pPr>
              <w:spacing w:line="400" w:lineRule="exact"/>
              <w:ind w:firstLine="480" w:firstLineChars="200"/>
              <w:rPr>
                <w:rFonts w:ascii="宋体" w:cs="宋体"/>
                <w:color w:val="FF0000"/>
                <w:sz w:val="24"/>
                <w:szCs w:val="24"/>
              </w:rPr>
            </w:pPr>
            <w:r>
              <w:rPr>
                <w:rFonts w:hint="eastAsia" w:ascii="宋体" w:hAnsi="宋体" w:cs="宋体"/>
                <w:color w:val="FF0000"/>
                <w:sz w:val="24"/>
                <w:szCs w:val="24"/>
              </w:rPr>
              <w:t>（一）具有独立承担民事责任的能力；</w:t>
            </w:r>
          </w:p>
          <w:p>
            <w:pPr>
              <w:spacing w:line="400" w:lineRule="exact"/>
              <w:ind w:firstLine="480" w:firstLineChars="200"/>
              <w:rPr>
                <w:rFonts w:ascii="宋体" w:cs="宋体"/>
                <w:color w:val="FF0000"/>
                <w:sz w:val="24"/>
                <w:szCs w:val="24"/>
              </w:rPr>
            </w:pPr>
            <w:r>
              <w:rPr>
                <w:rFonts w:hint="eastAsia" w:ascii="宋体" w:hAnsi="宋体" w:cs="宋体"/>
                <w:color w:val="FF0000"/>
                <w:sz w:val="24"/>
                <w:szCs w:val="24"/>
              </w:rPr>
              <w:t>（二）具有良好的商业信誉和健全的财务会计制度；</w:t>
            </w:r>
          </w:p>
          <w:p>
            <w:pPr>
              <w:spacing w:line="400" w:lineRule="exact"/>
              <w:ind w:firstLine="480" w:firstLineChars="200"/>
              <w:rPr>
                <w:rFonts w:ascii="宋体" w:cs="宋体"/>
                <w:color w:val="FF0000"/>
                <w:sz w:val="24"/>
                <w:szCs w:val="24"/>
              </w:rPr>
            </w:pPr>
            <w:r>
              <w:rPr>
                <w:rFonts w:hint="eastAsia" w:ascii="宋体" w:hAnsi="宋体" w:cs="宋体"/>
                <w:color w:val="FF0000"/>
                <w:sz w:val="24"/>
                <w:szCs w:val="24"/>
              </w:rPr>
              <w:t>（三）具有履行合同所必需的设备和专业技术能力；</w:t>
            </w:r>
          </w:p>
          <w:p>
            <w:pPr>
              <w:spacing w:line="400" w:lineRule="exact"/>
              <w:ind w:firstLine="480" w:firstLineChars="200"/>
              <w:rPr>
                <w:rFonts w:ascii="宋体" w:cs="宋体"/>
                <w:color w:val="FF0000"/>
                <w:sz w:val="24"/>
                <w:szCs w:val="24"/>
              </w:rPr>
            </w:pPr>
            <w:r>
              <w:rPr>
                <w:rFonts w:hint="eastAsia" w:ascii="宋体" w:hAnsi="宋体" w:cs="宋体"/>
                <w:color w:val="FF0000"/>
                <w:sz w:val="24"/>
                <w:szCs w:val="24"/>
              </w:rPr>
              <w:t>（四）有依法缴纳税收和社会保障资金的良好记录；</w:t>
            </w:r>
          </w:p>
          <w:p>
            <w:pPr>
              <w:spacing w:line="400" w:lineRule="exact"/>
              <w:ind w:firstLine="480" w:firstLineChars="200"/>
              <w:rPr>
                <w:rFonts w:ascii="宋体" w:cs="宋体"/>
                <w:color w:val="FF0000"/>
                <w:sz w:val="24"/>
                <w:szCs w:val="24"/>
              </w:rPr>
            </w:pPr>
            <w:r>
              <w:rPr>
                <w:rFonts w:hint="eastAsia" w:ascii="宋体" w:hAnsi="宋体" w:cs="宋体"/>
                <w:color w:val="FF0000"/>
                <w:sz w:val="24"/>
                <w:szCs w:val="24"/>
              </w:rPr>
              <w:t>（五）参加政府采购活动前三年内，在经营活动中没有重大违法记录；</w:t>
            </w:r>
          </w:p>
          <w:p>
            <w:pPr>
              <w:spacing w:line="400" w:lineRule="exact"/>
              <w:ind w:firstLine="480" w:firstLineChars="200"/>
              <w:rPr>
                <w:rFonts w:ascii="宋体" w:cs="宋体"/>
                <w:color w:val="FF0000"/>
                <w:sz w:val="24"/>
                <w:szCs w:val="24"/>
              </w:rPr>
            </w:pPr>
            <w:r>
              <w:rPr>
                <w:rFonts w:hint="eastAsia" w:ascii="宋体" w:hAnsi="宋体" w:cs="宋体"/>
                <w:color w:val="FF0000"/>
                <w:sz w:val="24"/>
                <w:szCs w:val="24"/>
              </w:rPr>
              <w:t>（六）法律、行政法规规定的其他条件。</w:t>
            </w:r>
          </w:p>
          <w:p>
            <w:pPr>
              <w:spacing w:line="400" w:lineRule="exact"/>
              <w:ind w:firstLine="480" w:firstLineChars="200"/>
              <w:rPr>
                <w:rFonts w:ascii="宋体" w:cs="宋体"/>
                <w:sz w:val="24"/>
                <w:szCs w:val="24"/>
              </w:rPr>
            </w:pPr>
            <w:r>
              <w:rPr>
                <w:rFonts w:hint="eastAsia" w:ascii="宋体" w:hAnsi="宋体" w:cs="宋体"/>
                <w:sz w:val="24"/>
                <w:szCs w:val="24"/>
              </w:rPr>
              <w:t>采购人可以根据采购项目的特殊要求，规定供应商的特定条件，但不得以不合理的条件对供应商实行差别待遇或者歧视待遇。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14" w:type="dxa"/>
          </w:tcPr>
          <w:p>
            <w:pPr>
              <w:spacing w:line="400" w:lineRule="exact"/>
              <w:jc w:val="center"/>
              <w:rPr>
                <w:rFonts w:ascii="宋体"/>
                <w:sz w:val="24"/>
              </w:rPr>
            </w:pPr>
            <w:r>
              <w:rPr>
                <w:rFonts w:hint="eastAsia" w:ascii="宋体" w:hAnsi="宋体"/>
                <w:sz w:val="24"/>
              </w:rPr>
              <w:t>…</w:t>
            </w:r>
          </w:p>
        </w:tc>
        <w:tc>
          <w:tcPr>
            <w:tcW w:w="328" w:type="dxa"/>
          </w:tcPr>
          <w:p>
            <w:pPr>
              <w:spacing w:line="400" w:lineRule="exact"/>
              <w:jc w:val="center"/>
              <w:rPr>
                <w:rFonts w:ascii="宋体"/>
                <w:sz w:val="24"/>
              </w:rPr>
            </w:pPr>
            <w:r>
              <w:rPr>
                <w:rFonts w:hint="eastAsia" w:ascii="宋体" w:hAnsi="宋体"/>
                <w:sz w:val="24"/>
              </w:rPr>
              <w:t>…</w:t>
            </w:r>
          </w:p>
        </w:tc>
        <w:tc>
          <w:tcPr>
            <w:tcW w:w="551" w:type="dxa"/>
          </w:tcPr>
          <w:p>
            <w:pPr>
              <w:spacing w:line="400" w:lineRule="exact"/>
              <w:jc w:val="center"/>
              <w:rPr>
                <w:rFonts w:ascii="宋体"/>
                <w:sz w:val="24"/>
              </w:rPr>
            </w:pPr>
            <w:r>
              <w:rPr>
                <w:rFonts w:hint="eastAsia" w:ascii="宋体" w:hAnsi="宋体"/>
                <w:sz w:val="24"/>
              </w:rPr>
              <w:t>…</w:t>
            </w:r>
          </w:p>
        </w:tc>
        <w:tc>
          <w:tcPr>
            <w:tcW w:w="7035" w:type="dxa"/>
          </w:tcPr>
          <w:p>
            <w:pPr>
              <w:pStyle w:val="15"/>
              <w:shd w:val="clear" w:color="auto" w:fill="FFFFFF"/>
              <w:spacing w:before="0" w:beforeAutospacing="0" w:after="0" w:afterAutospacing="0" w:line="400" w:lineRule="exact"/>
              <w:ind w:firstLine="468" w:firstLineChars="195"/>
              <w:rPr>
                <w:b/>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528" w:type="dxa"/>
            <w:gridSpan w:val="4"/>
          </w:tcPr>
          <w:p>
            <w:pPr>
              <w:spacing w:line="400" w:lineRule="exact"/>
              <w:rPr>
                <w:rFonts w:ascii="宋体"/>
                <w:b/>
                <w:sz w:val="24"/>
              </w:rPr>
            </w:pPr>
          </w:p>
          <w:p>
            <w:pPr>
              <w:spacing w:line="400" w:lineRule="exact"/>
              <w:rPr>
                <w:rFonts w:ascii="宋体"/>
                <w:b/>
                <w:sz w:val="24"/>
              </w:rPr>
            </w:pPr>
          </w:p>
          <w:p>
            <w:pPr>
              <w:spacing w:line="400" w:lineRule="exact"/>
              <w:jc w:val="center"/>
              <w:rPr>
                <w:rFonts w:ascii="宋体"/>
                <w:b/>
                <w:sz w:val="24"/>
              </w:rPr>
            </w:pPr>
            <w:r>
              <w:rPr>
                <w:rFonts w:hint="eastAsia" w:ascii="宋体" w:hAnsi="宋体"/>
                <w:b/>
                <w:sz w:val="24"/>
              </w:rPr>
              <w:t>符合性要求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14" w:type="dxa"/>
            <w:vAlign w:val="center"/>
          </w:tcPr>
          <w:p>
            <w:pPr>
              <w:spacing w:line="400" w:lineRule="exact"/>
              <w:jc w:val="center"/>
              <w:rPr>
                <w:rFonts w:ascii="宋体"/>
                <w:sz w:val="24"/>
              </w:rPr>
            </w:pPr>
            <w:r>
              <w:rPr>
                <w:rFonts w:hint="eastAsia" w:ascii="宋体" w:hAnsi="宋体"/>
                <w:sz w:val="24"/>
              </w:rPr>
              <w:t>项号</w:t>
            </w:r>
          </w:p>
        </w:tc>
        <w:tc>
          <w:tcPr>
            <w:tcW w:w="328" w:type="dxa"/>
            <w:vAlign w:val="center"/>
          </w:tcPr>
          <w:p>
            <w:pPr>
              <w:spacing w:line="400" w:lineRule="exact"/>
              <w:jc w:val="center"/>
              <w:rPr>
                <w:rFonts w:ascii="宋体"/>
                <w:sz w:val="24"/>
              </w:rPr>
            </w:pPr>
            <w:r>
              <w:rPr>
                <w:rFonts w:hint="eastAsia" w:ascii="宋体" w:hAnsi="宋体"/>
                <w:sz w:val="24"/>
              </w:rPr>
              <w:t>章</w:t>
            </w:r>
          </w:p>
        </w:tc>
        <w:tc>
          <w:tcPr>
            <w:tcW w:w="551" w:type="dxa"/>
            <w:vAlign w:val="center"/>
          </w:tcPr>
          <w:p>
            <w:pPr>
              <w:spacing w:line="400" w:lineRule="exact"/>
              <w:jc w:val="center"/>
              <w:rPr>
                <w:rFonts w:ascii="宋体"/>
                <w:sz w:val="24"/>
              </w:rPr>
            </w:pPr>
            <w:r>
              <w:rPr>
                <w:rFonts w:hint="eastAsia" w:ascii="宋体" w:hAnsi="宋体"/>
                <w:sz w:val="24"/>
              </w:rPr>
              <w:t>条款号</w:t>
            </w:r>
          </w:p>
        </w:tc>
        <w:tc>
          <w:tcPr>
            <w:tcW w:w="7035" w:type="dxa"/>
            <w:vAlign w:val="center"/>
          </w:tcPr>
          <w:p>
            <w:pPr>
              <w:spacing w:line="400" w:lineRule="exact"/>
              <w:jc w:val="center"/>
              <w:rPr>
                <w:rFonts w:ascii="宋体"/>
                <w:sz w:val="24"/>
              </w:rPr>
            </w:pPr>
            <w:r>
              <w:rPr>
                <w:rFonts w:hint="eastAsia" w:ascii="宋体" w:hAnsi="宋体"/>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Align w:val="center"/>
          </w:tcPr>
          <w:p>
            <w:pPr>
              <w:spacing w:line="400" w:lineRule="exact"/>
              <w:jc w:val="center"/>
              <w:rPr>
                <w:rFonts w:ascii="宋体" w:hAnsi="宋体"/>
                <w:sz w:val="24"/>
              </w:rPr>
            </w:pPr>
            <w:r>
              <w:rPr>
                <w:rFonts w:ascii="宋体" w:hAnsi="宋体"/>
                <w:sz w:val="24"/>
              </w:rPr>
              <w:t>1</w:t>
            </w:r>
          </w:p>
        </w:tc>
        <w:tc>
          <w:tcPr>
            <w:tcW w:w="328" w:type="dxa"/>
            <w:vAlign w:val="center"/>
          </w:tcPr>
          <w:p>
            <w:pPr>
              <w:spacing w:line="400" w:lineRule="exact"/>
              <w:jc w:val="center"/>
              <w:rPr>
                <w:rFonts w:ascii="宋体"/>
                <w:sz w:val="24"/>
              </w:rPr>
            </w:pPr>
            <w:r>
              <w:rPr>
                <w:rFonts w:hint="eastAsia" w:ascii="宋体" w:hAnsi="宋体"/>
                <w:sz w:val="24"/>
              </w:rPr>
              <w:t>一</w:t>
            </w:r>
          </w:p>
        </w:tc>
        <w:tc>
          <w:tcPr>
            <w:tcW w:w="551" w:type="dxa"/>
            <w:vAlign w:val="center"/>
          </w:tcPr>
          <w:p>
            <w:pPr>
              <w:spacing w:line="400" w:lineRule="exact"/>
              <w:jc w:val="center"/>
              <w:rPr>
                <w:rFonts w:ascii="宋体" w:hAnsi="宋体"/>
                <w:sz w:val="24"/>
              </w:rPr>
            </w:pPr>
            <w:r>
              <w:rPr>
                <w:rFonts w:ascii="宋体" w:hAnsi="宋体"/>
                <w:sz w:val="24"/>
              </w:rPr>
              <w:t>5</w:t>
            </w:r>
          </w:p>
        </w:tc>
        <w:tc>
          <w:tcPr>
            <w:tcW w:w="7035" w:type="dxa"/>
          </w:tcPr>
          <w:p>
            <w:pPr>
              <w:spacing w:line="400" w:lineRule="exact"/>
              <w:rPr>
                <w:rFonts w:ascii="宋体"/>
                <w:sz w:val="24"/>
                <w:szCs w:val="18"/>
              </w:rPr>
            </w:pPr>
            <w:r>
              <w:rPr>
                <w:rFonts w:hint="eastAsia" w:ascii="宋体" w:hAnsi="宋体"/>
                <w:sz w:val="24"/>
                <w:szCs w:val="18"/>
              </w:rPr>
              <w:t>谈判供应商的响应文件未按规定的响应截止时间之前提交的，其响应将被拒绝。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14" w:type="dxa"/>
            <w:vAlign w:val="center"/>
          </w:tcPr>
          <w:p>
            <w:pPr>
              <w:spacing w:line="400" w:lineRule="exact"/>
              <w:jc w:val="center"/>
              <w:rPr>
                <w:rFonts w:ascii="宋体" w:hAnsi="宋体"/>
                <w:sz w:val="24"/>
              </w:rPr>
            </w:pPr>
            <w:r>
              <w:rPr>
                <w:rFonts w:ascii="宋体" w:hAnsi="宋体"/>
                <w:sz w:val="24"/>
              </w:rPr>
              <w:t>2</w:t>
            </w:r>
          </w:p>
        </w:tc>
        <w:tc>
          <w:tcPr>
            <w:tcW w:w="328" w:type="dxa"/>
            <w:vAlign w:val="center"/>
          </w:tcPr>
          <w:p>
            <w:pPr>
              <w:spacing w:line="400" w:lineRule="exact"/>
              <w:jc w:val="center"/>
              <w:rPr>
                <w:rFonts w:ascii="宋体"/>
                <w:sz w:val="24"/>
              </w:rPr>
            </w:pPr>
            <w:r>
              <w:rPr>
                <w:rFonts w:hint="eastAsia" w:ascii="宋体" w:hAnsi="宋体"/>
                <w:sz w:val="24"/>
              </w:rPr>
              <w:t>二</w:t>
            </w:r>
          </w:p>
        </w:tc>
        <w:tc>
          <w:tcPr>
            <w:tcW w:w="551" w:type="dxa"/>
            <w:vAlign w:val="center"/>
          </w:tcPr>
          <w:p>
            <w:pPr>
              <w:spacing w:line="400" w:lineRule="exact"/>
              <w:jc w:val="center"/>
              <w:rPr>
                <w:rFonts w:ascii="宋体" w:hAnsi="宋体"/>
                <w:sz w:val="24"/>
              </w:rPr>
            </w:pPr>
            <w:r>
              <w:rPr>
                <w:rFonts w:ascii="宋体" w:hAnsi="宋体"/>
                <w:sz w:val="24"/>
              </w:rPr>
              <w:t>3.8</w:t>
            </w:r>
          </w:p>
        </w:tc>
        <w:tc>
          <w:tcPr>
            <w:tcW w:w="7035" w:type="dxa"/>
          </w:tcPr>
          <w:p>
            <w:pPr>
              <w:spacing w:line="400" w:lineRule="exact"/>
              <w:ind w:firstLine="480" w:firstLineChars="200"/>
              <w:rPr>
                <w:rFonts w:ascii="宋体"/>
                <w:sz w:val="24"/>
                <w:szCs w:val="24"/>
              </w:rPr>
            </w:pPr>
            <w:r>
              <w:rPr>
                <w:rFonts w:hint="eastAsia" w:ascii="宋体" w:hAnsi="宋体"/>
                <w:sz w:val="24"/>
                <w:szCs w:val="24"/>
              </w:rPr>
              <w:t>谈判响应供应商存在下列情形之一的，将被认定为串通响应行为并作无效响应处理：</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1</w:t>
            </w:r>
            <w:r>
              <w:rPr>
                <w:rFonts w:hint="eastAsia" w:ascii="宋体" w:hAnsi="宋体"/>
                <w:color w:val="000000"/>
                <w:sz w:val="24"/>
                <w:szCs w:val="24"/>
              </w:rPr>
              <w:t>）谈判响应供应商之间协商谈判报价等谈判文件的实质性内容；</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）谈判响应供应商之间约定成交供应商；</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3</w:t>
            </w:r>
            <w:r>
              <w:rPr>
                <w:rFonts w:hint="eastAsia" w:ascii="宋体" w:hAnsi="宋体"/>
                <w:color w:val="000000"/>
                <w:sz w:val="24"/>
                <w:szCs w:val="24"/>
              </w:rPr>
              <w:t>）谈判响应供应商之间约定部分谈判响应供应商放弃谈判响应或者成交；</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4</w:t>
            </w:r>
            <w:r>
              <w:rPr>
                <w:rFonts w:hint="eastAsia" w:ascii="宋体" w:hAnsi="宋体"/>
                <w:color w:val="000000"/>
                <w:sz w:val="24"/>
                <w:szCs w:val="24"/>
              </w:rPr>
              <w:t>）属于同一集团、协会、商会等组织成员的谈判响应供应商按照该组织要求协同谈判响应；</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5</w:t>
            </w:r>
            <w:r>
              <w:rPr>
                <w:rFonts w:hint="eastAsia" w:ascii="宋体" w:hAnsi="宋体"/>
                <w:color w:val="000000"/>
                <w:sz w:val="24"/>
                <w:szCs w:val="24"/>
              </w:rPr>
              <w:t>）谈判响应供应商之间为谋取成交或者排斥特定谈判响应供应商而采取的其他联合行动；</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6</w:t>
            </w:r>
            <w:r>
              <w:rPr>
                <w:rFonts w:hint="eastAsia" w:ascii="宋体" w:hAnsi="宋体"/>
                <w:color w:val="000000"/>
                <w:sz w:val="24"/>
                <w:szCs w:val="24"/>
              </w:rPr>
              <w:t>）不同谈判响应供应商的响应文件由同一单位或者个人编制；</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7</w:t>
            </w:r>
            <w:r>
              <w:rPr>
                <w:rFonts w:hint="eastAsia" w:ascii="宋体" w:hAnsi="宋体"/>
                <w:color w:val="000000"/>
                <w:sz w:val="24"/>
                <w:szCs w:val="24"/>
              </w:rPr>
              <w:t>）不同谈判响应供应商委托同一单位或者个人办理谈判响应事宜；</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8</w:t>
            </w:r>
            <w:r>
              <w:rPr>
                <w:rFonts w:hint="eastAsia" w:ascii="宋体" w:hAnsi="宋体"/>
                <w:color w:val="000000"/>
                <w:sz w:val="24"/>
                <w:szCs w:val="24"/>
              </w:rPr>
              <w:t>）不同谈判响应供应商的响应文件载明的项目管理成员为同一人；</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9</w:t>
            </w:r>
            <w:r>
              <w:rPr>
                <w:rFonts w:hint="eastAsia" w:ascii="宋体" w:hAnsi="宋体"/>
                <w:color w:val="000000"/>
                <w:sz w:val="24"/>
                <w:szCs w:val="24"/>
              </w:rPr>
              <w:t>）不同谈判响应供应商的响应文件异常一致或者报价呈规律性差异；</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10</w:t>
            </w:r>
            <w:r>
              <w:rPr>
                <w:rFonts w:hint="eastAsia" w:ascii="宋体" w:hAnsi="宋体"/>
                <w:color w:val="000000"/>
                <w:sz w:val="24"/>
                <w:szCs w:val="24"/>
              </w:rPr>
              <w:t>）不同谈判响应供应商的响应文件相互混装；</w:t>
            </w:r>
          </w:p>
          <w:p>
            <w:pPr>
              <w:spacing w:line="400" w:lineRule="exact"/>
              <w:ind w:firstLine="480" w:firstLineChars="200"/>
              <w:rPr>
                <w:rFonts w:ascii="宋体"/>
                <w:sz w:val="24"/>
                <w:szCs w:val="24"/>
              </w:rPr>
            </w:pPr>
            <w:r>
              <w:rPr>
                <w:rFonts w:hint="eastAsia" w:ascii="宋体" w:hAnsi="宋体"/>
                <w:color w:val="000000"/>
                <w:sz w:val="24"/>
                <w:szCs w:val="24"/>
              </w:rPr>
              <w:t>（</w:t>
            </w:r>
            <w:r>
              <w:rPr>
                <w:rFonts w:ascii="宋体" w:hAnsi="宋体"/>
                <w:color w:val="000000"/>
                <w:sz w:val="24"/>
                <w:szCs w:val="24"/>
              </w:rPr>
              <w:t>11</w:t>
            </w:r>
            <w:r>
              <w:rPr>
                <w:rFonts w:hint="eastAsia" w:ascii="宋体" w:hAnsi="宋体"/>
                <w:color w:val="000000"/>
                <w:sz w:val="24"/>
                <w:szCs w:val="24"/>
              </w:rPr>
              <w:t>）不同谈判响应供应商的谈判保证金从同一单位或者个人的账户转出。</w:t>
            </w:r>
          </w:p>
          <w:p>
            <w:pPr>
              <w:spacing w:line="40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12</w:t>
            </w:r>
            <w:r>
              <w:rPr>
                <w:rFonts w:hint="eastAsia" w:ascii="宋体" w:hAnsi="宋体"/>
                <w:sz w:val="24"/>
                <w:szCs w:val="24"/>
              </w:rPr>
              <w:t>）不同谈判响应供应商的响应文件错、漏之处一致或雷同，且不能合理解释的；</w:t>
            </w:r>
          </w:p>
          <w:p>
            <w:pPr>
              <w:spacing w:line="40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13</w:t>
            </w:r>
            <w:r>
              <w:rPr>
                <w:rFonts w:hint="eastAsia" w:ascii="宋体" w:hAnsi="宋体"/>
                <w:sz w:val="24"/>
                <w:szCs w:val="24"/>
              </w:rPr>
              <w:t>）不同的谈判响应供应商的法定代表人、委托代理人等由同一个单位缴纳社会保险的；</w:t>
            </w:r>
          </w:p>
          <w:p>
            <w:pPr>
              <w:spacing w:line="40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14</w:t>
            </w:r>
            <w:r>
              <w:rPr>
                <w:rFonts w:hint="eastAsia" w:ascii="宋体" w:hAnsi="宋体"/>
                <w:sz w:val="24"/>
                <w:szCs w:val="24"/>
              </w:rPr>
              <w:t>）由同一人或分别由几个有利害关系的人携带两个以上（含两个）谈判响应供应商的企业资料参与资格审查、领取采购资料，或代表两个以上（含两个）谈判响应供应商参加项目答疑会、交纳或退还谈判保证金、参加谈判的；</w:t>
            </w:r>
          </w:p>
          <w:p>
            <w:pPr>
              <w:spacing w:line="400" w:lineRule="exact"/>
              <w:ind w:firstLine="480" w:firstLineChars="200"/>
              <w:rPr>
                <w:rFonts w:ascii="宋体"/>
                <w:sz w:val="24"/>
                <w:szCs w:val="24"/>
              </w:rPr>
            </w:pPr>
            <w:r>
              <w:rPr>
                <w:rFonts w:hint="eastAsia" w:hAnsi="宋体"/>
                <w:sz w:val="24"/>
                <w:szCs w:val="24"/>
              </w:rPr>
              <w:t>（</w:t>
            </w:r>
            <w:r>
              <w:rPr>
                <w:rFonts w:hAnsi="宋体"/>
                <w:sz w:val="24"/>
                <w:szCs w:val="24"/>
              </w:rPr>
              <w:t>15</w:t>
            </w:r>
            <w:r>
              <w:rPr>
                <w:rFonts w:hint="eastAsia" w:hAnsi="宋体"/>
                <w:sz w:val="24"/>
                <w:szCs w:val="24"/>
              </w:rPr>
              <w:t>）有关法律、法规或规章规定的其他串通行为。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614" w:type="dxa"/>
            <w:vAlign w:val="center"/>
          </w:tcPr>
          <w:p>
            <w:pPr>
              <w:spacing w:line="400" w:lineRule="exact"/>
              <w:jc w:val="center"/>
              <w:rPr>
                <w:rFonts w:ascii="宋体" w:hAnsi="宋体"/>
                <w:sz w:val="24"/>
              </w:rPr>
            </w:pPr>
            <w:r>
              <w:rPr>
                <w:rFonts w:ascii="宋体" w:hAnsi="宋体"/>
                <w:sz w:val="24"/>
              </w:rPr>
              <w:t>3</w:t>
            </w:r>
          </w:p>
        </w:tc>
        <w:tc>
          <w:tcPr>
            <w:tcW w:w="328" w:type="dxa"/>
            <w:vAlign w:val="center"/>
          </w:tcPr>
          <w:p>
            <w:pPr>
              <w:spacing w:line="400" w:lineRule="exact"/>
              <w:jc w:val="center"/>
              <w:rPr>
                <w:rFonts w:ascii="宋体"/>
                <w:sz w:val="24"/>
              </w:rPr>
            </w:pPr>
            <w:r>
              <w:rPr>
                <w:rFonts w:hint="eastAsia" w:ascii="宋体" w:hAnsi="宋体"/>
                <w:sz w:val="24"/>
              </w:rPr>
              <w:t>二</w:t>
            </w:r>
          </w:p>
        </w:tc>
        <w:tc>
          <w:tcPr>
            <w:tcW w:w="551" w:type="dxa"/>
            <w:vAlign w:val="center"/>
          </w:tcPr>
          <w:p>
            <w:pPr>
              <w:spacing w:line="400" w:lineRule="exact"/>
              <w:jc w:val="center"/>
              <w:rPr>
                <w:rFonts w:ascii="宋体" w:hAnsi="宋体"/>
                <w:sz w:val="24"/>
              </w:rPr>
            </w:pPr>
            <w:r>
              <w:rPr>
                <w:rFonts w:ascii="宋体" w:hAnsi="宋体"/>
                <w:sz w:val="24"/>
              </w:rPr>
              <w:t>11.1</w:t>
            </w:r>
          </w:p>
        </w:tc>
        <w:tc>
          <w:tcPr>
            <w:tcW w:w="7035" w:type="dxa"/>
          </w:tcPr>
          <w:p>
            <w:pPr>
              <w:spacing w:line="400" w:lineRule="exact"/>
              <w:ind w:firstLine="480" w:firstLineChars="200"/>
              <w:rPr>
                <w:rFonts w:ascii="宋体"/>
                <w:sz w:val="24"/>
              </w:rPr>
            </w:pPr>
            <w:r>
              <w:rPr>
                <w:rFonts w:hint="eastAsia" w:ascii="宋体" w:hAnsi="宋体"/>
                <w:sz w:val="24"/>
              </w:rPr>
              <w:t>响应文件有效期：</w:t>
            </w:r>
          </w:p>
          <w:p>
            <w:pPr>
              <w:spacing w:line="400" w:lineRule="exact"/>
              <w:ind w:firstLine="480" w:firstLineChars="200"/>
              <w:rPr>
                <w:rFonts w:ascii="宋体"/>
                <w:sz w:val="24"/>
              </w:rPr>
            </w:pPr>
            <w:r>
              <w:rPr>
                <w:rFonts w:hint="eastAsia" w:ascii="宋体" w:hAnsi="宋体"/>
                <w:sz w:val="24"/>
              </w:rPr>
              <w:t>响应文件提交截止之日起</w:t>
            </w:r>
            <w:r>
              <w:rPr>
                <w:rFonts w:ascii="宋体" w:hAnsi="宋体"/>
                <w:sz w:val="24"/>
                <w:u w:val="single"/>
              </w:rPr>
              <w:t xml:space="preserve"> 90</w:t>
            </w:r>
            <w:r>
              <w:rPr>
                <w:rFonts w:hint="eastAsia" w:ascii="宋体" w:hAnsi="宋体"/>
                <w:sz w:val="24"/>
              </w:rPr>
              <w:t>个日历日。</w:t>
            </w:r>
          </w:p>
          <w:p>
            <w:pPr>
              <w:spacing w:line="400" w:lineRule="exact"/>
              <w:ind w:firstLine="480" w:firstLineChars="200"/>
              <w:rPr>
                <w:rFonts w:ascii="宋体"/>
                <w:sz w:val="24"/>
              </w:rPr>
            </w:pPr>
            <w:r>
              <w:rPr>
                <w:rFonts w:hint="eastAsia" w:ascii="宋体" w:hAnsi="宋体"/>
                <w:sz w:val="24"/>
              </w:rPr>
              <w:t>有效期不足将导致其响应文件被拒绝。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Align w:val="center"/>
          </w:tcPr>
          <w:p>
            <w:pPr>
              <w:spacing w:line="400" w:lineRule="exact"/>
              <w:jc w:val="center"/>
              <w:rPr>
                <w:rFonts w:ascii="宋体" w:hAnsi="宋体"/>
                <w:sz w:val="24"/>
              </w:rPr>
            </w:pPr>
            <w:r>
              <w:rPr>
                <w:rFonts w:ascii="宋体" w:hAnsi="宋体"/>
                <w:sz w:val="24"/>
              </w:rPr>
              <w:t>4</w:t>
            </w:r>
          </w:p>
        </w:tc>
        <w:tc>
          <w:tcPr>
            <w:tcW w:w="328" w:type="dxa"/>
            <w:vAlign w:val="center"/>
          </w:tcPr>
          <w:p>
            <w:pPr>
              <w:spacing w:line="400" w:lineRule="exact"/>
              <w:jc w:val="center"/>
              <w:rPr>
                <w:rFonts w:ascii="宋体"/>
                <w:sz w:val="24"/>
              </w:rPr>
            </w:pPr>
            <w:r>
              <w:rPr>
                <w:rFonts w:hint="eastAsia" w:ascii="宋体" w:hAnsi="宋体"/>
                <w:sz w:val="24"/>
              </w:rPr>
              <w:t>二</w:t>
            </w:r>
          </w:p>
        </w:tc>
        <w:tc>
          <w:tcPr>
            <w:tcW w:w="551" w:type="dxa"/>
            <w:vAlign w:val="center"/>
          </w:tcPr>
          <w:p>
            <w:pPr>
              <w:spacing w:line="400" w:lineRule="exact"/>
              <w:jc w:val="center"/>
              <w:rPr>
                <w:rFonts w:ascii="宋体" w:hAnsi="宋体"/>
                <w:sz w:val="24"/>
              </w:rPr>
            </w:pPr>
            <w:r>
              <w:rPr>
                <w:rFonts w:ascii="宋体" w:hAnsi="宋体"/>
                <w:sz w:val="24"/>
              </w:rPr>
              <w:t>12.5</w:t>
            </w:r>
          </w:p>
        </w:tc>
        <w:tc>
          <w:tcPr>
            <w:tcW w:w="7035" w:type="dxa"/>
          </w:tcPr>
          <w:p>
            <w:pPr>
              <w:spacing w:line="400" w:lineRule="exact"/>
              <w:rPr>
                <w:rFonts w:hAnsi="宋体"/>
                <w:sz w:val="24"/>
              </w:rPr>
            </w:pPr>
            <w:r>
              <w:rPr>
                <w:rFonts w:hint="eastAsia" w:hAnsi="宋体"/>
                <w:sz w:val="24"/>
              </w:rPr>
              <w:t>未按规定提交谈判保证金，</w:t>
            </w:r>
            <w:r>
              <w:rPr>
                <w:rFonts w:hint="eastAsia" w:ascii="Arial" w:hAnsi="Arial" w:cs="Arial"/>
                <w:sz w:val="24"/>
              </w:rPr>
              <w:t>将被视为未响应谈判文件要求，取消其谈判资格。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Align w:val="center"/>
          </w:tcPr>
          <w:p>
            <w:pPr>
              <w:spacing w:line="400" w:lineRule="exact"/>
              <w:jc w:val="center"/>
              <w:rPr>
                <w:rFonts w:ascii="宋体" w:hAnsi="宋体"/>
                <w:sz w:val="24"/>
              </w:rPr>
            </w:pPr>
            <w:r>
              <w:rPr>
                <w:rFonts w:ascii="宋体" w:hAnsi="宋体"/>
                <w:sz w:val="24"/>
              </w:rPr>
              <w:t>5</w:t>
            </w:r>
          </w:p>
        </w:tc>
        <w:tc>
          <w:tcPr>
            <w:tcW w:w="328" w:type="dxa"/>
            <w:vAlign w:val="center"/>
          </w:tcPr>
          <w:p>
            <w:pPr>
              <w:spacing w:line="400" w:lineRule="exact"/>
              <w:jc w:val="center"/>
              <w:rPr>
                <w:rFonts w:ascii="宋体"/>
                <w:sz w:val="24"/>
              </w:rPr>
            </w:pPr>
            <w:r>
              <w:rPr>
                <w:rFonts w:hint="eastAsia" w:ascii="宋体" w:hAnsi="宋体"/>
                <w:sz w:val="24"/>
              </w:rPr>
              <w:t>二</w:t>
            </w:r>
          </w:p>
        </w:tc>
        <w:tc>
          <w:tcPr>
            <w:tcW w:w="551" w:type="dxa"/>
            <w:vAlign w:val="center"/>
          </w:tcPr>
          <w:p>
            <w:pPr>
              <w:spacing w:line="400" w:lineRule="exact"/>
              <w:jc w:val="center"/>
              <w:rPr>
                <w:rFonts w:ascii="宋体" w:hAnsi="宋体"/>
                <w:sz w:val="24"/>
              </w:rPr>
            </w:pPr>
            <w:r>
              <w:rPr>
                <w:rFonts w:ascii="宋体" w:hAnsi="宋体"/>
                <w:sz w:val="24"/>
              </w:rPr>
              <w:t>17.3.2</w:t>
            </w:r>
          </w:p>
        </w:tc>
        <w:tc>
          <w:tcPr>
            <w:tcW w:w="7035" w:type="dxa"/>
          </w:tcPr>
          <w:p>
            <w:pPr>
              <w:spacing w:line="400" w:lineRule="exact"/>
              <w:rPr>
                <w:rFonts w:hAnsi="宋体"/>
                <w:sz w:val="24"/>
              </w:rPr>
            </w:pPr>
            <w:r>
              <w:rPr>
                <w:rFonts w:hint="eastAsia" w:ascii="Arial" w:hAnsi="Arial" w:cs="Arial"/>
                <w:sz w:val="24"/>
                <w:szCs w:val="24"/>
              </w:rPr>
              <w:t>实质性偏离是指：（</w:t>
            </w:r>
            <w:r>
              <w:rPr>
                <w:rFonts w:ascii="Arial" w:hAnsi="Arial" w:cs="Arial"/>
                <w:sz w:val="24"/>
                <w:szCs w:val="24"/>
              </w:rPr>
              <w:t>1</w:t>
            </w:r>
            <w:r>
              <w:rPr>
                <w:rFonts w:hint="eastAsia" w:ascii="Arial" w:hAnsi="Arial" w:cs="Arial"/>
                <w:sz w:val="24"/>
                <w:szCs w:val="24"/>
              </w:rPr>
              <w:t>）实质性影响合同的范围、质量和履行；（</w:t>
            </w:r>
            <w:r>
              <w:rPr>
                <w:rFonts w:ascii="Arial" w:hAnsi="Arial" w:cs="Arial"/>
                <w:sz w:val="24"/>
                <w:szCs w:val="24"/>
              </w:rPr>
              <w:t>2</w:t>
            </w:r>
            <w:r>
              <w:rPr>
                <w:rFonts w:hint="eastAsia" w:ascii="Arial" w:hAnsi="Arial" w:cs="Arial"/>
                <w:sz w:val="24"/>
                <w:szCs w:val="24"/>
              </w:rPr>
              <w:t>）实质性违背谈判文件，限制了采购人的权利和成交供应商合同项下的义务；（</w:t>
            </w:r>
            <w:r>
              <w:rPr>
                <w:rFonts w:ascii="Arial" w:hAnsi="Arial" w:cs="Arial"/>
                <w:sz w:val="24"/>
                <w:szCs w:val="24"/>
              </w:rPr>
              <w:t>3</w:t>
            </w:r>
            <w:r>
              <w:rPr>
                <w:rFonts w:hint="eastAsia" w:ascii="Arial" w:hAnsi="Arial" w:cs="Arial"/>
                <w:sz w:val="24"/>
                <w:szCs w:val="24"/>
              </w:rPr>
              <w:t>）不公正地影响了其他作出实质性响应的谈判供应商的竞争地位。对没有实质性响应的谈判文件将不进行评审，其报价将被拒绝。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Align w:val="center"/>
          </w:tcPr>
          <w:p>
            <w:pPr>
              <w:spacing w:line="400" w:lineRule="exact"/>
              <w:jc w:val="center"/>
              <w:rPr>
                <w:rFonts w:ascii="宋体" w:hAnsi="宋体"/>
                <w:sz w:val="24"/>
              </w:rPr>
            </w:pPr>
            <w:r>
              <w:rPr>
                <w:rFonts w:ascii="宋体" w:hAnsi="宋体"/>
                <w:sz w:val="24"/>
              </w:rPr>
              <w:t>6</w:t>
            </w:r>
          </w:p>
        </w:tc>
        <w:tc>
          <w:tcPr>
            <w:tcW w:w="328" w:type="dxa"/>
            <w:vAlign w:val="center"/>
          </w:tcPr>
          <w:p>
            <w:pPr>
              <w:spacing w:line="400" w:lineRule="exact"/>
              <w:jc w:val="center"/>
              <w:rPr>
                <w:rFonts w:ascii="宋体"/>
                <w:sz w:val="24"/>
              </w:rPr>
            </w:pPr>
            <w:r>
              <w:rPr>
                <w:rFonts w:hint="eastAsia" w:ascii="宋体" w:hAnsi="宋体"/>
                <w:sz w:val="24"/>
              </w:rPr>
              <w:t>二</w:t>
            </w:r>
          </w:p>
        </w:tc>
        <w:tc>
          <w:tcPr>
            <w:tcW w:w="551" w:type="dxa"/>
            <w:vAlign w:val="center"/>
          </w:tcPr>
          <w:p>
            <w:pPr>
              <w:spacing w:line="400" w:lineRule="exact"/>
              <w:jc w:val="center"/>
              <w:rPr>
                <w:rFonts w:ascii="宋体" w:hAnsi="宋体"/>
                <w:sz w:val="24"/>
              </w:rPr>
            </w:pPr>
            <w:r>
              <w:rPr>
                <w:rFonts w:ascii="宋体" w:hAnsi="宋体"/>
                <w:sz w:val="24"/>
              </w:rPr>
              <w:t>17.3.2</w:t>
            </w:r>
          </w:p>
        </w:tc>
        <w:tc>
          <w:tcPr>
            <w:tcW w:w="7035" w:type="dxa"/>
          </w:tcPr>
          <w:p>
            <w:pPr>
              <w:spacing w:line="400" w:lineRule="exact"/>
              <w:ind w:left="31" w:leftChars="15" w:firstLine="480" w:firstLineChars="200"/>
              <w:rPr>
                <w:rFonts w:ascii="宋体"/>
                <w:sz w:val="24"/>
              </w:rPr>
            </w:pPr>
            <w:r>
              <w:rPr>
                <w:rFonts w:hint="eastAsia" w:ascii="宋体" w:hAnsi="宋体"/>
                <w:sz w:val="24"/>
              </w:rPr>
              <w:t>凡有下列情况之一者，响应文件也将被视为未实质性响应谈判文件要求：</w:t>
            </w:r>
          </w:p>
          <w:p>
            <w:pPr>
              <w:spacing w:line="400" w:lineRule="exact"/>
              <w:ind w:left="69" w:firstLine="480" w:firstLineChars="200"/>
              <w:rPr>
                <w:rFonts w:ascii="宋体"/>
                <w:sz w:val="24"/>
              </w:rPr>
            </w:pPr>
            <w:r>
              <w:rPr>
                <w:rFonts w:ascii="宋体" w:hAnsi="宋体"/>
                <w:sz w:val="24"/>
              </w:rPr>
              <w:t>(1)</w:t>
            </w:r>
            <w:r>
              <w:rPr>
                <w:rFonts w:hint="eastAsia" w:ascii="宋体" w:hAnsi="宋体"/>
                <w:sz w:val="24"/>
              </w:rPr>
              <w:t>响应文件未按照本须知规定进行密封、标记的；</w:t>
            </w:r>
          </w:p>
          <w:p>
            <w:pPr>
              <w:spacing w:line="400" w:lineRule="exact"/>
              <w:ind w:left="69" w:firstLine="480" w:firstLineChars="200"/>
              <w:rPr>
                <w:rFonts w:ascii="宋体"/>
                <w:sz w:val="24"/>
              </w:rPr>
            </w:pPr>
            <w:r>
              <w:rPr>
                <w:rFonts w:ascii="宋体" w:hAnsi="宋体"/>
                <w:sz w:val="24"/>
              </w:rPr>
              <w:t>(2)</w:t>
            </w:r>
            <w:r>
              <w:rPr>
                <w:rFonts w:hint="eastAsia" w:ascii="宋体" w:hAnsi="宋体"/>
                <w:sz w:val="24"/>
              </w:rPr>
              <w:t>未按规定由谈判响应供应商的法定代表人或其授权代表签字；或未加盖公章的；或授权代表未提供法定代表人有效授权委托书的；</w:t>
            </w:r>
          </w:p>
          <w:p>
            <w:pPr>
              <w:spacing w:line="400" w:lineRule="exact"/>
              <w:ind w:left="69" w:firstLine="480" w:firstLineChars="200"/>
              <w:rPr>
                <w:rFonts w:ascii="宋体"/>
                <w:sz w:val="24"/>
              </w:rPr>
            </w:pPr>
            <w:r>
              <w:rPr>
                <w:rFonts w:ascii="宋体" w:hAnsi="宋体"/>
                <w:sz w:val="24"/>
              </w:rPr>
              <w:t>(3)</w:t>
            </w:r>
            <w:r>
              <w:rPr>
                <w:rFonts w:hint="eastAsia" w:ascii="宋体" w:hAnsi="宋体"/>
                <w:sz w:val="24"/>
              </w:rPr>
              <w:t>谈判保证金未在谈判响应截止时间前到账的；</w:t>
            </w:r>
          </w:p>
          <w:p>
            <w:pPr>
              <w:spacing w:line="400" w:lineRule="exact"/>
              <w:ind w:left="69" w:firstLine="480" w:firstLineChars="200"/>
              <w:rPr>
                <w:rFonts w:ascii="宋体"/>
                <w:sz w:val="24"/>
              </w:rPr>
            </w:pPr>
            <w:r>
              <w:rPr>
                <w:rFonts w:ascii="宋体" w:hAnsi="宋体"/>
                <w:sz w:val="24"/>
              </w:rPr>
              <w:t>(4)</w:t>
            </w:r>
            <w:r>
              <w:rPr>
                <w:rFonts w:hint="eastAsia" w:ascii="宋体" w:hAnsi="宋体"/>
                <w:sz w:val="24"/>
              </w:rPr>
              <w:t>响应文件有效期不满足谈判文件要求的；</w:t>
            </w:r>
          </w:p>
          <w:p>
            <w:pPr>
              <w:spacing w:line="400" w:lineRule="exact"/>
              <w:ind w:left="69" w:firstLine="480" w:firstLineChars="200"/>
              <w:rPr>
                <w:rFonts w:ascii="宋体"/>
                <w:sz w:val="24"/>
              </w:rPr>
            </w:pPr>
            <w:r>
              <w:rPr>
                <w:rFonts w:ascii="宋体" w:hAnsi="宋体"/>
                <w:sz w:val="24"/>
              </w:rPr>
              <w:t>(5)</w:t>
            </w:r>
            <w:r>
              <w:rPr>
                <w:rFonts w:hint="eastAsia" w:ascii="宋体" w:hAnsi="宋体"/>
                <w:sz w:val="24"/>
              </w:rPr>
              <w:t>响应文件内容与采购内容及要求有重大偏离或保留的；</w:t>
            </w:r>
          </w:p>
          <w:p>
            <w:pPr>
              <w:spacing w:line="400" w:lineRule="exact"/>
              <w:ind w:left="69" w:firstLine="480" w:firstLineChars="200"/>
              <w:rPr>
                <w:rFonts w:ascii="宋体"/>
                <w:sz w:val="24"/>
              </w:rPr>
            </w:pPr>
            <w:r>
              <w:rPr>
                <w:rFonts w:ascii="宋体" w:hAnsi="宋体"/>
                <w:sz w:val="24"/>
              </w:rPr>
              <w:t>(6)</w:t>
            </w:r>
            <w:r>
              <w:rPr>
                <w:rFonts w:hint="eastAsia" w:ascii="宋体" w:hAnsi="宋体"/>
                <w:sz w:val="24"/>
              </w:rPr>
              <w:t>响应供应商提交的是可选择的报价；</w:t>
            </w:r>
          </w:p>
          <w:p>
            <w:pPr>
              <w:spacing w:line="400" w:lineRule="exact"/>
              <w:ind w:left="69" w:firstLine="480" w:firstLineChars="200"/>
              <w:rPr>
                <w:rFonts w:ascii="宋体"/>
                <w:sz w:val="24"/>
              </w:rPr>
            </w:pPr>
            <w:r>
              <w:rPr>
                <w:rFonts w:ascii="宋体" w:hAnsi="宋体"/>
                <w:sz w:val="24"/>
              </w:rPr>
              <w:t>(7)</w:t>
            </w:r>
            <w:r>
              <w:rPr>
                <w:rFonts w:hint="eastAsia" w:ascii="宋体" w:hAnsi="宋体"/>
                <w:sz w:val="24"/>
              </w:rPr>
              <w:t>响应供应商未按谈判文件要求进行分项报价；</w:t>
            </w:r>
          </w:p>
          <w:p>
            <w:pPr>
              <w:spacing w:line="400" w:lineRule="exact"/>
              <w:ind w:left="69" w:firstLine="480" w:firstLineChars="200"/>
              <w:rPr>
                <w:rFonts w:ascii="宋体"/>
                <w:sz w:val="24"/>
              </w:rPr>
            </w:pPr>
            <w:r>
              <w:rPr>
                <w:rFonts w:ascii="宋体" w:hAnsi="宋体"/>
                <w:sz w:val="24"/>
              </w:rPr>
              <w:t>(8)</w:t>
            </w:r>
            <w:r>
              <w:rPr>
                <w:rFonts w:hint="eastAsia" w:ascii="宋体" w:hAnsi="宋体"/>
                <w:sz w:val="24"/>
              </w:rPr>
              <w:t>响应文件中提供虚假或失实资料的；</w:t>
            </w:r>
          </w:p>
          <w:p>
            <w:pPr>
              <w:spacing w:line="400" w:lineRule="exact"/>
              <w:ind w:left="69" w:firstLine="480" w:firstLineChars="200"/>
              <w:rPr>
                <w:rFonts w:ascii="宋体" w:hAnsi="宋体"/>
                <w:sz w:val="24"/>
              </w:rPr>
            </w:pPr>
            <w:r>
              <w:rPr>
                <w:rFonts w:ascii="宋体" w:hAnsi="宋体"/>
                <w:sz w:val="24"/>
              </w:rPr>
              <w:t>(9)</w:t>
            </w:r>
            <w:r>
              <w:rPr>
                <w:rFonts w:hint="eastAsia" w:ascii="宋体" w:hAnsi="宋体"/>
                <w:sz w:val="24"/>
              </w:rPr>
              <w:t>不符合谈判文件中规定的其它实质性条款。</w:t>
            </w:r>
            <w:r>
              <w:rPr>
                <w:rFonts w:ascii="宋体" w:hAnsi="宋体"/>
                <w:sz w:val="24"/>
              </w:rPr>
              <w:t xml:space="preserve"> </w:t>
            </w:r>
          </w:p>
          <w:p>
            <w:pPr>
              <w:spacing w:line="400" w:lineRule="exact"/>
              <w:ind w:left="69" w:leftChars="33" w:firstLine="480" w:firstLineChars="200"/>
              <w:rPr>
                <w:rFonts w:ascii="宋体"/>
                <w:sz w:val="24"/>
              </w:rPr>
            </w:pPr>
            <w:r>
              <w:rPr>
                <w:rFonts w:hint="eastAsia"/>
                <w:sz w:val="24"/>
                <w:szCs w:val="24"/>
              </w:rPr>
              <w:t>谈判小组决定谈判响应供应商的响应性只根据响应文件本身的内容，而不寻求其他的外部证据。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Align w:val="center"/>
          </w:tcPr>
          <w:p>
            <w:pPr>
              <w:spacing w:line="400" w:lineRule="exact"/>
              <w:jc w:val="center"/>
              <w:rPr>
                <w:rFonts w:ascii="宋体" w:hAnsi="宋体"/>
                <w:sz w:val="24"/>
              </w:rPr>
            </w:pPr>
            <w:r>
              <w:rPr>
                <w:rFonts w:ascii="宋体" w:hAnsi="宋体"/>
                <w:sz w:val="24"/>
              </w:rPr>
              <w:t>7</w:t>
            </w:r>
          </w:p>
        </w:tc>
        <w:tc>
          <w:tcPr>
            <w:tcW w:w="328" w:type="dxa"/>
            <w:vAlign w:val="center"/>
          </w:tcPr>
          <w:p>
            <w:pPr>
              <w:spacing w:line="400" w:lineRule="exact"/>
              <w:jc w:val="center"/>
              <w:rPr>
                <w:rFonts w:ascii="宋体"/>
                <w:sz w:val="24"/>
              </w:rPr>
            </w:pPr>
            <w:r>
              <w:rPr>
                <w:rFonts w:hint="eastAsia" w:ascii="宋体" w:hAnsi="宋体"/>
                <w:sz w:val="24"/>
              </w:rPr>
              <w:t>二</w:t>
            </w:r>
          </w:p>
        </w:tc>
        <w:tc>
          <w:tcPr>
            <w:tcW w:w="551" w:type="dxa"/>
            <w:vAlign w:val="center"/>
          </w:tcPr>
          <w:p>
            <w:pPr>
              <w:spacing w:line="400" w:lineRule="exact"/>
              <w:jc w:val="center"/>
              <w:rPr>
                <w:rFonts w:ascii="宋体" w:hAnsi="宋体"/>
                <w:sz w:val="24"/>
              </w:rPr>
            </w:pPr>
            <w:r>
              <w:rPr>
                <w:rFonts w:ascii="宋体" w:hAnsi="宋体"/>
                <w:sz w:val="24"/>
              </w:rPr>
              <w:t>19.2</w:t>
            </w:r>
          </w:p>
        </w:tc>
        <w:tc>
          <w:tcPr>
            <w:tcW w:w="7035" w:type="dxa"/>
          </w:tcPr>
          <w:p>
            <w:pPr>
              <w:spacing w:line="400" w:lineRule="exact"/>
              <w:ind w:firstLine="480" w:firstLineChars="200"/>
              <w:rPr>
                <w:rFonts w:ascii="宋体"/>
                <w:sz w:val="24"/>
              </w:rPr>
            </w:pPr>
            <w:r>
              <w:rPr>
                <w:rFonts w:hint="eastAsia"/>
                <w:sz w:val="24"/>
                <w:szCs w:val="24"/>
              </w:rPr>
              <w:t>若谈判供应商的报价明显低于其他报价，使得其报价可能低于其个别成本的，有可能影响商品质量或不能诚信履约的，谈判供应商应按谈判小组要求作出书面说明并提供相关证明材料，不能合理说明或不能提供相关证明材料的，可作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pPr>
              <w:spacing w:line="400" w:lineRule="exact"/>
              <w:jc w:val="center"/>
              <w:rPr>
                <w:rFonts w:ascii="宋体" w:hAnsi="宋体"/>
                <w:sz w:val="24"/>
              </w:rPr>
            </w:pPr>
            <w:r>
              <w:rPr>
                <w:rFonts w:ascii="宋体" w:hAnsi="宋体"/>
                <w:sz w:val="24"/>
              </w:rPr>
              <w:t>8</w:t>
            </w:r>
          </w:p>
        </w:tc>
        <w:tc>
          <w:tcPr>
            <w:tcW w:w="328" w:type="dxa"/>
          </w:tcPr>
          <w:p>
            <w:pPr>
              <w:spacing w:line="400" w:lineRule="exact"/>
              <w:jc w:val="center"/>
              <w:rPr>
                <w:rFonts w:ascii="宋体" w:hAnsi="宋体"/>
                <w:sz w:val="24"/>
              </w:rPr>
            </w:pPr>
          </w:p>
        </w:tc>
        <w:tc>
          <w:tcPr>
            <w:tcW w:w="551" w:type="dxa"/>
          </w:tcPr>
          <w:p>
            <w:pPr>
              <w:spacing w:line="400" w:lineRule="exact"/>
              <w:jc w:val="center"/>
              <w:rPr>
                <w:rFonts w:ascii="宋体" w:hAnsi="宋体"/>
                <w:sz w:val="24"/>
              </w:rPr>
            </w:pPr>
          </w:p>
        </w:tc>
        <w:tc>
          <w:tcPr>
            <w:tcW w:w="7035" w:type="dxa"/>
          </w:tcPr>
          <w:p>
            <w:pPr>
              <w:tabs>
                <w:tab w:val="left" w:pos="2145"/>
              </w:tabs>
              <w:spacing w:line="400" w:lineRule="exact"/>
              <w:rPr>
                <w:rFonts w:ascii="宋体"/>
                <w:sz w:val="24"/>
              </w:rPr>
            </w:pPr>
            <w:r>
              <w:rPr>
                <w:rFonts w:hint="eastAsia" w:ascii="Arial" w:hAnsi="Arial" w:cs="Arial"/>
                <w:sz w:val="24"/>
              </w:rPr>
              <w:t>谈判小组将对谈判文件中列明的合格谈判方应符合“资格性要求”部分做资格审查，没有提供相关证明文件或文件未按规定签署盖章者以无效谈判论。</w:t>
            </w:r>
          </w:p>
        </w:tc>
      </w:tr>
    </w:tbl>
    <w:p>
      <w:pPr>
        <w:spacing w:line="400" w:lineRule="exact"/>
        <w:rPr>
          <w:rFonts w:ascii="宋体"/>
          <w:b/>
          <w:sz w:val="24"/>
          <w:u w:val="single"/>
        </w:rPr>
      </w:pPr>
    </w:p>
    <w:p>
      <w:pPr>
        <w:spacing w:line="400" w:lineRule="exact"/>
        <w:rPr>
          <w:rFonts w:ascii="宋体"/>
          <w:b/>
          <w:sz w:val="24"/>
          <w:u w:val="single"/>
        </w:rPr>
      </w:pPr>
    </w:p>
    <w:p>
      <w:pPr>
        <w:spacing w:line="400" w:lineRule="exact"/>
        <w:rPr>
          <w:rFonts w:ascii="宋体"/>
          <w:b/>
          <w:sz w:val="24"/>
          <w:u w:val="single"/>
        </w:rPr>
      </w:pPr>
    </w:p>
    <w:p>
      <w:pPr>
        <w:spacing w:line="400" w:lineRule="exact"/>
        <w:rPr>
          <w:rFonts w:ascii="宋体"/>
          <w:b/>
          <w:sz w:val="24"/>
          <w:u w:val="single"/>
        </w:rPr>
      </w:pPr>
    </w:p>
    <w:p>
      <w:pPr>
        <w:spacing w:line="400" w:lineRule="exact"/>
        <w:rPr>
          <w:rFonts w:ascii="宋体"/>
          <w:b/>
          <w:sz w:val="24"/>
          <w:u w:val="single"/>
        </w:rPr>
      </w:pPr>
    </w:p>
    <w:p>
      <w:pPr>
        <w:spacing w:line="400" w:lineRule="exact"/>
        <w:rPr>
          <w:rFonts w:ascii="宋体"/>
          <w:b/>
          <w:sz w:val="24"/>
          <w:u w:val="single"/>
        </w:rPr>
      </w:pPr>
    </w:p>
    <w:p>
      <w:pPr>
        <w:spacing w:line="400" w:lineRule="exact"/>
        <w:ind w:firstLine="1446" w:firstLineChars="600"/>
        <w:rPr>
          <w:rFonts w:ascii="宋体"/>
          <w:b/>
          <w:sz w:val="24"/>
          <w:u w:val="single"/>
        </w:rPr>
      </w:pPr>
      <w:r>
        <w:rPr>
          <w:rFonts w:hint="eastAsia" w:ascii="宋体" w:hAnsi="宋体"/>
          <w:b/>
          <w:sz w:val="24"/>
          <w:u w:val="single"/>
        </w:rPr>
        <w:t>谈判供应商须知前附表</w:t>
      </w:r>
      <w:r>
        <w:rPr>
          <w:rFonts w:ascii="宋体" w:hAnsi="宋体"/>
          <w:b/>
          <w:sz w:val="24"/>
          <w:u w:val="single"/>
        </w:rPr>
        <w:t>3</w:t>
      </w:r>
      <w:r>
        <w:rPr>
          <w:rFonts w:hint="eastAsia" w:ascii="宋体" w:hAnsi="宋体"/>
          <w:b/>
          <w:sz w:val="24"/>
          <w:u w:val="single"/>
        </w:rPr>
        <w:t>：谈判规则、方法及步骤</w:t>
      </w:r>
    </w:p>
    <w:p>
      <w:pPr>
        <w:spacing w:line="400" w:lineRule="exact"/>
        <w:jc w:val="center"/>
        <w:rPr>
          <w:rFonts w:ascii="宋体"/>
          <w:b/>
          <w:sz w:val="24"/>
          <w:u w:val="single"/>
        </w:rPr>
      </w:pPr>
    </w:p>
    <w:tbl>
      <w:tblPr>
        <w:tblStyle w:val="1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pPr>
              <w:spacing w:line="400" w:lineRule="exact"/>
              <w:ind w:right="-120" w:rightChars="-57"/>
              <w:rPr>
                <w:rFonts w:ascii="宋体"/>
                <w:sz w:val="24"/>
              </w:rPr>
            </w:pPr>
            <w:r>
              <w:rPr>
                <w:rFonts w:hint="eastAsia" w:ascii="宋体" w:hAnsi="宋体"/>
                <w:sz w:val="24"/>
              </w:rPr>
              <w:t>一．评审原则、方法</w:t>
            </w:r>
          </w:p>
          <w:p>
            <w:pPr>
              <w:spacing w:line="400" w:lineRule="exact"/>
              <w:ind w:right="-120" w:rightChars="-57" w:firstLine="480" w:firstLineChars="200"/>
              <w:rPr>
                <w:rFonts w:ascii="宋体"/>
                <w:sz w:val="24"/>
              </w:rPr>
            </w:pPr>
            <w:r>
              <w:rPr>
                <w:rFonts w:ascii="宋体" w:hAnsi="宋体"/>
                <w:sz w:val="24"/>
              </w:rPr>
              <w:t>1.</w:t>
            </w:r>
            <w:r>
              <w:rPr>
                <w:rFonts w:hint="eastAsia" w:ascii="宋体" w:hAnsi="宋体"/>
                <w:sz w:val="24"/>
              </w:rPr>
              <w:t>谈判小组依据《中华人民共和国政府采购法》及其实施条例和相关的法规、规章，遵循“公开、公平、公正、择优、信用”的原则进行谈判及评审；</w:t>
            </w:r>
          </w:p>
          <w:p>
            <w:pPr>
              <w:spacing w:line="400" w:lineRule="exact"/>
              <w:ind w:right="-120" w:rightChars="-57" w:firstLine="480" w:firstLineChars="200"/>
              <w:rPr>
                <w:rFonts w:ascii="宋体"/>
                <w:sz w:val="24"/>
              </w:rPr>
            </w:pPr>
            <w:r>
              <w:rPr>
                <w:rFonts w:ascii="宋体" w:hAnsi="宋体"/>
                <w:sz w:val="24"/>
              </w:rPr>
              <w:t>2.</w:t>
            </w:r>
            <w:r>
              <w:rPr>
                <w:rFonts w:hint="eastAsia" w:ascii="宋体" w:hAnsi="宋体"/>
                <w:sz w:val="24"/>
              </w:rPr>
              <w:t>谈判小组按照规定只对资格、符合性评审合格的响应文件进行最终评审和比较。如各评委结论不一致，以少数服从多数原则确定；</w:t>
            </w:r>
          </w:p>
          <w:p>
            <w:pPr>
              <w:spacing w:line="400" w:lineRule="exact"/>
              <w:ind w:right="-120" w:rightChars="-57" w:firstLine="480" w:firstLineChars="200"/>
              <w:rPr>
                <w:rFonts w:ascii="宋体"/>
                <w:sz w:val="24"/>
              </w:rPr>
            </w:pPr>
            <w:r>
              <w:rPr>
                <w:rFonts w:ascii="宋体" w:hAnsi="宋体"/>
                <w:sz w:val="24"/>
              </w:rPr>
              <w:t>3.</w:t>
            </w:r>
            <w:r>
              <w:rPr>
                <w:rFonts w:hint="eastAsia" w:ascii="宋体" w:hAnsi="宋体"/>
                <w:sz w:val="24"/>
              </w:rPr>
              <w:t>谈判中，谈判的任何一方不得透露与谈判有关的其他供应商的技术资料、价格和其他信息；</w:t>
            </w:r>
          </w:p>
          <w:p>
            <w:pPr>
              <w:spacing w:line="400" w:lineRule="exact"/>
              <w:ind w:right="-120" w:rightChars="-57" w:firstLine="480" w:firstLineChars="200"/>
              <w:rPr>
                <w:rFonts w:ascii="宋体"/>
                <w:sz w:val="24"/>
              </w:rPr>
            </w:pPr>
            <w:r>
              <w:rPr>
                <w:rFonts w:ascii="宋体" w:hAnsi="宋体"/>
                <w:sz w:val="24"/>
              </w:rPr>
              <w:t>4.</w:t>
            </w:r>
            <w:r>
              <w:rPr>
                <w:rFonts w:hint="eastAsia" w:ascii="宋体" w:hAnsi="宋体"/>
                <w:sz w:val="24"/>
              </w:rPr>
              <w:t>除非在谈判中谈判小组对用户需求内容作调整增加，或对采购内容作实质性变更，否则采购人不接受高于前面轮次谈判报价的最终报价</w:t>
            </w:r>
          </w:p>
          <w:p>
            <w:pPr>
              <w:spacing w:line="400" w:lineRule="exact"/>
              <w:ind w:right="-120" w:rightChars="-57" w:firstLine="480" w:firstLineChars="200"/>
              <w:rPr>
                <w:rFonts w:ascii="宋体"/>
                <w:sz w:val="24"/>
              </w:rPr>
            </w:pPr>
            <w:r>
              <w:rPr>
                <w:rFonts w:ascii="宋体" w:hAnsi="宋体"/>
                <w:sz w:val="24"/>
              </w:rPr>
              <w:t>5.</w:t>
            </w:r>
            <w:r>
              <w:rPr>
                <w:rFonts w:hint="eastAsia" w:ascii="宋体" w:hAnsi="宋体"/>
                <w:sz w:val="24"/>
              </w:rPr>
              <w:t>评审办法：采用最低评标价法，即供应商提供的产品质量和服务均能满足谈判文件规定的实质性要求，以最低评标价的供应商为供应商。</w:t>
            </w:r>
            <w:r>
              <w:rPr>
                <w:rFonts w:ascii="宋体"/>
                <w:sz w:val="24"/>
              </w:rPr>
              <w:br w:type="textWrapping"/>
            </w:r>
            <w:r>
              <w:rPr>
                <w:rFonts w:hint="eastAsia" w:ascii="宋体" w:hAnsi="宋体"/>
                <w:sz w:val="24"/>
              </w:rPr>
              <w:t>二、评审步骤</w:t>
            </w:r>
            <w:r>
              <w:rPr>
                <w:rFonts w:ascii="宋体"/>
                <w:sz w:val="24"/>
              </w:rPr>
              <w:br w:type="textWrapping"/>
            </w:r>
            <w:r>
              <w:rPr>
                <w:rFonts w:ascii="宋体" w:hAnsi="宋体"/>
                <w:sz w:val="24"/>
              </w:rPr>
              <w:t xml:space="preserve">   1.</w:t>
            </w:r>
            <w:r>
              <w:rPr>
                <w:rFonts w:hint="eastAsia" w:ascii="宋体" w:hAnsi="宋体"/>
                <w:sz w:val="24"/>
              </w:rPr>
              <w:t>第一阶段：谈判小组对每位供应商的响应文件进行资格、符合性评审；</w:t>
            </w:r>
            <w:r>
              <w:rPr>
                <w:rFonts w:ascii="宋体"/>
                <w:sz w:val="24"/>
              </w:rPr>
              <w:br w:type="textWrapping"/>
            </w:r>
            <w:r>
              <w:rPr>
                <w:rFonts w:ascii="宋体" w:hAnsi="宋体"/>
                <w:sz w:val="24"/>
              </w:rPr>
              <w:t xml:space="preserve">   2.</w:t>
            </w:r>
            <w:r>
              <w:rPr>
                <w:rFonts w:hint="eastAsia" w:ascii="宋体" w:hAnsi="宋体"/>
                <w:sz w:val="24"/>
              </w:rPr>
              <w:t>第二阶段：谈判小组按抽签产生的谈判顺序集中与单一供应商进行谈判（谈判的内容主要是对报价方案的澄清、修正、补充、确认以及价格调整等。谈判文件有实质性变动的，谈判小组应当以书面形式通知所有供应商）；</w:t>
            </w:r>
            <w:r>
              <w:rPr>
                <w:rFonts w:ascii="宋体"/>
                <w:sz w:val="24"/>
              </w:rPr>
              <w:br w:type="textWrapping"/>
            </w:r>
            <w:r>
              <w:rPr>
                <w:rFonts w:ascii="宋体"/>
                <w:sz w:val="24"/>
              </w:rPr>
              <w:t> </w:t>
            </w:r>
            <w:r>
              <w:rPr>
                <w:rFonts w:ascii="宋体" w:hAnsi="宋体"/>
                <w:sz w:val="24"/>
              </w:rPr>
              <w:t xml:space="preserve"> 3.</w:t>
            </w:r>
            <w:r>
              <w:rPr>
                <w:rFonts w:hint="eastAsia" w:ascii="宋体" w:hAnsi="宋体"/>
                <w:sz w:val="24"/>
              </w:rPr>
              <w:t>第三阶段：谈判结束后，谈判小组要求所有供应商在规定时间内提出最终报价，包括最终澄清方案、报价及有关承诺等；</w:t>
            </w:r>
            <w:r>
              <w:rPr>
                <w:rFonts w:ascii="宋体"/>
                <w:sz w:val="24"/>
              </w:rPr>
              <w:br w:type="textWrapping"/>
            </w:r>
            <w:r>
              <w:rPr>
                <w:rFonts w:ascii="宋体"/>
                <w:sz w:val="24"/>
              </w:rPr>
              <w:t> </w:t>
            </w:r>
            <w:r>
              <w:rPr>
                <w:rFonts w:ascii="宋体" w:hAnsi="宋体"/>
                <w:sz w:val="24"/>
              </w:rPr>
              <w:t xml:space="preserve"> 4.</w:t>
            </w:r>
            <w:r>
              <w:rPr>
                <w:rFonts w:hint="eastAsia" w:ascii="宋体" w:hAnsi="宋体"/>
                <w:sz w:val="24"/>
              </w:rPr>
              <w:t>第四阶段：谈判小组对供应商的最终报价进行评议和比较，并根据评审办法从通过资格、符合性评审的供应商中推荐成交候选人，谈判小组出具谈判结果评审报告；</w:t>
            </w:r>
            <w:r>
              <w:rPr>
                <w:rFonts w:ascii="宋体"/>
                <w:sz w:val="24"/>
              </w:rPr>
              <w:br w:type="textWrapping"/>
            </w:r>
            <w:r>
              <w:rPr>
                <w:rFonts w:ascii="宋体"/>
                <w:sz w:val="24"/>
              </w:rPr>
              <w:t> </w:t>
            </w:r>
            <w:r>
              <w:rPr>
                <w:rFonts w:ascii="宋体" w:hAnsi="宋体"/>
                <w:sz w:val="24"/>
              </w:rPr>
              <w:t xml:space="preserve"> 5.</w:t>
            </w:r>
            <w:r>
              <w:rPr>
                <w:rFonts w:hint="eastAsia" w:ascii="宋体" w:hAnsi="宋体"/>
                <w:sz w:val="24"/>
              </w:rPr>
              <w:t>谈判过程中，供应商提交的澄清文件和最终报价，由供应商法定代表人或其授权代表签署后生效，供应商受其约束。</w:t>
            </w:r>
          </w:p>
          <w:p>
            <w:pPr>
              <w:spacing w:line="400" w:lineRule="exact"/>
              <w:ind w:right="-120" w:rightChars="-57" w:firstLine="480" w:firstLineChars="200"/>
              <w:rPr>
                <w:rFonts w:ascii="宋体"/>
                <w:sz w:val="24"/>
              </w:rPr>
            </w:pPr>
            <w:r>
              <w:rPr>
                <w:rFonts w:ascii="宋体" w:hAnsi="宋体"/>
                <w:sz w:val="24"/>
              </w:rPr>
              <w:t>6.</w:t>
            </w:r>
            <w:r>
              <w:rPr>
                <w:rFonts w:hint="eastAsia" w:ascii="宋体" w:hAnsi="宋体"/>
                <w:sz w:val="24"/>
              </w:rPr>
              <w:t>评审过程中，谈判小组发现某一供应商的报价明显低于其他供应商，其报价可能低于成本价的，谈判小组有权要求该供应商作出书面说明并提供相关证明材料，供应商不能合理说明或者不能提供相关证明材料的，由谈判小组认定该供应商以低于成本报价谈判，以无效响应处理。</w:t>
            </w:r>
          </w:p>
          <w:p>
            <w:pPr>
              <w:spacing w:line="400" w:lineRule="exact"/>
              <w:ind w:right="-120" w:rightChars="-57"/>
              <w:jc w:val="left"/>
              <w:rPr>
                <w:rFonts w:ascii="宋体"/>
                <w:sz w:val="24"/>
              </w:rPr>
            </w:pPr>
            <w:r>
              <w:rPr>
                <w:rFonts w:hint="eastAsia" w:ascii="宋体" w:hAnsi="宋体"/>
                <w:sz w:val="24"/>
              </w:rPr>
              <w:t>三．确定成交候选供应商原则：</w:t>
            </w:r>
          </w:p>
          <w:p>
            <w:pPr>
              <w:spacing w:line="400" w:lineRule="exact"/>
              <w:ind w:right="-120" w:rightChars="-57" w:firstLine="480" w:firstLineChars="200"/>
              <w:jc w:val="left"/>
              <w:rPr>
                <w:rFonts w:ascii="宋体"/>
                <w:sz w:val="24"/>
              </w:rPr>
            </w:pPr>
            <w:r>
              <w:rPr>
                <w:rFonts w:ascii="宋体" w:hAnsi="宋体"/>
                <w:sz w:val="24"/>
              </w:rPr>
              <w:t>1.</w:t>
            </w:r>
            <w:r>
              <w:rPr>
                <w:rFonts w:hint="eastAsia" w:ascii="宋体" w:hAnsi="宋体"/>
                <w:sz w:val="24"/>
              </w:rPr>
              <w:t>采购人从谈判小组推荐的成交候选人中依法确定供应商；</w:t>
            </w:r>
            <w:r>
              <w:rPr>
                <w:rFonts w:ascii="宋体"/>
                <w:sz w:val="24"/>
              </w:rPr>
              <w:br w:type="textWrapping"/>
            </w:r>
            <w:r>
              <w:rPr>
                <w:rFonts w:ascii="宋体" w:hAnsi="宋体"/>
                <w:sz w:val="24"/>
              </w:rPr>
              <w:t xml:space="preserve">    2.</w:t>
            </w:r>
            <w:r>
              <w:rPr>
                <w:rFonts w:hint="eastAsia" w:ascii="宋体" w:hAnsi="宋体"/>
                <w:sz w:val="24"/>
              </w:rPr>
              <w:t>如果供应商不能按照谈判文件要求及响应文件的承诺签订合同或供应商的响应文件与事实不符，采购人可以依法取消该供应商的资格并将合同授予另一成交候选人，或者依法重新采购及采取其它采购方式。采购人对受影响的供应商不承担任何责任。</w:t>
            </w:r>
          </w:p>
          <w:p>
            <w:pPr>
              <w:spacing w:line="400" w:lineRule="exact"/>
              <w:ind w:right="-120" w:rightChars="-57" w:firstLine="480" w:firstLineChars="200"/>
              <w:jc w:val="left"/>
              <w:rPr>
                <w:rFonts w:ascii="宋体"/>
                <w:sz w:val="24"/>
              </w:rPr>
            </w:pPr>
            <w:r>
              <w:rPr>
                <w:rFonts w:hint="eastAsia" w:ascii="宋体" w:hAnsi="宋体"/>
                <w:sz w:val="24"/>
              </w:rPr>
              <w:t>在响应文件提交截止时间后至评审前，代理机构将先行查询供应商信用记录。查询渠道包括但不限于：中国政采购网：</w:t>
            </w:r>
            <w:r>
              <w:rPr>
                <w:rFonts w:ascii="宋体" w:hAnsi="宋体"/>
                <w:sz w:val="24"/>
              </w:rPr>
              <w:t>http://www.ccgp.gov.cn</w:t>
            </w:r>
            <w:r>
              <w:rPr>
                <w:rFonts w:hint="eastAsia" w:ascii="宋体" w:hAnsi="宋体"/>
                <w:sz w:val="24"/>
              </w:rPr>
              <w:t>、信用中国：</w:t>
            </w:r>
            <w:r>
              <w:rPr>
                <w:rFonts w:ascii="宋体" w:hAnsi="宋体"/>
                <w:sz w:val="24"/>
              </w:rPr>
              <w:t>http://www.creditchina.gov.cn/</w:t>
            </w:r>
            <w:r>
              <w:rPr>
                <w:rFonts w:hint="eastAsia" w:ascii="宋体" w:hAnsi="宋体"/>
                <w:sz w:val="24"/>
              </w:rPr>
              <w:t>、贵州省政府采购网：</w:t>
            </w:r>
            <w:r>
              <w:rPr>
                <w:rFonts w:ascii="宋体" w:hAnsi="宋体"/>
                <w:sz w:val="24"/>
              </w:rPr>
              <w:t xml:space="preserve">http://www.ccgp-guizhou.gov.cn/ </w:t>
            </w:r>
            <w:r>
              <w:rPr>
                <w:rFonts w:hint="eastAsia" w:ascii="宋体" w:hAnsi="宋体"/>
                <w:sz w:val="24"/>
              </w:rPr>
              <w:t>等。对参加政府采购活动前三年内被列入失信被执行人、重大税收违法案件当事人名单、政府采购严重违法失信行为记录名单、“信用中国”警示警告名单，受到政府采购行政处罚或者存在行贿犯罪记录，且相关信用惩戒期限未满，以及其他不符合《中华人民共和国政府采购法》第二十二条规定条件的供应商，将查询结果提供给谈判小组，谈判小组将拒绝邀请该供应商进行谈判和报价。</w:t>
            </w:r>
          </w:p>
        </w:tc>
      </w:tr>
    </w:tbl>
    <w:p>
      <w:pPr>
        <w:spacing w:line="400" w:lineRule="exact"/>
        <w:outlineLvl w:val="0"/>
        <w:rPr>
          <w:rFonts w:ascii="宋体"/>
          <w:b/>
          <w:bCs/>
          <w:sz w:val="24"/>
          <w:szCs w:val="24"/>
          <w:u w:val="single"/>
        </w:rPr>
      </w:pPr>
      <w:r>
        <w:rPr>
          <w:rFonts w:hint="eastAsia" w:ascii="宋体" w:hAnsi="宋体"/>
          <w:bCs/>
          <w:sz w:val="24"/>
        </w:rPr>
        <w:t>注：以联合体形式响应谈判的，只能以联合体其中一方具备的条件作为评审依据。谈判供应商在响应文件中必须以联合体的确定一方的条件参与。</w:t>
      </w:r>
    </w:p>
    <w:p>
      <w:pPr>
        <w:pStyle w:val="4"/>
        <w:keepNext w:val="0"/>
        <w:keepLines w:val="0"/>
        <w:tabs>
          <w:tab w:val="center" w:pos="4365"/>
        </w:tabs>
        <w:spacing w:before="220" w:after="220" w:line="400" w:lineRule="exact"/>
        <w:jc w:val="center"/>
        <w:rPr>
          <w:rFonts w:ascii="宋体" w:hAnsi="宋体" w:eastAsia="宋体"/>
          <w:sz w:val="24"/>
          <w:szCs w:val="24"/>
        </w:rPr>
      </w:pPr>
      <w:r>
        <w:rPr>
          <w:rFonts w:hint="eastAsia" w:ascii="宋体" w:hAnsi="宋体" w:eastAsia="宋体"/>
          <w:sz w:val="24"/>
          <w:szCs w:val="24"/>
        </w:rPr>
        <w:t>谈判供应商须知前附表</w:t>
      </w:r>
      <w:r>
        <w:rPr>
          <w:rFonts w:ascii="宋体" w:hAnsi="宋体" w:eastAsia="宋体"/>
          <w:sz w:val="24"/>
          <w:szCs w:val="24"/>
        </w:rPr>
        <w:t>4</w:t>
      </w:r>
      <w:r>
        <w:rPr>
          <w:rFonts w:hint="eastAsia" w:ascii="宋体" w:hAnsi="宋体" w:eastAsia="宋体"/>
          <w:sz w:val="24"/>
          <w:szCs w:val="24"/>
        </w:rPr>
        <w:t>：中小企业及监狱企业优惠办法</w:t>
      </w:r>
    </w:p>
    <w:tbl>
      <w:tblPr>
        <w:tblStyle w:val="17"/>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84"/>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00" w:type="dxa"/>
            <w:vAlign w:val="center"/>
          </w:tcPr>
          <w:p>
            <w:pPr>
              <w:spacing w:line="400" w:lineRule="exact"/>
              <w:jc w:val="center"/>
              <w:rPr>
                <w:rFonts w:ascii="宋体"/>
                <w:sz w:val="24"/>
              </w:rPr>
            </w:pPr>
            <w:r>
              <w:rPr>
                <w:rFonts w:hint="eastAsia" w:ascii="宋体" w:hAnsi="宋体"/>
                <w:sz w:val="24"/>
              </w:rPr>
              <w:t>序号</w:t>
            </w:r>
          </w:p>
        </w:tc>
        <w:tc>
          <w:tcPr>
            <w:tcW w:w="1484" w:type="dxa"/>
            <w:vAlign w:val="center"/>
          </w:tcPr>
          <w:p>
            <w:pPr>
              <w:spacing w:line="400" w:lineRule="exact"/>
              <w:jc w:val="center"/>
              <w:rPr>
                <w:rFonts w:ascii="宋体"/>
                <w:sz w:val="24"/>
              </w:rPr>
            </w:pPr>
            <w:r>
              <w:rPr>
                <w:rFonts w:hint="eastAsia" w:ascii="宋体" w:hAnsi="宋体"/>
                <w:sz w:val="24"/>
              </w:rPr>
              <w:t>项目</w:t>
            </w:r>
          </w:p>
        </w:tc>
        <w:tc>
          <w:tcPr>
            <w:tcW w:w="6256" w:type="dxa"/>
            <w:vAlign w:val="center"/>
          </w:tcPr>
          <w:p>
            <w:pPr>
              <w:spacing w:line="400" w:lineRule="exact"/>
              <w:jc w:val="center"/>
              <w:rPr>
                <w:rFonts w:ascii="宋体"/>
                <w:sz w:val="24"/>
              </w:rPr>
            </w:pPr>
            <w:r>
              <w:rPr>
                <w:rFonts w:hint="eastAsia" w:ascii="宋体" w:hAnsi="宋体"/>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00" w:type="dxa"/>
            <w:vAlign w:val="center"/>
          </w:tcPr>
          <w:p>
            <w:pPr>
              <w:spacing w:line="400" w:lineRule="exact"/>
              <w:jc w:val="center"/>
              <w:rPr>
                <w:rFonts w:ascii="宋体" w:hAnsi="宋体"/>
                <w:b/>
                <w:sz w:val="24"/>
              </w:rPr>
            </w:pPr>
            <w:r>
              <w:rPr>
                <w:rFonts w:ascii="宋体" w:hAnsi="宋体"/>
                <w:b/>
                <w:sz w:val="24"/>
              </w:rPr>
              <w:t>1</w:t>
            </w:r>
          </w:p>
        </w:tc>
        <w:tc>
          <w:tcPr>
            <w:tcW w:w="1484" w:type="dxa"/>
            <w:vAlign w:val="center"/>
          </w:tcPr>
          <w:p>
            <w:pPr>
              <w:spacing w:line="400" w:lineRule="exact"/>
              <w:jc w:val="center"/>
              <w:rPr>
                <w:rFonts w:ascii="宋体"/>
                <w:b/>
                <w:sz w:val="24"/>
              </w:rPr>
            </w:pPr>
            <w:r>
              <w:rPr>
                <w:rFonts w:hint="eastAsia" w:ascii="宋体" w:hAnsi="宋体"/>
                <w:b/>
                <w:sz w:val="24"/>
              </w:rPr>
              <w:t>本项目是否属于专门面向中小企业和监狱企业的政府采购活动：</w:t>
            </w:r>
          </w:p>
        </w:tc>
        <w:tc>
          <w:tcPr>
            <w:tcW w:w="6256" w:type="dxa"/>
            <w:vAlign w:val="center"/>
          </w:tcPr>
          <w:p>
            <w:pPr>
              <w:spacing w:line="400" w:lineRule="exact"/>
              <w:rPr>
                <w:rFonts w:ascii="宋体"/>
                <w:sz w:val="24"/>
              </w:rPr>
            </w:pPr>
            <w:r>
              <w:rPr>
                <w:rFonts w:hint="eastAsia" w:ascii="宋体" w:hAnsi="宋体"/>
                <w:b/>
                <w:sz w:val="24"/>
              </w:rPr>
              <w:t>□</w:t>
            </w:r>
            <w:r>
              <w:rPr>
                <w:rFonts w:hint="eastAsia" w:ascii="宋体" w:hAnsi="宋体"/>
                <w:sz w:val="24"/>
              </w:rPr>
              <w:t>是</w:t>
            </w:r>
            <w:r>
              <w:rPr>
                <w:rFonts w:ascii="宋体" w:hAnsi="宋体"/>
                <w:sz w:val="24"/>
              </w:rPr>
              <w:t xml:space="preserve">/ </w:t>
            </w:r>
            <w:r>
              <w:rPr>
                <w:rFonts w:ascii="Arial" w:hAnsi="Arial" w:cs="Arial"/>
                <w:b/>
                <w:sz w:val="24"/>
              </w:rPr>
              <w:t>√</w:t>
            </w:r>
            <w:r>
              <w:rPr>
                <w:rFonts w:hint="eastAsia" w:ascii="宋体" w:hAnsi="宋体"/>
                <w:sz w:val="24"/>
              </w:rPr>
              <w:t>否</w:t>
            </w:r>
          </w:p>
          <w:p>
            <w:pPr>
              <w:spacing w:line="400" w:lineRule="exact"/>
              <w:rPr>
                <w:rFonts w:ascii="宋体"/>
                <w:sz w:val="24"/>
              </w:rPr>
            </w:pPr>
            <w:r>
              <w:rPr>
                <w:rFonts w:hint="eastAsia" w:ascii="宋体" w:hAnsi="宋体"/>
                <w:sz w:val="24"/>
              </w:rPr>
              <w:t>（</w:t>
            </w:r>
            <w:r>
              <w:rPr>
                <w:rFonts w:hint="eastAsia" w:ascii="宋体" w:cs="宋体"/>
                <w:kern w:val="0"/>
                <w:sz w:val="24"/>
              </w:rPr>
              <w:t>监狱企业视同小型、微型企业）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vAlign w:val="center"/>
          </w:tcPr>
          <w:p>
            <w:pPr>
              <w:spacing w:line="400" w:lineRule="exact"/>
              <w:jc w:val="center"/>
              <w:rPr>
                <w:rFonts w:ascii="宋体" w:hAnsi="宋体"/>
                <w:b/>
                <w:sz w:val="24"/>
              </w:rPr>
            </w:pPr>
            <w:r>
              <w:rPr>
                <w:rFonts w:ascii="宋体" w:hAnsi="宋体"/>
                <w:b/>
                <w:sz w:val="24"/>
              </w:rPr>
              <w:t>2</w:t>
            </w:r>
          </w:p>
        </w:tc>
        <w:tc>
          <w:tcPr>
            <w:tcW w:w="1484" w:type="dxa"/>
            <w:vAlign w:val="center"/>
          </w:tcPr>
          <w:p>
            <w:pPr>
              <w:spacing w:line="400" w:lineRule="exact"/>
              <w:jc w:val="center"/>
              <w:rPr>
                <w:rFonts w:ascii="宋体"/>
                <w:sz w:val="24"/>
              </w:rPr>
            </w:pPr>
            <w:r>
              <w:rPr>
                <w:rFonts w:hint="eastAsia" w:ascii="宋体" w:hAnsi="宋体"/>
                <w:b/>
                <w:sz w:val="24"/>
              </w:rPr>
              <w:t>中小企业的认定标准</w:t>
            </w:r>
          </w:p>
        </w:tc>
        <w:tc>
          <w:tcPr>
            <w:tcW w:w="6256" w:type="dxa"/>
          </w:tcPr>
          <w:p>
            <w:pPr>
              <w:spacing w:line="400" w:lineRule="exact"/>
              <w:ind w:firstLine="480" w:firstLineChars="200"/>
              <w:rPr>
                <w:rFonts w:ascii="宋体"/>
                <w:sz w:val="24"/>
              </w:rPr>
            </w:pPr>
            <w:r>
              <w:rPr>
                <w:rFonts w:hint="eastAsia" w:ascii="宋体" w:hAnsi="宋体"/>
                <w:sz w:val="24"/>
              </w:rPr>
              <w:t>谈判供应商须同时满足以下两个条件，才能认定为中小企业</w:t>
            </w:r>
            <w:r>
              <w:rPr>
                <w:rFonts w:hint="eastAsia" w:ascii="宋体" w:hAnsi="宋体"/>
                <w:b/>
                <w:sz w:val="24"/>
              </w:rPr>
              <w:t>（含中型、小型、微型企业，下同）</w:t>
            </w:r>
            <w:r>
              <w:rPr>
                <w:rFonts w:hint="eastAsia" w:ascii="宋体" w:hAnsi="宋体"/>
                <w:sz w:val="24"/>
              </w:rPr>
              <w:t>：</w:t>
            </w:r>
          </w:p>
          <w:p>
            <w:pPr>
              <w:spacing w:line="400" w:lineRule="exact"/>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）符合《工业和信息化部、国家统计局、国家发展和改革委员会、财政部关于印发中小企业划型标准规定的通知》（工信部联企业〔</w:t>
            </w:r>
            <w:r>
              <w:rPr>
                <w:rFonts w:ascii="宋体" w:hAnsi="宋体"/>
                <w:sz w:val="24"/>
              </w:rPr>
              <w:t>2011</w:t>
            </w:r>
            <w:r>
              <w:rPr>
                <w:rFonts w:hint="eastAsia" w:ascii="宋体" w:hAnsi="宋体"/>
                <w:sz w:val="24"/>
              </w:rPr>
              <w:t>〕</w:t>
            </w:r>
            <w:r>
              <w:rPr>
                <w:rFonts w:ascii="宋体" w:hAnsi="宋体"/>
                <w:sz w:val="24"/>
              </w:rPr>
              <w:t>300</w:t>
            </w:r>
            <w:r>
              <w:rPr>
                <w:rFonts w:hint="eastAsia" w:ascii="宋体" w:hAnsi="宋体"/>
                <w:sz w:val="24"/>
              </w:rPr>
              <w:t>号）规定的中小企业划分标准；</w:t>
            </w:r>
          </w:p>
          <w:p>
            <w:pPr>
              <w:spacing w:line="400" w:lineRule="exact"/>
              <w:ind w:firstLine="480" w:firstLineChars="200"/>
              <w:rPr>
                <w:rFonts w:ascii="宋体"/>
                <w:sz w:val="24"/>
              </w:rPr>
            </w:pPr>
            <w:r>
              <w:rPr>
                <w:rFonts w:hint="eastAsia" w:ascii="宋体" w:hAnsi="宋体"/>
                <w:sz w:val="24"/>
              </w:rPr>
              <w:t>注：</w:t>
            </w:r>
            <w:r>
              <w:rPr>
                <w:rFonts w:ascii="宋体" w:hAnsi="宋体"/>
                <w:sz w:val="24"/>
              </w:rPr>
              <w:t xml:space="preserve"> </w:t>
            </w:r>
            <w:r>
              <w:rPr>
                <w:rFonts w:hint="eastAsia" w:ascii="宋体" w:hAnsi="宋体"/>
                <w:sz w:val="24"/>
              </w:rPr>
              <w:t>联合体参与谈判响应的的，以联合体中划型标准较高的一方，作为该联合体的企业划型标准。</w:t>
            </w:r>
          </w:p>
          <w:p>
            <w:pPr>
              <w:spacing w:line="400" w:lineRule="exact"/>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）提供本企业制造的货物、承担的工程或者服务，或者提供其他中小企业制造的货物。</w:t>
            </w:r>
            <w:r>
              <w:rPr>
                <w:rFonts w:hint="eastAsia" w:ascii="宋体" w:hAnsi="宋体" w:cs="SimSun-Identity-H"/>
                <w:kern w:val="0"/>
                <w:sz w:val="24"/>
              </w:rPr>
              <w:t>本项所称货物不包括使用大型企业注册商标的货物；</w:t>
            </w:r>
          </w:p>
          <w:p>
            <w:pPr>
              <w:spacing w:line="400" w:lineRule="exact"/>
              <w:ind w:firstLine="480" w:firstLineChars="200"/>
              <w:rPr>
                <w:rFonts w:ascii="宋体"/>
                <w:sz w:val="24"/>
              </w:rPr>
            </w:pPr>
            <w:r>
              <w:rPr>
                <w:rFonts w:hint="eastAsia" w:ascii="宋体" w:hAnsi="宋体"/>
                <w:sz w:val="24"/>
              </w:rPr>
              <w:t>注：小型、微型企业提供中型企业制造的货物的，视同为中型企业；中型企业提供小型、微型企业制造的货物的，视同为中型企业；中小企业提供大型企业制造的货物的，视同为大型企业。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vAlign w:val="center"/>
          </w:tcPr>
          <w:p>
            <w:pPr>
              <w:spacing w:line="400" w:lineRule="exact"/>
              <w:jc w:val="center"/>
              <w:rPr>
                <w:rFonts w:ascii="宋体" w:hAnsi="宋体"/>
                <w:b/>
                <w:sz w:val="24"/>
              </w:rPr>
            </w:pPr>
            <w:r>
              <w:rPr>
                <w:rFonts w:ascii="宋体" w:hAnsi="宋体"/>
                <w:b/>
                <w:sz w:val="24"/>
              </w:rPr>
              <w:t>3</w:t>
            </w:r>
          </w:p>
        </w:tc>
        <w:tc>
          <w:tcPr>
            <w:tcW w:w="1484" w:type="dxa"/>
            <w:vAlign w:val="center"/>
          </w:tcPr>
          <w:p>
            <w:pPr>
              <w:spacing w:line="400" w:lineRule="exact"/>
              <w:jc w:val="center"/>
              <w:rPr>
                <w:rFonts w:ascii="宋体"/>
                <w:b/>
                <w:sz w:val="24"/>
              </w:rPr>
            </w:pPr>
            <w:r>
              <w:rPr>
                <w:rFonts w:hint="eastAsia" w:ascii="宋体" w:hAnsi="宋体"/>
                <w:b/>
                <w:sz w:val="24"/>
              </w:rPr>
              <w:t>监狱企业的认定标准</w:t>
            </w:r>
          </w:p>
        </w:tc>
        <w:tc>
          <w:tcPr>
            <w:tcW w:w="6256" w:type="dxa"/>
          </w:tcPr>
          <w:p>
            <w:pPr>
              <w:spacing w:line="400" w:lineRule="exact"/>
              <w:ind w:firstLine="480" w:firstLineChars="200"/>
              <w:rPr>
                <w:rFonts w:ascii="宋体"/>
                <w:sz w:val="24"/>
              </w:rPr>
            </w:pPr>
            <w:r>
              <w:rPr>
                <w:rFonts w:hint="eastAsia" w:ascii="宋体" w:cs="宋体"/>
                <w:kern w:val="0"/>
                <w:sz w:val="24"/>
              </w:rPr>
              <w:t>需提供由省级以上监狱管理局、戒毒管理局（含新疆生产建设兵团）出具的属于监狱企业的证明文件的企业。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1" w:hRule="atLeast"/>
          <w:jc w:val="center"/>
        </w:trPr>
        <w:tc>
          <w:tcPr>
            <w:tcW w:w="900" w:type="dxa"/>
            <w:vAlign w:val="center"/>
          </w:tcPr>
          <w:p>
            <w:pPr>
              <w:widowControl/>
              <w:spacing w:line="400" w:lineRule="exact"/>
              <w:jc w:val="center"/>
              <w:rPr>
                <w:rFonts w:ascii="宋体" w:hAnsi="宋体"/>
                <w:b/>
                <w:sz w:val="24"/>
              </w:rPr>
            </w:pPr>
            <w:r>
              <w:rPr>
                <w:rFonts w:ascii="宋体" w:hAnsi="宋体"/>
                <w:b/>
                <w:sz w:val="24"/>
              </w:rPr>
              <w:t>4</w:t>
            </w:r>
          </w:p>
        </w:tc>
        <w:tc>
          <w:tcPr>
            <w:tcW w:w="1484" w:type="dxa"/>
            <w:vAlign w:val="center"/>
          </w:tcPr>
          <w:p>
            <w:pPr>
              <w:widowControl/>
              <w:spacing w:line="400" w:lineRule="exact"/>
              <w:jc w:val="center"/>
              <w:rPr>
                <w:rFonts w:ascii="宋体"/>
                <w:b/>
                <w:sz w:val="24"/>
              </w:rPr>
            </w:pPr>
            <w:r>
              <w:rPr>
                <w:rFonts w:hint="eastAsia" w:ascii="宋体" w:hAnsi="宋体"/>
                <w:b/>
                <w:sz w:val="24"/>
              </w:rPr>
              <w:t>优惠办法：</w:t>
            </w:r>
          </w:p>
        </w:tc>
        <w:tc>
          <w:tcPr>
            <w:tcW w:w="6256" w:type="dxa"/>
          </w:tcPr>
          <w:p>
            <w:pPr>
              <w:spacing w:beforeLines="25" w:afterLines="25" w:line="400" w:lineRule="exact"/>
              <w:ind w:left="-65" w:leftChars="-31" w:firstLine="12" w:firstLineChars="5"/>
              <w:rPr>
                <w:rFonts w:ascii="宋体"/>
                <w:b/>
                <w:sz w:val="24"/>
              </w:rPr>
            </w:pPr>
            <w:r>
              <w:rPr>
                <w:rFonts w:hint="eastAsia" w:ascii="宋体" w:hAnsi="宋体"/>
                <w:b/>
                <w:sz w:val="24"/>
              </w:rPr>
              <w:t>小型企业或微型企业：</w:t>
            </w:r>
          </w:p>
          <w:p>
            <w:pPr>
              <w:spacing w:beforeLines="25" w:afterLines="25" w:line="400" w:lineRule="exact"/>
              <w:ind w:left="411"/>
              <w:rPr>
                <w:rFonts w:ascii="宋体"/>
                <w:color w:val="000000"/>
                <w:spacing w:val="-4"/>
                <w:sz w:val="24"/>
              </w:rPr>
            </w:pPr>
            <w:r>
              <w:rPr>
                <w:rFonts w:hint="eastAsia" w:ascii="宋体" w:hAnsi="宋体"/>
                <w:color w:val="000000"/>
                <w:spacing w:val="-4"/>
                <w:sz w:val="24"/>
              </w:rPr>
              <w:t>①</w:t>
            </w:r>
            <w:r>
              <w:rPr>
                <w:rFonts w:hint="eastAsia" w:ascii="宋体" w:hAnsi="宋体" w:cs="宋体"/>
                <w:color w:val="000000"/>
                <w:spacing w:val="-4"/>
                <w:sz w:val="24"/>
              </w:rPr>
              <w:t>履约保证金：按约定比例的</w:t>
            </w:r>
            <w:r>
              <w:rPr>
                <w:rFonts w:ascii="宋体" w:hAnsi="宋体" w:cs="宋体"/>
                <w:color w:val="000000"/>
                <w:spacing w:val="-4"/>
                <w:sz w:val="24"/>
              </w:rPr>
              <w:t>50%</w:t>
            </w:r>
            <w:r>
              <w:rPr>
                <w:rFonts w:hint="eastAsia" w:ascii="宋体" w:hAnsi="宋体" w:cs="宋体"/>
                <w:color w:val="000000"/>
                <w:spacing w:val="-4"/>
                <w:sz w:val="24"/>
              </w:rPr>
              <w:t>支付</w:t>
            </w:r>
            <w:r>
              <w:rPr>
                <w:rFonts w:hint="eastAsia" w:ascii="宋体" w:hAnsi="宋体"/>
                <w:color w:val="000000"/>
                <w:spacing w:val="-4"/>
                <w:sz w:val="24"/>
              </w:rPr>
              <w:t>（如果有的话）</w:t>
            </w:r>
          </w:p>
          <w:p>
            <w:pPr>
              <w:spacing w:beforeLines="25" w:afterLines="25" w:line="400" w:lineRule="exact"/>
              <w:ind w:left="-65" w:leftChars="-31" w:firstLine="475" w:firstLineChars="205"/>
              <w:rPr>
                <w:rFonts w:ascii="宋体"/>
                <w:color w:val="000000"/>
                <w:spacing w:val="-4"/>
                <w:sz w:val="24"/>
              </w:rPr>
            </w:pPr>
            <w:r>
              <w:rPr>
                <w:rFonts w:hint="eastAsia" w:ascii="宋体" w:hAnsi="宋体"/>
                <w:color w:val="000000"/>
                <w:spacing w:val="-4"/>
                <w:sz w:val="24"/>
              </w:rPr>
              <w:t>②价格扣除：按报价的</w:t>
            </w:r>
            <w:r>
              <w:rPr>
                <w:rFonts w:hint="eastAsia" w:ascii="宋体" w:hAnsi="宋体"/>
                <w:color w:val="FF0000"/>
                <w:spacing w:val="-4"/>
                <w:sz w:val="24"/>
                <w:u w:val="single"/>
              </w:rPr>
              <w:t>（</w:t>
            </w:r>
            <w:r>
              <w:rPr>
                <w:rFonts w:ascii="宋体" w:hAnsi="宋体"/>
                <w:color w:val="FF0000"/>
                <w:spacing w:val="-4"/>
                <w:sz w:val="24"/>
                <w:u w:val="single"/>
              </w:rPr>
              <w:t>94%</w:t>
            </w:r>
            <w:r>
              <w:rPr>
                <w:rFonts w:hint="eastAsia" w:ascii="宋体" w:hAnsi="宋体"/>
                <w:color w:val="FF0000"/>
                <w:spacing w:val="-4"/>
                <w:sz w:val="24"/>
                <w:u w:val="single"/>
              </w:rPr>
              <w:t>）</w:t>
            </w:r>
            <w:r>
              <w:rPr>
                <w:rFonts w:hint="eastAsia" w:ascii="宋体" w:hAnsi="宋体"/>
                <w:color w:val="000000"/>
                <w:spacing w:val="-4"/>
                <w:sz w:val="24"/>
              </w:rPr>
              <w:t>计算评审价</w:t>
            </w:r>
          </w:p>
          <w:p>
            <w:pPr>
              <w:spacing w:beforeLines="25" w:afterLines="25" w:line="400" w:lineRule="exact"/>
              <w:ind w:left="-65" w:leftChars="-31" w:firstLine="12" w:firstLineChars="5"/>
              <w:rPr>
                <w:rFonts w:ascii="宋体"/>
                <w:b/>
                <w:color w:val="000000"/>
                <w:spacing w:val="-4"/>
                <w:sz w:val="24"/>
              </w:rPr>
            </w:pPr>
            <w:r>
              <w:rPr>
                <w:rFonts w:hint="eastAsia" w:ascii="宋体" w:hAnsi="宋体"/>
                <w:b/>
                <w:color w:val="000000"/>
                <w:spacing w:val="-4"/>
                <w:sz w:val="24"/>
              </w:rPr>
              <w:t>中型企业：</w:t>
            </w:r>
          </w:p>
          <w:p>
            <w:pPr>
              <w:spacing w:line="400" w:lineRule="exact"/>
              <w:ind w:firstLine="464"/>
              <w:rPr>
                <w:rFonts w:ascii="宋体" w:cs="宋体"/>
                <w:sz w:val="24"/>
              </w:rPr>
            </w:pPr>
            <w:r>
              <w:rPr>
                <w:rFonts w:hint="eastAsia" w:ascii="宋体" w:hAnsi="宋体" w:cs="宋体"/>
                <w:sz w:val="24"/>
              </w:rPr>
              <w:t>履约保证金：按约定比例的</w:t>
            </w:r>
            <w:r>
              <w:rPr>
                <w:rFonts w:ascii="宋体" w:hAnsi="宋体" w:cs="宋体"/>
                <w:sz w:val="24"/>
              </w:rPr>
              <w:t>50%</w:t>
            </w:r>
            <w:r>
              <w:rPr>
                <w:rFonts w:hint="eastAsia" w:ascii="宋体" w:hAnsi="宋体" w:cs="宋体"/>
                <w:sz w:val="24"/>
              </w:rPr>
              <w:t>支付</w:t>
            </w:r>
            <w:r>
              <w:rPr>
                <w:rFonts w:hint="eastAsia" w:ascii="宋体" w:hAnsi="宋体"/>
                <w:sz w:val="24"/>
              </w:rPr>
              <w:t>（如果有的话）</w:t>
            </w:r>
          </w:p>
          <w:p>
            <w:pPr>
              <w:spacing w:beforeLines="25" w:afterLines="25" w:line="400" w:lineRule="exact"/>
              <w:ind w:firstLine="464" w:firstLineChars="200"/>
              <w:rPr>
                <w:rFonts w:ascii="宋体"/>
                <w:color w:val="000000"/>
                <w:spacing w:val="-4"/>
                <w:sz w:val="24"/>
              </w:rPr>
            </w:pPr>
            <w:r>
              <w:rPr>
                <w:rFonts w:hint="eastAsia" w:ascii="宋体" w:hAnsi="宋体"/>
                <w:color w:val="000000"/>
                <w:spacing w:val="-4"/>
                <w:sz w:val="24"/>
              </w:rPr>
              <w:t>注：</w:t>
            </w:r>
            <w:r>
              <w:rPr>
                <w:rFonts w:hint="eastAsia" w:ascii="宋体" w:hAnsi="宋体"/>
                <w:sz w:val="24"/>
              </w:rPr>
              <w:t>大、中型企业与小型、微型企业组成联合体共同参加非专门面向中小企业的政府采购活动的，不视为中小企业。但联合协议中若约定，小型、微型企业的协议合同金额占到联合体协议合同总金额</w:t>
            </w:r>
            <w:r>
              <w:rPr>
                <w:rFonts w:ascii="宋体" w:hAnsi="宋体"/>
                <w:sz w:val="24"/>
              </w:rPr>
              <w:t>30</w:t>
            </w:r>
            <w:r>
              <w:rPr>
                <w:rFonts w:hint="eastAsia" w:ascii="宋体" w:hAnsi="宋体"/>
                <w:sz w:val="24"/>
              </w:rPr>
              <w:t>％以上的，可给予联合体</w:t>
            </w:r>
            <w:r>
              <w:rPr>
                <w:rFonts w:ascii="宋体" w:hAnsi="宋体"/>
                <w:sz w:val="24"/>
              </w:rPr>
              <w:t>2</w:t>
            </w:r>
            <w:r>
              <w:rPr>
                <w:rFonts w:hint="eastAsia" w:ascii="宋体" w:hAnsi="宋体"/>
                <w:sz w:val="24"/>
              </w:rPr>
              <w:t>％</w:t>
            </w:r>
            <w:r>
              <w:rPr>
                <w:rFonts w:ascii="宋体" w:hAnsi="宋体"/>
                <w:sz w:val="24"/>
              </w:rPr>
              <w:t>-3%</w:t>
            </w:r>
            <w:r>
              <w:rPr>
                <w:rFonts w:hint="eastAsia" w:ascii="宋体" w:hAnsi="宋体"/>
                <w:sz w:val="24"/>
              </w:rPr>
              <w:t>的价格扣除，用扣除后的价格参与评审（包括价格因素得分的计算）。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00" w:type="dxa"/>
            <w:vAlign w:val="center"/>
          </w:tcPr>
          <w:p>
            <w:pPr>
              <w:widowControl/>
              <w:spacing w:line="400" w:lineRule="exact"/>
              <w:jc w:val="center"/>
              <w:rPr>
                <w:rFonts w:ascii="宋体" w:hAnsi="宋体"/>
                <w:b/>
                <w:sz w:val="24"/>
              </w:rPr>
            </w:pPr>
            <w:r>
              <w:rPr>
                <w:rFonts w:ascii="宋体" w:hAnsi="宋体"/>
                <w:b/>
                <w:sz w:val="24"/>
              </w:rPr>
              <w:t>5</w:t>
            </w:r>
          </w:p>
        </w:tc>
        <w:tc>
          <w:tcPr>
            <w:tcW w:w="1484" w:type="dxa"/>
            <w:vAlign w:val="center"/>
          </w:tcPr>
          <w:p>
            <w:pPr>
              <w:widowControl/>
              <w:spacing w:line="400" w:lineRule="exact"/>
              <w:jc w:val="center"/>
              <w:rPr>
                <w:rFonts w:ascii="宋体"/>
                <w:b/>
                <w:sz w:val="24"/>
              </w:rPr>
            </w:pPr>
            <w:r>
              <w:rPr>
                <w:rFonts w:hint="eastAsia" w:ascii="宋体" w:hAnsi="宋体"/>
                <w:b/>
                <w:sz w:val="24"/>
              </w:rPr>
              <w:t>小型或微型企业产品价格清单</w:t>
            </w:r>
          </w:p>
        </w:tc>
        <w:tc>
          <w:tcPr>
            <w:tcW w:w="6256" w:type="dxa"/>
          </w:tcPr>
          <w:p>
            <w:pPr>
              <w:spacing w:line="400" w:lineRule="exact"/>
              <w:rPr>
                <w:rFonts w:ascii="宋体"/>
                <w:b/>
                <w:sz w:val="24"/>
              </w:rPr>
            </w:pPr>
            <w:r>
              <w:rPr>
                <w:rFonts w:hint="eastAsia" w:ascii="宋体" w:hAnsi="宋体"/>
                <w:sz w:val="24"/>
              </w:rPr>
              <w:t>（</w:t>
            </w:r>
            <w:r>
              <w:rPr>
                <w:rFonts w:hint="eastAsia" w:ascii="宋体" w:hAnsi="宋体"/>
                <w:b/>
                <w:sz w:val="24"/>
              </w:rPr>
              <w:t>本清单附在《中小企业声明函》后，不附所投产品视为非小微企业产品）</w:t>
            </w:r>
          </w:p>
          <w:tbl>
            <w:tblPr>
              <w:tblStyle w:val="17"/>
              <w:tblW w:w="5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962"/>
              <w:gridCol w:w="834"/>
              <w:gridCol w:w="1899"/>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7" w:type="dxa"/>
                  <w:gridSpan w:val="5"/>
                  <w:tcBorders>
                    <w:top w:val="single" w:color="auto" w:sz="4" w:space="0"/>
                    <w:left w:val="single" w:color="auto" w:sz="4" w:space="0"/>
                    <w:bottom w:val="single" w:color="auto" w:sz="4" w:space="0"/>
                    <w:right w:val="single" w:color="auto" w:sz="4" w:space="0"/>
                  </w:tcBorders>
                </w:tcPr>
                <w:p>
                  <w:pPr>
                    <w:spacing w:line="400" w:lineRule="exact"/>
                    <w:jc w:val="center"/>
                    <w:rPr>
                      <w:rFonts w:ascii="宋体"/>
                      <w:sz w:val="24"/>
                    </w:rPr>
                  </w:pPr>
                  <w:r>
                    <w:rPr>
                      <w:rFonts w:hint="eastAsia" w:ascii="宋体" w:hAnsi="宋体"/>
                      <w:b/>
                      <w:sz w:val="24"/>
                    </w:rPr>
                    <w:t>小型或微型企业产品价格清单</w:t>
                  </w:r>
                </w:p>
                <w:p>
                  <w:pPr>
                    <w:spacing w:line="400" w:lineRule="exact"/>
                    <w:rPr>
                      <w:rFonts w:ascii="宋体"/>
                      <w:sz w:val="24"/>
                    </w:rPr>
                  </w:pPr>
                  <w:r>
                    <w:rPr>
                      <w:rFonts w:hint="eastAsia" w:ascii="宋体" w:hAnsi="宋体"/>
                      <w:sz w:val="24"/>
                    </w:rPr>
                    <w:t>供应商中小企业性质（中型、小型、微型）：</w:t>
                  </w:r>
                  <w:r>
                    <w:rPr>
                      <w:rFonts w:ascii="宋体" w:hAnsi="宋体"/>
                      <w:sz w:val="24"/>
                      <w:u w:val="single"/>
                    </w:rPr>
                    <w:t xml:space="preserve">                        </w:t>
                  </w:r>
                </w:p>
                <w:p>
                  <w:pPr>
                    <w:spacing w:line="400" w:lineRule="exact"/>
                    <w:rPr>
                      <w:rFonts w:ascii="宋体"/>
                      <w:sz w:val="24"/>
                    </w:rPr>
                  </w:pPr>
                  <w:r>
                    <w:rPr>
                      <w:rFonts w:hint="eastAsia" w:ascii="宋体" w:hAnsi="宋体"/>
                      <w:sz w:val="24"/>
                    </w:rPr>
                    <w:t>备注：如供应商为大型或中型企业，表格以下部分无需填写。如供应商所投货物无论全部或者部分为小微企业产品，均需在表格中进行明确。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sz w:val="24"/>
                    </w:rPr>
                  </w:pPr>
                  <w:r>
                    <w:rPr>
                      <w:rFonts w:hint="eastAsia" w:ascii="宋体" w:hAnsi="宋体"/>
                      <w:sz w:val="24"/>
                    </w:rPr>
                    <w:t>序号</w:t>
                  </w:r>
                </w:p>
              </w:tc>
              <w:tc>
                <w:tcPr>
                  <w:tcW w:w="9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sz w:val="24"/>
                    </w:rPr>
                  </w:pPr>
                  <w:r>
                    <w:rPr>
                      <w:rFonts w:hint="eastAsia" w:ascii="宋体" w:hAnsi="宋体"/>
                      <w:sz w:val="24"/>
                    </w:rPr>
                    <w:t>货物名称</w:t>
                  </w:r>
                </w:p>
              </w:tc>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sz w:val="24"/>
                    </w:rPr>
                  </w:pPr>
                  <w:r>
                    <w:rPr>
                      <w:rFonts w:hint="eastAsia" w:ascii="宋体" w:hAnsi="宋体"/>
                      <w:sz w:val="24"/>
                    </w:rPr>
                    <w:t>制造商</w:t>
                  </w:r>
                </w:p>
              </w:tc>
              <w:tc>
                <w:tcPr>
                  <w:tcW w:w="189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sz w:val="24"/>
                    </w:rPr>
                  </w:pPr>
                  <w:r>
                    <w:rPr>
                      <w:rFonts w:hint="eastAsia" w:ascii="宋体" w:hAnsi="宋体"/>
                      <w:sz w:val="24"/>
                    </w:rPr>
                    <w:t>制造商性质（小型、微型）</w:t>
                  </w:r>
                </w:p>
              </w:tc>
              <w:tc>
                <w:tcPr>
                  <w:tcW w:w="13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sz w:val="24"/>
                    </w:rPr>
                  </w:pPr>
                  <w:r>
                    <w:rPr>
                      <w:rFonts w:hint="eastAsia" w:ascii="宋体" w:hAnsi="宋体"/>
                      <w:sz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r>
                    <w:rPr>
                      <w:rFonts w:ascii="宋体" w:hAnsi="宋体"/>
                      <w:sz w:val="24"/>
                    </w:rPr>
                    <w:t>1</w:t>
                  </w:r>
                </w:p>
              </w:tc>
              <w:tc>
                <w:tcPr>
                  <w:tcW w:w="962"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p>
              </w:tc>
              <w:tc>
                <w:tcPr>
                  <w:tcW w:w="1899"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p>
              </w:tc>
              <w:tc>
                <w:tcPr>
                  <w:tcW w:w="131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r>
                    <w:rPr>
                      <w:rFonts w:ascii="宋体" w:hAnsi="宋体"/>
                      <w:sz w:val="24"/>
                    </w:rPr>
                    <w:t>2</w:t>
                  </w:r>
                </w:p>
              </w:tc>
              <w:tc>
                <w:tcPr>
                  <w:tcW w:w="962"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p>
              </w:tc>
              <w:tc>
                <w:tcPr>
                  <w:tcW w:w="1899"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p>
              </w:tc>
              <w:tc>
                <w:tcPr>
                  <w:tcW w:w="131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r>
                    <w:rPr>
                      <w:rFonts w:ascii="宋体" w:hAnsi="宋体"/>
                      <w:sz w:val="24"/>
                    </w:rPr>
                    <w:t>3</w:t>
                  </w:r>
                </w:p>
              </w:tc>
              <w:tc>
                <w:tcPr>
                  <w:tcW w:w="962"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p>
              </w:tc>
              <w:tc>
                <w:tcPr>
                  <w:tcW w:w="1899"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p>
              </w:tc>
              <w:tc>
                <w:tcPr>
                  <w:tcW w:w="131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Borders>
                    <w:top w:val="single" w:color="auto" w:sz="4" w:space="0"/>
                    <w:left w:val="single" w:color="auto" w:sz="4" w:space="0"/>
                    <w:bottom w:val="single" w:color="auto" w:sz="4" w:space="0"/>
                    <w:right w:val="single" w:color="auto" w:sz="4" w:space="0"/>
                  </w:tcBorders>
                </w:tcPr>
                <w:p>
                  <w:pPr>
                    <w:spacing w:line="400" w:lineRule="exact"/>
                    <w:rPr>
                      <w:rFonts w:ascii="宋体"/>
                      <w:sz w:val="24"/>
                    </w:rPr>
                  </w:pPr>
                  <w:r>
                    <w:rPr>
                      <w:rFonts w:hint="eastAsia" w:ascii="宋体" w:hAnsi="宋体"/>
                      <w:sz w:val="24"/>
                    </w:rPr>
                    <w:t>……</w:t>
                  </w:r>
                </w:p>
              </w:tc>
              <w:tc>
                <w:tcPr>
                  <w:tcW w:w="962" w:type="dxa"/>
                  <w:tcBorders>
                    <w:top w:val="single" w:color="auto" w:sz="4" w:space="0"/>
                    <w:left w:val="single" w:color="auto" w:sz="4" w:space="0"/>
                    <w:bottom w:val="single" w:color="auto" w:sz="4" w:space="0"/>
                    <w:right w:val="single" w:color="auto" w:sz="4" w:space="0"/>
                  </w:tcBorders>
                </w:tcPr>
                <w:p>
                  <w:pPr>
                    <w:spacing w:line="400" w:lineRule="exact"/>
                    <w:rPr>
                      <w:rFonts w:ascii="宋体"/>
                      <w:sz w:val="24"/>
                    </w:rPr>
                  </w:pPr>
                </w:p>
              </w:tc>
              <w:tc>
                <w:tcPr>
                  <w:tcW w:w="834" w:type="dxa"/>
                  <w:tcBorders>
                    <w:top w:val="single" w:color="auto" w:sz="4" w:space="0"/>
                    <w:left w:val="single" w:color="auto" w:sz="4" w:space="0"/>
                    <w:bottom w:val="single" w:color="auto" w:sz="4" w:space="0"/>
                    <w:right w:val="single" w:color="auto" w:sz="4" w:space="0"/>
                  </w:tcBorders>
                </w:tcPr>
                <w:p>
                  <w:pPr>
                    <w:spacing w:line="400" w:lineRule="exact"/>
                    <w:rPr>
                      <w:rFonts w:ascii="宋体"/>
                      <w:sz w:val="24"/>
                    </w:rPr>
                  </w:pPr>
                </w:p>
              </w:tc>
              <w:tc>
                <w:tcPr>
                  <w:tcW w:w="1899" w:type="dxa"/>
                  <w:tcBorders>
                    <w:top w:val="single" w:color="auto" w:sz="4" w:space="0"/>
                    <w:left w:val="single" w:color="auto" w:sz="4" w:space="0"/>
                    <w:bottom w:val="single" w:color="auto" w:sz="4" w:space="0"/>
                    <w:right w:val="single" w:color="auto" w:sz="4" w:space="0"/>
                  </w:tcBorders>
                </w:tcPr>
                <w:p>
                  <w:pPr>
                    <w:spacing w:line="400" w:lineRule="exact"/>
                    <w:rPr>
                      <w:rFonts w:ascii="宋体"/>
                      <w:sz w:val="24"/>
                    </w:rPr>
                  </w:pPr>
                </w:p>
              </w:tc>
              <w:tc>
                <w:tcPr>
                  <w:tcW w:w="1316" w:type="dxa"/>
                  <w:tcBorders>
                    <w:top w:val="single" w:color="auto" w:sz="4" w:space="0"/>
                    <w:left w:val="single" w:color="auto" w:sz="4" w:space="0"/>
                    <w:bottom w:val="single" w:color="auto" w:sz="4" w:space="0"/>
                    <w:right w:val="single" w:color="auto" w:sz="4" w:space="0"/>
                  </w:tcBorders>
                </w:tcPr>
                <w:p>
                  <w:pPr>
                    <w:spacing w:line="4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r>
                    <w:rPr>
                      <w:rFonts w:hint="eastAsia" w:ascii="宋体" w:hAnsi="宋体"/>
                      <w:sz w:val="24"/>
                    </w:rPr>
                    <w:t>小型或微型企业货物金额合计</w:t>
                  </w:r>
                  <w:r>
                    <w:rPr>
                      <w:rFonts w:ascii="宋体" w:hAnsi="宋体"/>
                      <w:sz w:val="24"/>
                    </w:rPr>
                    <w:t>A</w:t>
                  </w:r>
                </w:p>
              </w:tc>
              <w:tc>
                <w:tcPr>
                  <w:tcW w:w="1316" w:type="dxa"/>
                  <w:tcBorders>
                    <w:top w:val="single" w:color="auto" w:sz="4" w:space="0"/>
                    <w:left w:val="single" w:color="auto" w:sz="4" w:space="0"/>
                    <w:bottom w:val="single" w:color="auto" w:sz="4" w:space="0"/>
                    <w:right w:val="single" w:color="auto" w:sz="4" w:space="0"/>
                  </w:tcBorders>
                </w:tcPr>
                <w:p>
                  <w:pPr>
                    <w:spacing w:line="4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r>
                    <w:rPr>
                      <w:rFonts w:hint="eastAsia" w:ascii="宋体" w:hAnsi="宋体"/>
                      <w:sz w:val="24"/>
                    </w:rPr>
                    <w:t>报价一览表中所有货物报价</w:t>
                  </w:r>
                  <w:r>
                    <w:rPr>
                      <w:rFonts w:ascii="宋体" w:hAnsi="宋体"/>
                      <w:sz w:val="24"/>
                    </w:rPr>
                    <w:t>B</w:t>
                  </w:r>
                </w:p>
              </w:tc>
              <w:tc>
                <w:tcPr>
                  <w:tcW w:w="1316" w:type="dxa"/>
                  <w:tcBorders>
                    <w:top w:val="single" w:color="auto" w:sz="4" w:space="0"/>
                    <w:left w:val="single" w:color="auto" w:sz="4" w:space="0"/>
                    <w:bottom w:val="single" w:color="auto" w:sz="4" w:space="0"/>
                    <w:right w:val="single" w:color="auto" w:sz="4" w:space="0"/>
                  </w:tcBorders>
                </w:tcPr>
                <w:p>
                  <w:pPr>
                    <w:spacing w:line="4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r>
                    <w:rPr>
                      <w:rFonts w:hint="eastAsia" w:ascii="宋体" w:hAnsi="宋体"/>
                      <w:sz w:val="24"/>
                    </w:rPr>
                    <w:t>评审价格</w:t>
                  </w:r>
                  <w:r>
                    <w:rPr>
                      <w:rFonts w:ascii="宋体" w:hAnsi="宋体"/>
                      <w:sz w:val="24"/>
                    </w:rPr>
                    <w:t>C=</w:t>
                  </w:r>
                  <w:r>
                    <w:rPr>
                      <w:rFonts w:hint="eastAsia" w:ascii="宋体" w:hAnsi="宋体"/>
                      <w:color w:val="FF0000"/>
                      <w:sz w:val="24"/>
                      <w:u w:val="single"/>
                    </w:rPr>
                    <w:t>（</w:t>
                  </w:r>
                  <w:r>
                    <w:rPr>
                      <w:rFonts w:ascii="宋体" w:hAnsi="宋体"/>
                      <w:color w:val="FF0000"/>
                      <w:sz w:val="24"/>
                      <w:u w:val="single"/>
                    </w:rPr>
                    <w:t>0.94</w:t>
                  </w:r>
                  <w:r>
                    <w:rPr>
                      <w:rFonts w:hint="eastAsia" w:ascii="宋体" w:hAnsi="宋体"/>
                      <w:color w:val="FF0000"/>
                      <w:sz w:val="24"/>
                      <w:u w:val="single"/>
                    </w:rPr>
                    <w:t>）</w:t>
                  </w:r>
                  <w:r>
                    <w:rPr>
                      <w:rFonts w:ascii="宋体" w:hAnsi="宋体"/>
                      <w:sz w:val="24"/>
                    </w:rPr>
                    <w:t>*A+B-A</w:t>
                  </w:r>
                </w:p>
              </w:tc>
              <w:tc>
                <w:tcPr>
                  <w:tcW w:w="1316" w:type="dxa"/>
                  <w:tcBorders>
                    <w:top w:val="single" w:color="auto" w:sz="4" w:space="0"/>
                    <w:left w:val="single" w:color="auto" w:sz="4" w:space="0"/>
                    <w:bottom w:val="single" w:color="auto" w:sz="4" w:space="0"/>
                    <w:right w:val="single" w:color="auto" w:sz="4" w:space="0"/>
                  </w:tcBorders>
                </w:tcPr>
                <w:p>
                  <w:pPr>
                    <w:spacing w:line="400" w:lineRule="exact"/>
                    <w:rPr>
                      <w:rFonts w:ascii="宋体"/>
                      <w:sz w:val="24"/>
                    </w:rPr>
                  </w:pPr>
                </w:p>
              </w:tc>
            </w:tr>
          </w:tbl>
          <w:p>
            <w:pPr>
              <w:spacing w:beforeLines="25" w:afterLines="25" w:line="400" w:lineRule="exact"/>
              <w:rPr>
                <w:rFonts w:ascii="宋体" w:hAnsi="宋体"/>
                <w:b/>
                <w:sz w:val="24"/>
              </w:rPr>
            </w:pPr>
            <w:r>
              <w:rPr>
                <w:rFonts w:ascii="宋体" w:hAnsi="宋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vAlign w:val="center"/>
          </w:tcPr>
          <w:p>
            <w:pPr>
              <w:widowControl/>
              <w:spacing w:line="400" w:lineRule="exact"/>
              <w:jc w:val="center"/>
              <w:rPr>
                <w:rFonts w:ascii="宋体" w:hAnsi="宋体"/>
                <w:b/>
                <w:sz w:val="24"/>
              </w:rPr>
            </w:pPr>
            <w:r>
              <w:rPr>
                <w:rFonts w:ascii="宋体" w:hAnsi="宋体"/>
                <w:b/>
                <w:sz w:val="24"/>
              </w:rPr>
              <w:t>6</w:t>
            </w:r>
          </w:p>
        </w:tc>
        <w:tc>
          <w:tcPr>
            <w:tcW w:w="1484" w:type="dxa"/>
            <w:vAlign w:val="center"/>
          </w:tcPr>
          <w:p>
            <w:pPr>
              <w:widowControl/>
              <w:spacing w:line="400" w:lineRule="exact"/>
              <w:jc w:val="center"/>
              <w:rPr>
                <w:rFonts w:ascii="宋体"/>
                <w:b/>
                <w:sz w:val="24"/>
              </w:rPr>
            </w:pPr>
            <w:r>
              <w:rPr>
                <w:rFonts w:hint="eastAsia" w:ascii="宋体" w:hAnsi="宋体"/>
                <w:b/>
                <w:sz w:val="24"/>
              </w:rPr>
              <w:t>证明材料</w:t>
            </w:r>
          </w:p>
        </w:tc>
        <w:tc>
          <w:tcPr>
            <w:tcW w:w="6256" w:type="dxa"/>
          </w:tcPr>
          <w:p>
            <w:pPr>
              <w:spacing w:line="400" w:lineRule="exact"/>
              <w:ind w:firstLine="480" w:firstLineChars="200"/>
              <w:rPr>
                <w:rFonts w:ascii="宋体" w:hAnsi="宋体"/>
                <w:sz w:val="24"/>
              </w:rPr>
            </w:pPr>
            <w:r>
              <w:rPr>
                <w:rFonts w:hint="eastAsia" w:ascii="宋体" w:hAnsi="宋体"/>
                <w:sz w:val="24"/>
              </w:rPr>
              <w:t>供应商参与谈判响应时须对照《中小企业划型标准规定》（工信部联企业</w:t>
            </w:r>
            <w:r>
              <w:rPr>
                <w:rFonts w:ascii="宋体" w:hAnsi="宋体"/>
                <w:sz w:val="24"/>
              </w:rPr>
              <w:t>[2011]300</w:t>
            </w:r>
            <w:r>
              <w:rPr>
                <w:rFonts w:hint="eastAsia" w:ascii="宋体" w:hAnsi="宋体"/>
                <w:sz w:val="24"/>
              </w:rPr>
              <w:t>号）文件规定，提供《中小企业声明函》。</w:t>
            </w:r>
            <w:r>
              <w:rPr>
                <w:rFonts w:ascii="宋体" w:hAnsi="宋体"/>
                <w:sz w:val="24"/>
              </w:rPr>
              <w:t xml:space="preserve"> </w:t>
            </w:r>
          </w:p>
          <w:p>
            <w:pPr>
              <w:spacing w:line="400" w:lineRule="exact"/>
              <w:ind w:firstLine="480" w:firstLineChars="200"/>
              <w:rPr>
                <w:rFonts w:ascii="宋体"/>
                <w:sz w:val="24"/>
              </w:rPr>
            </w:pPr>
            <w:r>
              <w:rPr>
                <w:rFonts w:hint="eastAsia" w:ascii="宋体" w:hAnsi="宋体"/>
                <w:sz w:val="24"/>
              </w:rPr>
              <w:t>符合监狱企业政策的供应商参与谈判时需提供</w:t>
            </w:r>
            <w:r>
              <w:rPr>
                <w:rFonts w:hint="eastAsia" w:ascii="宋体" w:cs="宋体"/>
                <w:kern w:val="0"/>
                <w:sz w:val="24"/>
              </w:rPr>
              <w:t>省级以上监狱管理局、戒毒管理局（含新疆生产建设兵团）出具的属于监狱企业的证明文件。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vAlign w:val="center"/>
          </w:tcPr>
          <w:p>
            <w:pPr>
              <w:widowControl/>
              <w:spacing w:line="400" w:lineRule="exact"/>
              <w:jc w:val="center"/>
              <w:rPr>
                <w:rFonts w:ascii="宋体" w:hAnsi="宋体"/>
                <w:b/>
                <w:sz w:val="24"/>
              </w:rPr>
            </w:pPr>
            <w:r>
              <w:rPr>
                <w:rFonts w:ascii="宋体" w:hAnsi="宋体"/>
                <w:b/>
                <w:sz w:val="24"/>
              </w:rPr>
              <w:t>7</w:t>
            </w:r>
          </w:p>
        </w:tc>
        <w:tc>
          <w:tcPr>
            <w:tcW w:w="1484" w:type="dxa"/>
            <w:vAlign w:val="center"/>
          </w:tcPr>
          <w:p>
            <w:pPr>
              <w:widowControl/>
              <w:spacing w:line="400" w:lineRule="exact"/>
              <w:jc w:val="center"/>
              <w:rPr>
                <w:rFonts w:ascii="宋体"/>
                <w:b/>
                <w:sz w:val="24"/>
              </w:rPr>
            </w:pPr>
            <w:r>
              <w:rPr>
                <w:rFonts w:hint="eastAsia" w:ascii="宋体" w:hAnsi="宋体"/>
                <w:b/>
                <w:sz w:val="24"/>
              </w:rPr>
              <w:t>相关风险</w:t>
            </w:r>
          </w:p>
        </w:tc>
        <w:tc>
          <w:tcPr>
            <w:tcW w:w="6256" w:type="dxa"/>
          </w:tcPr>
          <w:p>
            <w:pPr>
              <w:spacing w:line="400" w:lineRule="exact"/>
              <w:ind w:firstLine="482" w:firstLineChars="200"/>
              <w:rPr>
                <w:rFonts w:ascii="宋体"/>
                <w:b/>
                <w:sz w:val="24"/>
              </w:rPr>
            </w:pPr>
            <w:r>
              <w:rPr>
                <w:rFonts w:hint="eastAsia" w:ascii="宋体" w:hAnsi="宋体"/>
                <w:b/>
                <w:sz w:val="24"/>
              </w:rPr>
              <w:t>一、经评审委员会评审，存在下列任一情况的，谈判供应商将不被视为中小企业：</w:t>
            </w:r>
          </w:p>
          <w:p>
            <w:pPr>
              <w:spacing w:line="400" w:lineRule="exact"/>
              <w:ind w:firstLine="480" w:firstLineChars="200"/>
              <w:rPr>
                <w:rFonts w:ascii="宋体"/>
                <w:sz w:val="24"/>
              </w:rPr>
            </w:pPr>
            <w:r>
              <w:rPr>
                <w:rFonts w:ascii="宋体" w:hAnsi="宋体"/>
                <w:sz w:val="24"/>
              </w:rPr>
              <w:t xml:space="preserve">1. </w:t>
            </w:r>
            <w:r>
              <w:rPr>
                <w:rFonts w:hint="eastAsia" w:ascii="宋体" w:hAnsi="宋体"/>
                <w:sz w:val="24"/>
              </w:rPr>
              <w:t>谈判供应商不符合“工信部联企业</w:t>
            </w:r>
            <w:r>
              <w:rPr>
                <w:rFonts w:ascii="宋体" w:hAnsi="宋体"/>
                <w:sz w:val="24"/>
              </w:rPr>
              <w:t>[2011]300</w:t>
            </w:r>
            <w:r>
              <w:rPr>
                <w:rFonts w:hint="eastAsia" w:ascii="宋体" w:hAnsi="宋体"/>
                <w:sz w:val="24"/>
              </w:rPr>
              <w:t>号”规定的中小企业标准的；</w:t>
            </w:r>
          </w:p>
          <w:p>
            <w:pPr>
              <w:spacing w:line="400" w:lineRule="exact"/>
              <w:ind w:firstLine="480" w:firstLineChars="200"/>
              <w:rPr>
                <w:rFonts w:ascii="宋体"/>
                <w:sz w:val="24"/>
              </w:rPr>
            </w:pPr>
            <w:r>
              <w:rPr>
                <w:rFonts w:ascii="宋体" w:hAnsi="宋体"/>
                <w:sz w:val="24"/>
              </w:rPr>
              <w:t>2.</w:t>
            </w:r>
            <w:r>
              <w:rPr>
                <w:rFonts w:hint="eastAsia" w:ascii="宋体" w:hAnsi="宋体"/>
                <w:sz w:val="24"/>
              </w:rPr>
              <w:t>投标货物全部或部分为使用大型企业注册商标的货物的；</w:t>
            </w:r>
          </w:p>
          <w:p>
            <w:pPr>
              <w:spacing w:line="400" w:lineRule="exact"/>
              <w:ind w:firstLine="480" w:firstLineChars="200"/>
              <w:rPr>
                <w:rFonts w:ascii="宋体"/>
                <w:sz w:val="24"/>
              </w:rPr>
            </w:pPr>
            <w:r>
              <w:rPr>
                <w:rFonts w:ascii="宋体" w:hAnsi="宋体"/>
                <w:sz w:val="24"/>
              </w:rPr>
              <w:t xml:space="preserve">3. </w:t>
            </w:r>
            <w:r>
              <w:rPr>
                <w:rFonts w:hint="eastAsia" w:ascii="宋体" w:hAnsi="宋体"/>
                <w:sz w:val="24"/>
              </w:rPr>
              <w:t>响应文件中标明的中小企业产品的制造商不符合“工信部联企业</w:t>
            </w:r>
            <w:r>
              <w:rPr>
                <w:rFonts w:ascii="宋体" w:hAnsi="宋体"/>
                <w:sz w:val="24"/>
              </w:rPr>
              <w:t>[2011]300</w:t>
            </w:r>
            <w:r>
              <w:rPr>
                <w:rFonts w:hint="eastAsia" w:ascii="宋体" w:hAnsi="宋体"/>
                <w:sz w:val="24"/>
              </w:rPr>
              <w:t>号”规定的中小企业标准的；</w:t>
            </w:r>
          </w:p>
          <w:p>
            <w:pPr>
              <w:spacing w:line="400" w:lineRule="exact"/>
              <w:ind w:firstLine="480" w:firstLineChars="200"/>
              <w:rPr>
                <w:rFonts w:ascii="宋体"/>
                <w:sz w:val="24"/>
              </w:rPr>
            </w:pPr>
            <w:r>
              <w:rPr>
                <w:rFonts w:ascii="宋体" w:hAnsi="宋体"/>
                <w:sz w:val="24"/>
              </w:rPr>
              <w:t>4.</w:t>
            </w:r>
            <w:r>
              <w:rPr>
                <w:rFonts w:hint="eastAsia" w:ascii="宋体" w:hAnsi="宋体"/>
                <w:sz w:val="24"/>
              </w:rPr>
              <w:t>、未按本附表第</w:t>
            </w:r>
            <w:r>
              <w:rPr>
                <w:rFonts w:ascii="宋体" w:hAnsi="宋体"/>
                <w:sz w:val="24"/>
              </w:rPr>
              <w:t>5</w:t>
            </w:r>
            <w:r>
              <w:rPr>
                <w:rFonts w:hint="eastAsia" w:ascii="宋体" w:hAnsi="宋体"/>
                <w:sz w:val="24"/>
              </w:rPr>
              <w:t>项要求提供合法、有效、完整资料的。</w:t>
            </w:r>
          </w:p>
          <w:p>
            <w:pPr>
              <w:spacing w:line="400" w:lineRule="exact"/>
              <w:ind w:firstLine="482" w:firstLineChars="200"/>
              <w:rPr>
                <w:rFonts w:ascii="宋体" w:cs="SimSun-Identity-H"/>
                <w:b/>
                <w:kern w:val="0"/>
                <w:sz w:val="24"/>
              </w:rPr>
            </w:pPr>
            <w:r>
              <w:rPr>
                <w:rFonts w:hint="eastAsia" w:ascii="宋体" w:hAnsi="宋体" w:cs="SimSun-Identity-H"/>
                <w:b/>
                <w:kern w:val="0"/>
                <w:sz w:val="24"/>
              </w:rPr>
              <w:t>二、提供虚假证明材料后果：</w:t>
            </w:r>
          </w:p>
          <w:p>
            <w:pPr>
              <w:spacing w:line="400" w:lineRule="exact"/>
              <w:ind w:firstLine="480" w:firstLineChars="200"/>
              <w:rPr>
                <w:rFonts w:ascii="宋体"/>
                <w:sz w:val="24"/>
              </w:rPr>
            </w:pPr>
            <w:r>
              <w:rPr>
                <w:rFonts w:hint="eastAsia" w:ascii="宋体" w:hAnsi="宋体" w:cs="SimSun-Identity-H"/>
                <w:kern w:val="0"/>
                <w:sz w:val="24"/>
              </w:rPr>
              <w:t>供应商为取得中小企业身份而提供虚假证明材料，在评审过程中发现的，按无效响应处理，谈判保证金不予退还；已取得成交资格的，无论该行为是否影响成交，均取消其成交资格，谈判保证金、采购代理服务费不予退还，该供应商还应承担由此引起的其他经济、法律责任。出现此种情形时，采购人、采购代理机构将有关情况上报政府采购监管部门，由监管部门按有关规定对其进行相应处罚。</w:t>
            </w:r>
          </w:p>
        </w:tc>
      </w:tr>
    </w:tbl>
    <w:p>
      <w:pPr>
        <w:spacing w:line="400" w:lineRule="exact"/>
        <w:outlineLvl w:val="0"/>
        <w:rPr>
          <w:rFonts w:ascii="宋体"/>
          <w:bCs/>
          <w:sz w:val="24"/>
        </w:rPr>
      </w:pPr>
    </w:p>
    <w:p>
      <w:pPr>
        <w:spacing w:line="400" w:lineRule="exact"/>
        <w:jc w:val="center"/>
        <w:outlineLvl w:val="0"/>
        <w:rPr>
          <w:rFonts w:ascii="宋体"/>
          <w:b/>
          <w:bCs/>
          <w:sz w:val="24"/>
          <w:u w:val="single"/>
        </w:rPr>
      </w:pPr>
      <w:r>
        <w:rPr>
          <w:rFonts w:hint="eastAsia" w:ascii="宋体" w:hAnsi="宋体"/>
          <w:b/>
          <w:bCs/>
          <w:sz w:val="24"/>
          <w:u w:val="single"/>
        </w:rPr>
        <w:t>谈判供应商须知前附表</w:t>
      </w:r>
      <w:r>
        <w:rPr>
          <w:rFonts w:ascii="宋体" w:hAnsi="宋体"/>
          <w:b/>
          <w:bCs/>
          <w:sz w:val="24"/>
          <w:u w:val="single"/>
        </w:rPr>
        <w:t>5</w:t>
      </w:r>
      <w:r>
        <w:rPr>
          <w:rFonts w:hint="eastAsia" w:ascii="宋体" w:hAnsi="宋体"/>
          <w:b/>
          <w:bCs/>
          <w:sz w:val="24"/>
          <w:u w:val="single"/>
        </w:rPr>
        <w:t>：节能、环境标志信息安全产品采购政策</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00" w:lineRule="exact"/>
              <w:ind w:firstLine="600"/>
              <w:jc w:val="center"/>
              <w:rPr>
                <w:rFonts w:ascii="宋体"/>
                <w:b/>
                <w:sz w:val="24"/>
              </w:rPr>
            </w:pPr>
            <w:r>
              <w:rPr>
                <w:rFonts w:hint="eastAsia" w:ascii="宋体" w:hAnsi="宋体"/>
                <w:b/>
                <w:sz w:val="24"/>
              </w:rPr>
              <w:t>二、节能、环境标志、信息安全产品优先采购政策</w:t>
            </w:r>
          </w:p>
          <w:p>
            <w:pPr>
              <w:spacing w:line="400" w:lineRule="exact"/>
              <w:ind w:firstLine="600"/>
              <w:rPr>
                <w:rFonts w:ascii="宋体"/>
                <w:sz w:val="24"/>
              </w:rPr>
            </w:pPr>
            <w:r>
              <w:rPr>
                <w:rFonts w:hint="eastAsia" w:ascii="宋体" w:hAnsi="宋体"/>
                <w:sz w:val="24"/>
              </w:rPr>
              <w:t>（一）节能产品按财政部、国家发改委公布的当期有效的《政府采购节能产品清单》认定；环境标志产品按财政部、环境保护部公布的当期有效的《环境标志产品政府采购清单》认定；</w:t>
            </w:r>
          </w:p>
          <w:p>
            <w:pPr>
              <w:spacing w:line="400" w:lineRule="exact"/>
              <w:ind w:firstLine="600"/>
              <w:rPr>
                <w:rFonts w:ascii="宋体"/>
                <w:sz w:val="24"/>
              </w:rPr>
            </w:pPr>
            <w:r>
              <w:rPr>
                <w:rFonts w:hint="eastAsia" w:ascii="宋体" w:hAnsi="宋体"/>
                <w:sz w:val="24"/>
              </w:rPr>
              <w:t>（二）对属于《节能产品政府采购清单》内强制采购的品目，应在招标文件中载明强制采购要求。</w:t>
            </w:r>
          </w:p>
          <w:p>
            <w:pPr>
              <w:spacing w:line="400" w:lineRule="exact"/>
              <w:ind w:firstLine="600"/>
              <w:rPr>
                <w:rFonts w:ascii="宋体"/>
                <w:sz w:val="24"/>
              </w:rPr>
            </w:pPr>
            <w:r>
              <w:rPr>
                <w:rFonts w:hint="eastAsia" w:ascii="宋体" w:hAnsi="宋体"/>
                <w:sz w:val="24"/>
              </w:rPr>
              <w:t>（三）采购的货物如含有节能（强制采购节能产品的除外）、环境标志的，应根据不同评标办法和合同包内节能、环境标志产品报价总金额占该合同包报价总金额的比例，按下表的优惠办法，在招标文件中载明具体的优惠条款：</w:t>
            </w:r>
          </w:p>
          <w:tbl>
            <w:tblPr>
              <w:tblStyle w:val="1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3915"/>
              <w:gridCol w:w="2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sz w:val="24"/>
                    </w:rPr>
                  </w:pPr>
                  <w:r>
                    <w:rPr>
                      <w:rFonts w:hint="eastAsia" w:ascii="宋体" w:hAnsi="宋体"/>
                      <w:sz w:val="24"/>
                    </w:rPr>
                    <w:t>评审方法</w:t>
                  </w:r>
                </w:p>
              </w:tc>
              <w:tc>
                <w:tcPr>
                  <w:tcW w:w="3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sz w:val="24"/>
                    </w:rPr>
                  </w:pPr>
                  <w:r>
                    <w:rPr>
                      <w:rFonts w:hint="eastAsia" w:ascii="宋体" w:hAnsi="宋体"/>
                      <w:sz w:val="24"/>
                    </w:rPr>
                    <w:t>同一合同包内节能、环境标志产品报价总金额占该合同报价总金额的比例</w:t>
                  </w:r>
                </w:p>
              </w:tc>
              <w:tc>
                <w:tcPr>
                  <w:tcW w:w="27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sz w:val="24"/>
                    </w:rPr>
                  </w:pPr>
                  <w:r>
                    <w:rPr>
                      <w:rFonts w:hint="eastAsia" w:ascii="宋体" w:hAnsi="宋体"/>
                      <w:sz w:val="24"/>
                    </w:rPr>
                    <w:t>优惠办法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58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sz w:val="24"/>
                    </w:rPr>
                  </w:pPr>
                  <w:r>
                    <w:rPr>
                      <w:rFonts w:hint="eastAsia" w:ascii="宋体" w:hAnsi="宋体"/>
                      <w:sz w:val="24"/>
                    </w:rPr>
                    <w:t>最低成交价法</w:t>
                  </w:r>
                </w:p>
              </w:tc>
              <w:tc>
                <w:tcPr>
                  <w:tcW w:w="391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sz w:val="24"/>
                    </w:rPr>
                  </w:pPr>
                  <w:r>
                    <w:rPr>
                      <w:rFonts w:ascii="宋体" w:hAnsi="宋体"/>
                      <w:sz w:val="24"/>
                    </w:rPr>
                    <w:t>10</w:t>
                  </w:r>
                  <w:r>
                    <w:rPr>
                      <w:rFonts w:hint="eastAsia" w:ascii="宋体" w:hAnsi="宋体"/>
                      <w:sz w:val="24"/>
                    </w:rPr>
                    <w:t>％（含</w:t>
                  </w:r>
                  <w:r>
                    <w:rPr>
                      <w:rFonts w:ascii="宋体" w:hAnsi="宋体"/>
                      <w:sz w:val="24"/>
                    </w:rPr>
                    <w:t>10</w:t>
                  </w:r>
                  <w:r>
                    <w:rPr>
                      <w:rFonts w:hint="eastAsia" w:ascii="宋体" w:hAnsi="宋体"/>
                      <w:sz w:val="24"/>
                    </w:rPr>
                    <w:t>％）至</w:t>
                  </w:r>
                  <w:r>
                    <w:rPr>
                      <w:rFonts w:ascii="宋体" w:hAnsi="宋体"/>
                      <w:sz w:val="24"/>
                    </w:rPr>
                    <w:t>50</w:t>
                  </w:r>
                  <w:r>
                    <w:rPr>
                      <w:rFonts w:hint="eastAsia" w:ascii="宋体" w:hAnsi="宋体"/>
                      <w:sz w:val="24"/>
                    </w:rPr>
                    <w:t>％（不含</w:t>
                  </w:r>
                  <w:r>
                    <w:rPr>
                      <w:rFonts w:ascii="宋体" w:hAnsi="宋体"/>
                      <w:sz w:val="24"/>
                    </w:rPr>
                    <w:t>50</w:t>
                  </w:r>
                  <w:r>
                    <w:rPr>
                      <w:rFonts w:hint="eastAsia" w:ascii="宋体" w:hAnsi="宋体"/>
                      <w:sz w:val="24"/>
                    </w:rPr>
                    <w:t>％）</w:t>
                  </w:r>
                </w:p>
              </w:tc>
              <w:tc>
                <w:tcPr>
                  <w:tcW w:w="279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sz w:val="24"/>
                    </w:rPr>
                  </w:pPr>
                  <w:r>
                    <w:rPr>
                      <w:rFonts w:hint="eastAsia" w:ascii="宋体" w:hAnsi="宋体"/>
                      <w:sz w:val="24"/>
                    </w:rPr>
                    <w:t>给予每个品目单项报标报价</w:t>
                  </w:r>
                  <w:r>
                    <w:rPr>
                      <w:rFonts w:ascii="宋体" w:hAnsi="宋体"/>
                      <w:sz w:val="24"/>
                    </w:rPr>
                    <w:t>5</w:t>
                  </w:r>
                  <w:r>
                    <w:rPr>
                      <w:rFonts w:hint="eastAsia" w:ascii="宋体" w:hAnsi="宋体"/>
                      <w:sz w:val="24"/>
                    </w:rPr>
                    <w:t>％的价格扣除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sz w:val="24"/>
                    </w:rPr>
                  </w:pPr>
                </w:p>
              </w:tc>
              <w:tc>
                <w:tcPr>
                  <w:tcW w:w="391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sz w:val="24"/>
                    </w:rPr>
                  </w:pPr>
                  <w:r>
                    <w:rPr>
                      <w:rFonts w:ascii="宋体" w:hAnsi="宋体"/>
                      <w:sz w:val="24"/>
                    </w:rPr>
                    <w:t>50</w:t>
                  </w:r>
                  <w:r>
                    <w:rPr>
                      <w:rFonts w:hint="eastAsia" w:ascii="宋体" w:hAnsi="宋体"/>
                      <w:sz w:val="24"/>
                    </w:rPr>
                    <w:t>％及以上</w:t>
                  </w:r>
                </w:p>
              </w:tc>
              <w:tc>
                <w:tcPr>
                  <w:tcW w:w="279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sz w:val="24"/>
                    </w:rPr>
                  </w:pPr>
                  <w:r>
                    <w:rPr>
                      <w:rFonts w:hint="eastAsia" w:ascii="宋体" w:hAnsi="宋体"/>
                      <w:sz w:val="24"/>
                    </w:rPr>
                    <w:t>给予每个品目单项报标报价</w:t>
                  </w:r>
                  <w:r>
                    <w:rPr>
                      <w:rFonts w:ascii="宋体" w:hAnsi="宋体"/>
                      <w:sz w:val="24"/>
                    </w:rPr>
                    <w:t>10</w:t>
                  </w:r>
                  <w:r>
                    <w:rPr>
                      <w:rFonts w:hint="eastAsia" w:ascii="宋体" w:hAnsi="宋体"/>
                      <w:sz w:val="24"/>
                    </w:rPr>
                    <w:t>％的价格扣除</w:t>
                  </w:r>
                </w:p>
              </w:tc>
            </w:tr>
          </w:tbl>
          <w:p>
            <w:pPr>
              <w:spacing w:line="400" w:lineRule="exact"/>
              <w:ind w:firstLine="480" w:firstLineChars="200"/>
              <w:rPr>
                <w:rFonts w:ascii="宋体"/>
                <w:sz w:val="24"/>
              </w:rPr>
            </w:pPr>
            <w:r>
              <w:rPr>
                <w:rFonts w:hint="eastAsia" w:ascii="宋体" w:hAnsi="宋体"/>
                <w:sz w:val="24"/>
              </w:rPr>
              <w:t>如节能、环境标志清单内的产品仅是构成投标产品的部件、组件或零件的，则该投标产品不享受以上优惠政策。</w:t>
            </w:r>
          </w:p>
          <w:p>
            <w:pPr>
              <w:spacing w:line="400" w:lineRule="exact"/>
              <w:ind w:firstLine="600"/>
              <w:rPr>
                <w:rFonts w:ascii="宋体"/>
                <w:sz w:val="24"/>
              </w:rPr>
            </w:pPr>
            <w:r>
              <w:rPr>
                <w:rFonts w:hint="eastAsia" w:ascii="宋体" w:hAnsi="宋体"/>
                <w:sz w:val="24"/>
              </w:rPr>
              <w:t>（四）根据财政部、工业和信息化部、国家质检总局、国家认监委联合发布《关于信息安全产品实施政府采购的通知》（财库〔</w:t>
            </w:r>
            <w:r>
              <w:rPr>
                <w:rFonts w:ascii="宋体" w:hAnsi="宋体"/>
                <w:sz w:val="24"/>
              </w:rPr>
              <w:t>2010</w:t>
            </w:r>
            <w:r>
              <w:rPr>
                <w:rFonts w:hint="eastAsia" w:ascii="宋体" w:hAnsi="宋体"/>
                <w:sz w:val="24"/>
              </w:rPr>
              <w:t>〕</w:t>
            </w:r>
            <w:r>
              <w:rPr>
                <w:rFonts w:ascii="宋体" w:hAnsi="宋体"/>
                <w:sz w:val="24"/>
              </w:rPr>
              <w:t>48</w:t>
            </w:r>
            <w:r>
              <w:rPr>
                <w:rFonts w:hint="eastAsia" w:ascii="宋体" w:hAnsi="宋体"/>
                <w:sz w:val="24"/>
              </w:rPr>
              <w:t>号），如采购产品属于列入《信息安全产品强制性认证目录》内的强制性信息安全产品，在编制采购文件时应当载明对采购产品获得信息安全认证的具体要求，并明确要求谈判供应商应在响应文件中根据采购文件的要求提供从由中国信息安全认证中心按国家标准认证颁发的有效认证证书复印件。</w:t>
            </w:r>
          </w:p>
          <w:p>
            <w:pPr>
              <w:spacing w:line="400" w:lineRule="exact"/>
              <w:ind w:firstLine="480" w:firstLineChars="200"/>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00" w:lineRule="exact"/>
              <w:ind w:firstLine="540" w:firstLineChars="224"/>
              <w:rPr>
                <w:rFonts w:ascii="宋体"/>
                <w:b/>
                <w:sz w:val="24"/>
              </w:rPr>
            </w:pPr>
            <w:r>
              <w:rPr>
                <w:rFonts w:hint="eastAsia" w:ascii="宋体" w:hAnsi="宋体"/>
                <w:b/>
                <w:sz w:val="24"/>
              </w:rPr>
              <w:t>三、提醒事项：</w:t>
            </w:r>
          </w:p>
          <w:p>
            <w:pPr>
              <w:spacing w:line="400" w:lineRule="exact"/>
              <w:ind w:firstLine="540" w:firstLineChars="224"/>
              <w:rPr>
                <w:rFonts w:ascii="宋体"/>
                <w:b/>
                <w:sz w:val="24"/>
              </w:rPr>
            </w:pPr>
            <w:r>
              <w:rPr>
                <w:rFonts w:hint="eastAsia" w:ascii="宋体" w:hAnsi="宋体"/>
                <w:b/>
                <w:sz w:val="24"/>
              </w:rPr>
              <w:t>成交供应商必须凭成交通知书的原件与采购人签订《政府采购合同》</w:t>
            </w:r>
          </w:p>
        </w:tc>
      </w:tr>
    </w:tbl>
    <w:p>
      <w:pPr>
        <w:pStyle w:val="10"/>
        <w:spacing w:line="360" w:lineRule="auto"/>
        <w:jc w:val="center"/>
        <w:rPr>
          <w:rFonts w:hAnsi="宋体"/>
          <w:b/>
          <w:sz w:val="32"/>
          <w:szCs w:val="32"/>
        </w:rPr>
      </w:pPr>
    </w:p>
    <w:p>
      <w:pPr>
        <w:pStyle w:val="10"/>
        <w:spacing w:line="360" w:lineRule="auto"/>
        <w:jc w:val="center"/>
        <w:rPr>
          <w:rFonts w:hAnsi="宋体"/>
          <w:b/>
          <w:sz w:val="32"/>
          <w:szCs w:val="32"/>
        </w:rPr>
      </w:pPr>
    </w:p>
    <w:p>
      <w:pPr>
        <w:pStyle w:val="10"/>
        <w:spacing w:line="360" w:lineRule="auto"/>
        <w:jc w:val="center"/>
        <w:rPr>
          <w:rFonts w:hAnsi="宋体"/>
          <w:b/>
          <w:sz w:val="32"/>
          <w:szCs w:val="32"/>
        </w:rPr>
      </w:pPr>
    </w:p>
    <w:p>
      <w:pPr>
        <w:pStyle w:val="10"/>
        <w:spacing w:line="360" w:lineRule="auto"/>
        <w:jc w:val="center"/>
        <w:rPr>
          <w:rFonts w:hAnsi="宋体"/>
          <w:b/>
          <w:sz w:val="32"/>
          <w:szCs w:val="32"/>
        </w:rPr>
      </w:pPr>
    </w:p>
    <w:p>
      <w:pPr>
        <w:pStyle w:val="10"/>
        <w:spacing w:line="360" w:lineRule="auto"/>
        <w:jc w:val="center"/>
        <w:rPr>
          <w:rFonts w:hAnsi="宋体"/>
          <w:b/>
          <w:sz w:val="32"/>
          <w:szCs w:val="32"/>
        </w:rPr>
      </w:pPr>
    </w:p>
    <w:p>
      <w:pPr>
        <w:pStyle w:val="10"/>
        <w:spacing w:line="360" w:lineRule="auto"/>
        <w:jc w:val="center"/>
        <w:rPr>
          <w:rFonts w:hAnsi="宋体"/>
          <w:b/>
          <w:sz w:val="32"/>
          <w:szCs w:val="32"/>
        </w:rPr>
      </w:pPr>
    </w:p>
    <w:p>
      <w:pPr>
        <w:pStyle w:val="10"/>
        <w:spacing w:line="360" w:lineRule="auto"/>
        <w:jc w:val="center"/>
        <w:rPr>
          <w:rFonts w:hAnsi="宋体"/>
          <w:b/>
          <w:sz w:val="32"/>
          <w:szCs w:val="32"/>
        </w:rPr>
      </w:pPr>
    </w:p>
    <w:p>
      <w:pPr>
        <w:pStyle w:val="10"/>
        <w:spacing w:line="360" w:lineRule="auto"/>
        <w:jc w:val="center"/>
        <w:rPr>
          <w:rFonts w:hAnsi="宋体"/>
          <w:b/>
          <w:sz w:val="32"/>
          <w:szCs w:val="32"/>
        </w:rPr>
      </w:pPr>
    </w:p>
    <w:p>
      <w:pPr>
        <w:pStyle w:val="10"/>
        <w:spacing w:line="360" w:lineRule="auto"/>
        <w:jc w:val="center"/>
        <w:rPr>
          <w:rFonts w:hAnsi="宋体"/>
          <w:b/>
          <w:sz w:val="24"/>
        </w:rPr>
      </w:pPr>
      <w:r>
        <w:rPr>
          <w:rFonts w:hint="eastAsia" w:hAnsi="宋体"/>
          <w:b/>
          <w:sz w:val="36"/>
          <w:szCs w:val="36"/>
        </w:rPr>
        <w:t>第三章</w:t>
      </w:r>
      <w:r>
        <w:rPr>
          <w:rFonts w:hAnsi="宋体"/>
          <w:b/>
          <w:sz w:val="32"/>
          <w:szCs w:val="32"/>
        </w:rPr>
        <w:t xml:space="preserve">  </w:t>
      </w:r>
      <w:r>
        <w:rPr>
          <w:rFonts w:hint="eastAsia" w:hAnsi="宋体"/>
          <w:b/>
          <w:sz w:val="36"/>
          <w:szCs w:val="36"/>
        </w:rPr>
        <w:t>谈判供应商须知正文部分</w:t>
      </w:r>
    </w:p>
    <w:p>
      <w:pPr>
        <w:pStyle w:val="10"/>
        <w:spacing w:line="400" w:lineRule="exact"/>
        <w:jc w:val="center"/>
        <w:rPr>
          <w:rFonts w:hAnsi="宋体"/>
          <w:b/>
          <w:sz w:val="24"/>
        </w:rPr>
      </w:pPr>
      <w:r>
        <w:rPr>
          <w:rFonts w:hint="eastAsia" w:hAnsi="宋体"/>
          <w:b/>
          <w:sz w:val="24"/>
        </w:rPr>
        <w:t>一、说明</w:t>
      </w:r>
    </w:p>
    <w:p>
      <w:pPr>
        <w:pStyle w:val="10"/>
        <w:spacing w:line="400" w:lineRule="exact"/>
        <w:jc w:val="left"/>
        <w:rPr>
          <w:rFonts w:hAnsi="宋体"/>
          <w:b/>
          <w:sz w:val="24"/>
        </w:rPr>
      </w:pPr>
      <w:r>
        <w:rPr>
          <w:rFonts w:hAnsi="宋体"/>
          <w:b/>
          <w:sz w:val="24"/>
        </w:rPr>
        <w:t>1.</w:t>
      </w:r>
      <w:r>
        <w:rPr>
          <w:rFonts w:hint="eastAsia" w:hAnsi="宋体"/>
          <w:b/>
          <w:sz w:val="24"/>
        </w:rPr>
        <w:t>适用范围</w:t>
      </w:r>
    </w:p>
    <w:p>
      <w:pPr>
        <w:pStyle w:val="10"/>
        <w:spacing w:line="400" w:lineRule="exact"/>
        <w:ind w:firstLine="480" w:firstLineChars="200"/>
        <w:jc w:val="left"/>
        <w:rPr>
          <w:rFonts w:hAnsi="宋体"/>
          <w:sz w:val="24"/>
        </w:rPr>
      </w:pPr>
      <w:r>
        <w:rPr>
          <w:rFonts w:hAnsi="宋体"/>
          <w:sz w:val="24"/>
        </w:rPr>
        <w:t>1.1</w:t>
      </w:r>
      <w:r>
        <w:rPr>
          <w:rFonts w:hint="eastAsia" w:hAnsi="宋体"/>
          <w:sz w:val="24"/>
        </w:rPr>
        <w:t>本谈判文件仅适用于邀请中所叙述项目的货物采购。</w:t>
      </w:r>
    </w:p>
    <w:p>
      <w:pPr>
        <w:pStyle w:val="10"/>
        <w:spacing w:line="400" w:lineRule="exact"/>
        <w:jc w:val="left"/>
        <w:rPr>
          <w:rFonts w:hAnsi="宋体"/>
          <w:b/>
          <w:sz w:val="24"/>
        </w:rPr>
      </w:pPr>
      <w:r>
        <w:rPr>
          <w:rFonts w:hAnsi="宋体"/>
          <w:b/>
          <w:sz w:val="24"/>
        </w:rPr>
        <w:t>2.</w:t>
      </w:r>
      <w:r>
        <w:rPr>
          <w:rFonts w:hint="eastAsia" w:hAnsi="宋体"/>
          <w:b/>
          <w:sz w:val="24"/>
        </w:rPr>
        <w:t>定义</w:t>
      </w:r>
    </w:p>
    <w:p>
      <w:pPr>
        <w:spacing w:line="400" w:lineRule="exact"/>
        <w:ind w:firstLine="480" w:firstLineChars="200"/>
        <w:rPr>
          <w:rFonts w:ascii="宋体"/>
          <w:sz w:val="24"/>
        </w:rPr>
      </w:pPr>
      <w:r>
        <w:rPr>
          <w:rFonts w:ascii="宋体" w:hAnsi="宋体"/>
          <w:sz w:val="24"/>
        </w:rPr>
        <w:t xml:space="preserve">2.1 </w:t>
      </w:r>
      <w:r>
        <w:rPr>
          <w:rFonts w:hint="eastAsia" w:ascii="宋体" w:hAnsi="宋体"/>
          <w:sz w:val="24"/>
        </w:rPr>
        <w:t>“采购人”系指采购单位。是采购活动当事人之一，负责项目的整体规划、技术方案可行性设计论证与实施，作为合同采购方</w:t>
      </w:r>
      <w:r>
        <w:rPr>
          <w:rFonts w:ascii="宋体" w:hAnsi="宋体"/>
          <w:sz w:val="24"/>
        </w:rPr>
        <w:t>(</w:t>
      </w:r>
      <w:r>
        <w:rPr>
          <w:rFonts w:hint="eastAsia" w:ascii="宋体" w:hAnsi="宋体"/>
          <w:sz w:val="24"/>
        </w:rPr>
        <w:t>用户</w:t>
      </w:r>
      <w:r>
        <w:rPr>
          <w:rFonts w:ascii="宋体" w:hAnsi="宋体"/>
          <w:sz w:val="24"/>
        </w:rPr>
        <w:t>)</w:t>
      </w:r>
      <w:r>
        <w:rPr>
          <w:rFonts w:hint="eastAsia" w:ascii="宋体" w:hAnsi="宋体"/>
          <w:sz w:val="24"/>
        </w:rPr>
        <w:t>的主体承担质疑回复、履行合同、验收等义务。</w:t>
      </w:r>
    </w:p>
    <w:p>
      <w:pPr>
        <w:spacing w:line="400" w:lineRule="exact"/>
        <w:ind w:firstLine="480" w:firstLineChars="200"/>
        <w:rPr>
          <w:rFonts w:ascii="宋体"/>
          <w:sz w:val="24"/>
        </w:rPr>
      </w:pPr>
      <w:r>
        <w:rPr>
          <w:rFonts w:ascii="宋体" w:hAnsi="宋体"/>
          <w:sz w:val="24"/>
        </w:rPr>
        <w:t xml:space="preserve">2.2 </w:t>
      </w:r>
      <w:r>
        <w:rPr>
          <w:rFonts w:hint="eastAsia" w:ascii="宋体" w:hAnsi="宋体"/>
          <w:sz w:val="24"/>
        </w:rPr>
        <w:t>“采购单位”系指组织本次采购活动的采购人或采购代理机构。</w:t>
      </w:r>
    </w:p>
    <w:p>
      <w:pPr>
        <w:spacing w:line="400" w:lineRule="exact"/>
        <w:ind w:firstLine="480" w:firstLineChars="200"/>
        <w:rPr>
          <w:rFonts w:ascii="宋体"/>
          <w:sz w:val="24"/>
        </w:rPr>
      </w:pPr>
      <w:r>
        <w:rPr>
          <w:rFonts w:ascii="宋体" w:hAnsi="宋体"/>
          <w:sz w:val="24"/>
        </w:rPr>
        <w:t xml:space="preserve">2.3 </w:t>
      </w:r>
      <w:r>
        <w:rPr>
          <w:rFonts w:hint="eastAsia" w:ascii="宋体" w:hAnsi="宋体"/>
          <w:sz w:val="24"/>
        </w:rPr>
        <w:t>“采购代理机构”系指铜仁市公共资源交易中心</w:t>
      </w:r>
      <w:r>
        <w:rPr>
          <w:rFonts w:ascii="宋体" w:hAnsi="宋体"/>
          <w:sz w:val="24"/>
        </w:rPr>
        <w:t xml:space="preserve"> (</w:t>
      </w:r>
      <w:r>
        <w:rPr>
          <w:rFonts w:hint="eastAsia" w:ascii="宋体" w:hAnsi="宋体"/>
          <w:sz w:val="24"/>
        </w:rPr>
        <w:t>简称交易中心</w:t>
      </w:r>
      <w:r>
        <w:rPr>
          <w:rFonts w:ascii="宋体" w:hAnsi="宋体"/>
          <w:sz w:val="24"/>
        </w:rPr>
        <w:t>)</w:t>
      </w:r>
      <w:r>
        <w:rPr>
          <w:rFonts w:hint="eastAsia" w:ascii="宋体" w:hAnsi="宋体"/>
          <w:sz w:val="24"/>
        </w:rPr>
        <w:t>。交易中心是整个采购活动的组织者，依法负责编制和发布招标文件，对招标文件拥有最终的解释权。交易中心不以任何身份出任评委会成员。</w:t>
      </w:r>
    </w:p>
    <w:p>
      <w:pPr>
        <w:pStyle w:val="10"/>
        <w:spacing w:line="400" w:lineRule="exact"/>
        <w:ind w:firstLine="480" w:firstLineChars="200"/>
        <w:jc w:val="left"/>
        <w:rPr>
          <w:rFonts w:hAnsi="宋体"/>
          <w:sz w:val="24"/>
        </w:rPr>
      </w:pPr>
      <w:r>
        <w:rPr>
          <w:rFonts w:hAnsi="宋体"/>
          <w:sz w:val="24"/>
        </w:rPr>
        <w:t xml:space="preserve">2.4 </w:t>
      </w:r>
      <w:r>
        <w:rPr>
          <w:rFonts w:hint="eastAsia" w:hAnsi="宋体"/>
          <w:sz w:val="24"/>
        </w:rPr>
        <w:t>“谈判响应供应商”系指购买了本谈判文件，且已经提交或准备提交响应文件的制造商或供货商。</w:t>
      </w:r>
    </w:p>
    <w:p>
      <w:pPr>
        <w:pStyle w:val="10"/>
        <w:spacing w:line="400" w:lineRule="exact"/>
        <w:ind w:firstLine="480" w:firstLineChars="200"/>
        <w:jc w:val="left"/>
        <w:rPr>
          <w:rFonts w:hAnsi="宋体"/>
          <w:sz w:val="24"/>
        </w:rPr>
      </w:pPr>
      <w:r>
        <w:rPr>
          <w:rFonts w:hAnsi="宋体"/>
          <w:sz w:val="24"/>
        </w:rPr>
        <w:t xml:space="preserve">2.5 </w:t>
      </w:r>
      <w:r>
        <w:rPr>
          <w:rFonts w:hint="eastAsia" w:hAnsi="宋体"/>
          <w:sz w:val="24"/>
        </w:rPr>
        <w:t>“货物”系指指各种形态和和种类的物品，包括原材料、燃料、设备、产品等。</w:t>
      </w:r>
    </w:p>
    <w:p>
      <w:pPr>
        <w:pStyle w:val="10"/>
        <w:spacing w:line="400" w:lineRule="exact"/>
        <w:jc w:val="left"/>
        <w:rPr>
          <w:rFonts w:hAnsi="宋体"/>
          <w:b/>
          <w:sz w:val="24"/>
        </w:rPr>
      </w:pPr>
      <w:r>
        <w:rPr>
          <w:rFonts w:hAnsi="宋体"/>
          <w:b/>
          <w:sz w:val="24"/>
        </w:rPr>
        <w:t>3.</w:t>
      </w:r>
      <w:r>
        <w:rPr>
          <w:rFonts w:hint="eastAsia" w:hAnsi="宋体"/>
          <w:b/>
          <w:sz w:val="24"/>
        </w:rPr>
        <w:t>合格的谈判响应供应商</w:t>
      </w:r>
    </w:p>
    <w:p>
      <w:pPr>
        <w:spacing w:line="400" w:lineRule="exact"/>
        <w:ind w:firstLine="480" w:firstLineChars="200"/>
        <w:rPr>
          <w:rFonts w:hAnsi="宋体"/>
          <w:sz w:val="24"/>
        </w:rPr>
      </w:pPr>
      <w:r>
        <w:rPr>
          <w:rFonts w:hAnsi="宋体"/>
          <w:sz w:val="24"/>
        </w:rPr>
        <w:t xml:space="preserve">3.1 </w:t>
      </w:r>
      <w:r>
        <w:rPr>
          <w:rFonts w:hint="eastAsia" w:hAnsi="宋体"/>
          <w:sz w:val="24"/>
        </w:rPr>
        <w:t>凡有能力提供本谈判文件所述货物、服务及工程的，符合本谈判文件规定资格要求的供应商均可能成为合格的谈判响应供应商。</w:t>
      </w:r>
    </w:p>
    <w:p>
      <w:pPr>
        <w:spacing w:line="400" w:lineRule="exact"/>
        <w:ind w:firstLine="480" w:firstLineChars="200"/>
        <w:rPr>
          <w:rFonts w:ascii="宋体"/>
          <w:color w:val="FF0000"/>
          <w:sz w:val="24"/>
        </w:rPr>
      </w:pPr>
      <w:r>
        <w:rPr>
          <w:rFonts w:hint="eastAsia" w:ascii="宋体" w:hAnsi="宋体"/>
          <w:color w:val="FF0000"/>
          <w:sz w:val="24"/>
        </w:rPr>
        <w:t>谈判响应供应商符合《中华人民共和国政府采购法》第二十二条规定：</w:t>
      </w:r>
    </w:p>
    <w:p>
      <w:pPr>
        <w:spacing w:line="440" w:lineRule="exact"/>
        <w:ind w:firstLine="480" w:firstLineChars="200"/>
        <w:rPr>
          <w:rFonts w:ascii="宋体"/>
          <w:color w:val="FF0000"/>
          <w:sz w:val="24"/>
        </w:rPr>
      </w:pPr>
      <w:r>
        <w:rPr>
          <w:rFonts w:hint="eastAsia" w:ascii="宋体" w:hAnsi="宋体"/>
          <w:color w:val="FF0000"/>
          <w:sz w:val="24"/>
        </w:rPr>
        <w:t>（一）具有独立承担民事责任的能力；</w:t>
      </w:r>
    </w:p>
    <w:p>
      <w:pPr>
        <w:spacing w:line="440" w:lineRule="exact"/>
        <w:ind w:firstLine="480" w:firstLineChars="200"/>
        <w:rPr>
          <w:rFonts w:ascii="宋体"/>
          <w:color w:val="FF0000"/>
          <w:sz w:val="24"/>
        </w:rPr>
      </w:pPr>
      <w:r>
        <w:rPr>
          <w:rFonts w:hint="eastAsia" w:ascii="宋体" w:hAnsi="宋体"/>
          <w:color w:val="FF0000"/>
          <w:sz w:val="24"/>
        </w:rPr>
        <w:t>（二）具有良好的商业信誉和健全的财务会计制度；</w:t>
      </w:r>
    </w:p>
    <w:p>
      <w:pPr>
        <w:spacing w:line="440" w:lineRule="exact"/>
        <w:ind w:firstLine="480" w:firstLineChars="200"/>
        <w:rPr>
          <w:rFonts w:ascii="宋体"/>
          <w:color w:val="FF0000"/>
          <w:sz w:val="24"/>
        </w:rPr>
      </w:pPr>
      <w:r>
        <w:rPr>
          <w:rFonts w:hint="eastAsia" w:ascii="宋体" w:hAnsi="宋体"/>
          <w:color w:val="FF0000"/>
          <w:sz w:val="24"/>
        </w:rPr>
        <w:t>（三）具有履行合同所必需的设备和专业技术能力；</w:t>
      </w:r>
    </w:p>
    <w:p>
      <w:pPr>
        <w:spacing w:line="440" w:lineRule="exact"/>
        <w:ind w:firstLine="480" w:firstLineChars="200"/>
        <w:rPr>
          <w:rFonts w:ascii="宋体"/>
          <w:color w:val="FF0000"/>
          <w:sz w:val="24"/>
        </w:rPr>
      </w:pPr>
      <w:r>
        <w:rPr>
          <w:rFonts w:hint="eastAsia" w:ascii="宋体" w:hAnsi="宋体"/>
          <w:color w:val="FF0000"/>
          <w:sz w:val="24"/>
        </w:rPr>
        <w:t>（四）有依法缴纳税收和社会保障资金的良好记录；</w:t>
      </w:r>
    </w:p>
    <w:p>
      <w:pPr>
        <w:spacing w:line="440" w:lineRule="exact"/>
        <w:ind w:firstLine="480" w:firstLineChars="200"/>
        <w:rPr>
          <w:rFonts w:ascii="宋体"/>
          <w:color w:val="FF0000"/>
          <w:sz w:val="24"/>
        </w:rPr>
      </w:pPr>
      <w:r>
        <w:rPr>
          <w:rFonts w:hint="eastAsia" w:ascii="宋体" w:hAnsi="宋体"/>
          <w:color w:val="FF0000"/>
          <w:sz w:val="24"/>
        </w:rPr>
        <w:t>（五）参加政府采购活动前三年内，在经营活动中没有重大违法记录；</w:t>
      </w:r>
    </w:p>
    <w:p>
      <w:pPr>
        <w:spacing w:line="440" w:lineRule="exact"/>
        <w:ind w:firstLine="480" w:firstLineChars="200"/>
        <w:rPr>
          <w:rFonts w:ascii="宋体"/>
          <w:color w:val="FF0000"/>
          <w:sz w:val="24"/>
        </w:rPr>
      </w:pPr>
      <w:r>
        <w:rPr>
          <w:rFonts w:hint="eastAsia" w:ascii="宋体" w:hAnsi="宋体"/>
          <w:color w:val="FF0000"/>
          <w:sz w:val="24"/>
        </w:rPr>
        <w:t>（六）法律、行政法规规定的其他条件。</w:t>
      </w:r>
    </w:p>
    <w:p>
      <w:pPr>
        <w:spacing w:line="400" w:lineRule="exact"/>
        <w:ind w:firstLine="480" w:firstLineChars="200"/>
        <w:rPr>
          <w:rFonts w:ascii="宋体"/>
          <w:sz w:val="24"/>
          <w:szCs w:val="24"/>
        </w:rPr>
      </w:pPr>
      <w:r>
        <w:rPr>
          <w:rFonts w:ascii="宋体" w:hAnsi="宋体"/>
          <w:sz w:val="24"/>
          <w:szCs w:val="24"/>
        </w:rPr>
        <w:t xml:space="preserve">3.2 </w:t>
      </w:r>
      <w:r>
        <w:rPr>
          <w:rFonts w:hint="eastAsia" w:ascii="宋体" w:hAnsi="宋体"/>
          <w:sz w:val="24"/>
          <w:szCs w:val="24"/>
        </w:rPr>
        <w:t>谈判响应供应商应遵守有关法律、法规和规章的规定，同时其响应货物或服务也应符合有关法律、法规和规章的规定。</w:t>
      </w:r>
    </w:p>
    <w:p>
      <w:pPr>
        <w:spacing w:line="400" w:lineRule="exact"/>
        <w:ind w:firstLine="480" w:firstLineChars="200"/>
        <w:rPr>
          <w:rFonts w:ascii="宋体"/>
          <w:sz w:val="24"/>
          <w:szCs w:val="24"/>
        </w:rPr>
      </w:pPr>
      <w:r>
        <w:rPr>
          <w:rFonts w:ascii="宋体" w:hAnsi="宋体"/>
          <w:sz w:val="24"/>
          <w:szCs w:val="24"/>
        </w:rPr>
        <w:t>3.3</w:t>
      </w:r>
      <w:r>
        <w:rPr>
          <w:rFonts w:hint="eastAsia" w:ascii="宋体" w:hAnsi="宋体"/>
          <w:sz w:val="24"/>
          <w:szCs w:val="24"/>
        </w:rPr>
        <w:t>经中国政府采购网失信信息查询，有失信信息记录且在禁止参加政府采购活动处罚期间内的供应商不能成为合格响应供应商；经检察机关行贿犯罪档案查询系统查询，</w:t>
      </w:r>
      <w:r>
        <w:rPr>
          <w:rFonts w:ascii="宋体" w:hAnsi="宋体"/>
          <w:sz w:val="24"/>
          <w:szCs w:val="24"/>
        </w:rPr>
        <w:t>3</w:t>
      </w:r>
      <w:r>
        <w:rPr>
          <w:rFonts w:hint="eastAsia" w:ascii="宋体" w:hAnsi="宋体"/>
          <w:sz w:val="24"/>
          <w:szCs w:val="24"/>
        </w:rPr>
        <w:t>年内有行贿犯罪记录的供应商将取消成交候选资格。</w:t>
      </w:r>
    </w:p>
    <w:p>
      <w:pPr>
        <w:spacing w:line="400" w:lineRule="exact"/>
        <w:ind w:firstLine="480" w:firstLineChars="200"/>
        <w:rPr>
          <w:rFonts w:ascii="宋体"/>
          <w:sz w:val="24"/>
          <w:szCs w:val="24"/>
        </w:rPr>
      </w:pPr>
      <w:r>
        <w:rPr>
          <w:rFonts w:ascii="宋体" w:hAnsi="宋体"/>
          <w:sz w:val="24"/>
          <w:szCs w:val="24"/>
        </w:rPr>
        <w:t>3.4</w:t>
      </w:r>
      <w:r>
        <w:rPr>
          <w:rFonts w:hint="eastAsia" w:ascii="宋体" w:hAnsi="宋体"/>
          <w:sz w:val="24"/>
          <w:szCs w:val="24"/>
        </w:rPr>
        <w:t>谈判响应供应商不得与本次谈判项下设计、编制技术规格和其他文件的公司或提供咨询服务的公司包括其附属机构有任何关联。</w:t>
      </w:r>
      <w:r>
        <w:rPr>
          <w:rFonts w:ascii="宋体" w:hAnsi="宋体"/>
          <w:sz w:val="24"/>
          <w:szCs w:val="24"/>
        </w:rPr>
        <w:t xml:space="preserve"> </w:t>
      </w:r>
    </w:p>
    <w:p>
      <w:pPr>
        <w:spacing w:line="400" w:lineRule="exact"/>
        <w:ind w:firstLine="480" w:firstLineChars="200"/>
        <w:rPr>
          <w:rFonts w:ascii="宋体"/>
          <w:color w:val="000000"/>
          <w:sz w:val="24"/>
          <w:szCs w:val="24"/>
        </w:rPr>
      </w:pPr>
      <w:r>
        <w:rPr>
          <w:rFonts w:ascii="宋体" w:hAnsi="宋体"/>
          <w:color w:val="000000"/>
          <w:sz w:val="24"/>
          <w:szCs w:val="24"/>
        </w:rPr>
        <w:t>3.5</w:t>
      </w:r>
      <w:r>
        <w:rPr>
          <w:rFonts w:hint="eastAsia" w:ascii="宋体" w:hAnsi="宋体"/>
          <w:color w:val="000000"/>
          <w:sz w:val="24"/>
          <w:szCs w:val="24"/>
        </w:rPr>
        <w:t>若接受联合体谈判，则两个或者两个以上谈判响应供应商可以组成一个响应联合体，以一个谈判响应供应商的身份响应。</w:t>
      </w:r>
    </w:p>
    <w:p>
      <w:pPr>
        <w:spacing w:line="400" w:lineRule="exact"/>
        <w:ind w:firstLine="480" w:firstLineChars="200"/>
        <w:rPr>
          <w:rFonts w:ascii="宋体"/>
          <w:color w:val="000000"/>
          <w:sz w:val="24"/>
          <w:szCs w:val="24"/>
        </w:rPr>
      </w:pPr>
      <w:r>
        <w:rPr>
          <w:rFonts w:ascii="宋体" w:hAnsi="宋体"/>
          <w:color w:val="000000"/>
          <w:sz w:val="24"/>
          <w:szCs w:val="24"/>
        </w:rPr>
        <w:t>(1)</w:t>
      </w:r>
      <w:r>
        <w:rPr>
          <w:rFonts w:hint="eastAsia" w:ascii="宋体" w:hAnsi="宋体"/>
          <w:color w:val="000000"/>
          <w:sz w:val="24"/>
          <w:szCs w:val="24"/>
        </w:rPr>
        <w:t>以联合体形式参加谈判的，联合体各方均应当符合合格的谈判响应供应商相关规定。采购人根据采购项目的特殊要求规定谈判响应供应商特定条件的，联合体各方中至少应当有一方符合采购人规定的全部特定条件，如联合体各方中没有一方符合全部特定条件的，该联合体响应无效。</w:t>
      </w:r>
    </w:p>
    <w:p>
      <w:pPr>
        <w:spacing w:line="400" w:lineRule="exact"/>
        <w:ind w:firstLine="480" w:firstLineChars="200"/>
        <w:rPr>
          <w:rFonts w:ascii="宋体"/>
          <w:color w:val="000000"/>
          <w:sz w:val="24"/>
          <w:szCs w:val="24"/>
        </w:rPr>
      </w:pPr>
      <w:r>
        <w:rPr>
          <w:rFonts w:ascii="宋体" w:hAnsi="宋体"/>
          <w:color w:val="000000"/>
          <w:sz w:val="24"/>
          <w:szCs w:val="24"/>
        </w:rPr>
        <w:t>(2)</w:t>
      </w:r>
      <w:r>
        <w:rPr>
          <w:rFonts w:hint="eastAsia" w:ascii="宋体" w:hAnsi="宋体"/>
          <w:color w:val="000000"/>
          <w:sz w:val="24"/>
          <w:szCs w:val="24"/>
        </w:rPr>
        <w:t>联合体各方之间应当签订共同响应协议，明确约定联合体各方承担的工作和相应的责任，并将共同响应协议连同响应文件一并提交采购代理机构。联合体各方签订共同谈判协议后，不得再以自己名义单独在同一项目中响应，也不得组成新的联合体参加同一项目响应。</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3</w:t>
      </w:r>
      <w:r>
        <w:rPr>
          <w:rFonts w:hint="eastAsia" w:ascii="宋体" w:hAnsi="宋体"/>
          <w:color w:val="000000"/>
          <w:sz w:val="24"/>
          <w:szCs w:val="24"/>
        </w:rPr>
        <w:t>）项目如涉及资质要求，该部分内容应由联合体中具有该资质要求的供应商承担。联合体协议及签订的采购合同应包含此项内容。</w:t>
      </w:r>
    </w:p>
    <w:p>
      <w:pPr>
        <w:spacing w:line="400" w:lineRule="exact"/>
        <w:ind w:firstLine="600" w:firstLineChars="250"/>
        <w:rPr>
          <w:rFonts w:ascii="宋体"/>
          <w:color w:val="000000"/>
          <w:sz w:val="24"/>
          <w:szCs w:val="24"/>
        </w:rPr>
      </w:pPr>
      <w:r>
        <w:rPr>
          <w:rFonts w:ascii="宋体" w:hAnsi="宋体"/>
          <w:color w:val="000000"/>
          <w:sz w:val="24"/>
          <w:szCs w:val="24"/>
        </w:rPr>
        <w:t>(4)</w:t>
      </w:r>
      <w:r>
        <w:rPr>
          <w:rFonts w:hint="eastAsia" w:ascii="宋体" w:hAnsi="宋体"/>
          <w:color w:val="000000"/>
          <w:sz w:val="24"/>
          <w:szCs w:val="24"/>
        </w:rPr>
        <w:t>联合体中有同类资质的供应商按照联合体分工承担相同工作的，应当按照资质等级较低的供应商确定资质等级。</w:t>
      </w:r>
    </w:p>
    <w:p>
      <w:pPr>
        <w:spacing w:line="400" w:lineRule="exact"/>
        <w:ind w:firstLine="480" w:firstLineChars="200"/>
        <w:rPr>
          <w:rFonts w:ascii="宋体"/>
          <w:sz w:val="24"/>
          <w:szCs w:val="24"/>
        </w:rPr>
      </w:pPr>
      <w:r>
        <w:rPr>
          <w:rFonts w:ascii="宋体" w:hAnsi="宋体"/>
          <w:sz w:val="24"/>
          <w:szCs w:val="24"/>
        </w:rPr>
        <w:t>3.6</w:t>
      </w:r>
      <w:r>
        <w:rPr>
          <w:rFonts w:hint="eastAsia" w:ascii="宋体" w:hAnsi="宋体"/>
          <w:sz w:val="24"/>
          <w:szCs w:val="24"/>
        </w:rPr>
        <w:t>谈判代理人在同一个项目中只能接受一个谈判响应供应商的委托参加谈判响应。</w:t>
      </w:r>
    </w:p>
    <w:p>
      <w:pPr>
        <w:spacing w:line="400" w:lineRule="exact"/>
        <w:ind w:firstLine="480" w:firstLineChars="200"/>
        <w:rPr>
          <w:rFonts w:ascii="宋体"/>
          <w:sz w:val="24"/>
          <w:szCs w:val="24"/>
        </w:rPr>
      </w:pPr>
      <w:r>
        <w:rPr>
          <w:rFonts w:ascii="宋体" w:hAnsi="宋体"/>
          <w:sz w:val="24"/>
          <w:szCs w:val="24"/>
        </w:rPr>
        <w:t>3.7</w:t>
      </w:r>
      <w:r>
        <w:rPr>
          <w:rFonts w:hint="eastAsia" w:ascii="宋体" w:hAnsi="宋体"/>
          <w:sz w:val="24"/>
          <w:szCs w:val="24"/>
        </w:rPr>
        <w:t>谈判响应供应商存在下列情形之一的，将被认定为串通响应行为并作无效响应处理：</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1</w:t>
      </w:r>
      <w:r>
        <w:rPr>
          <w:rFonts w:hint="eastAsia" w:ascii="宋体" w:hAnsi="宋体"/>
          <w:color w:val="000000"/>
          <w:sz w:val="24"/>
          <w:szCs w:val="24"/>
        </w:rPr>
        <w:t>）谈判响应供应商之间协商谈判报价等谈判文件的实质性内容；</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）谈判响应供应商之间约定成交供应商；</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3</w:t>
      </w:r>
      <w:r>
        <w:rPr>
          <w:rFonts w:hint="eastAsia" w:ascii="宋体" w:hAnsi="宋体"/>
          <w:color w:val="000000"/>
          <w:sz w:val="24"/>
          <w:szCs w:val="24"/>
        </w:rPr>
        <w:t>）谈判响应供应商之间约定部分谈判响应供应商放弃谈判响应或者成交；</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4</w:t>
      </w:r>
      <w:r>
        <w:rPr>
          <w:rFonts w:hint="eastAsia" w:ascii="宋体" w:hAnsi="宋体"/>
          <w:color w:val="000000"/>
          <w:sz w:val="24"/>
          <w:szCs w:val="24"/>
        </w:rPr>
        <w:t>）属于同一集团、协会、商会等组织成员的谈判响应供应商按照该组织要求协同谈判响应；</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5</w:t>
      </w:r>
      <w:r>
        <w:rPr>
          <w:rFonts w:hint="eastAsia" w:ascii="宋体" w:hAnsi="宋体"/>
          <w:color w:val="000000"/>
          <w:sz w:val="24"/>
          <w:szCs w:val="24"/>
        </w:rPr>
        <w:t>）谈判响应供应商之间为谋取成交或者排斥特定谈判响应供应商而采取的其他联合行动；</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6</w:t>
      </w:r>
      <w:r>
        <w:rPr>
          <w:rFonts w:hint="eastAsia" w:ascii="宋体" w:hAnsi="宋体"/>
          <w:color w:val="000000"/>
          <w:sz w:val="24"/>
          <w:szCs w:val="24"/>
        </w:rPr>
        <w:t>）不同谈判响应供应商的响应文件由同一单位或者个人编制；</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7</w:t>
      </w:r>
      <w:r>
        <w:rPr>
          <w:rFonts w:hint="eastAsia" w:ascii="宋体" w:hAnsi="宋体"/>
          <w:color w:val="000000"/>
          <w:sz w:val="24"/>
          <w:szCs w:val="24"/>
        </w:rPr>
        <w:t>）不同谈判响应供应商委托同一单位或者个人办理谈判响应事宜；</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8</w:t>
      </w:r>
      <w:r>
        <w:rPr>
          <w:rFonts w:hint="eastAsia" w:ascii="宋体" w:hAnsi="宋体"/>
          <w:color w:val="000000"/>
          <w:sz w:val="24"/>
          <w:szCs w:val="24"/>
        </w:rPr>
        <w:t>）不同谈判响应供应商的响应文件载明的项目管理成员为同一人；</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9</w:t>
      </w:r>
      <w:r>
        <w:rPr>
          <w:rFonts w:hint="eastAsia" w:ascii="宋体" w:hAnsi="宋体"/>
          <w:color w:val="000000"/>
          <w:sz w:val="24"/>
          <w:szCs w:val="24"/>
        </w:rPr>
        <w:t>）不同谈判响应供应商的响应文件异常一致或者报价呈规律性差异；</w:t>
      </w:r>
    </w:p>
    <w:p>
      <w:pPr>
        <w:spacing w:line="400" w:lineRule="exact"/>
        <w:ind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10</w:t>
      </w:r>
      <w:r>
        <w:rPr>
          <w:rFonts w:hint="eastAsia" w:ascii="宋体" w:hAnsi="宋体"/>
          <w:color w:val="000000"/>
          <w:sz w:val="24"/>
          <w:szCs w:val="24"/>
        </w:rPr>
        <w:t>）不同谈判响应供应商的响应文件相互混装；</w:t>
      </w:r>
    </w:p>
    <w:p>
      <w:pPr>
        <w:spacing w:line="400" w:lineRule="exact"/>
        <w:ind w:firstLine="480" w:firstLineChars="200"/>
        <w:rPr>
          <w:rFonts w:ascii="宋体"/>
          <w:sz w:val="24"/>
          <w:szCs w:val="24"/>
        </w:rPr>
      </w:pPr>
      <w:r>
        <w:rPr>
          <w:rFonts w:hint="eastAsia" w:ascii="宋体" w:hAnsi="宋体"/>
          <w:color w:val="000000"/>
          <w:sz w:val="24"/>
          <w:szCs w:val="24"/>
        </w:rPr>
        <w:t>（</w:t>
      </w:r>
      <w:r>
        <w:rPr>
          <w:rFonts w:ascii="宋体" w:hAnsi="宋体"/>
          <w:color w:val="000000"/>
          <w:sz w:val="24"/>
          <w:szCs w:val="24"/>
        </w:rPr>
        <w:t>11</w:t>
      </w:r>
      <w:r>
        <w:rPr>
          <w:rFonts w:hint="eastAsia" w:ascii="宋体" w:hAnsi="宋体"/>
          <w:color w:val="000000"/>
          <w:sz w:val="24"/>
          <w:szCs w:val="24"/>
        </w:rPr>
        <w:t>）不同谈判响应供应商的谈判保证金从同一单位或者个人的账户转出。</w:t>
      </w:r>
    </w:p>
    <w:p>
      <w:pPr>
        <w:spacing w:line="40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12</w:t>
      </w:r>
      <w:r>
        <w:rPr>
          <w:rFonts w:hint="eastAsia" w:ascii="宋体" w:hAnsi="宋体"/>
          <w:sz w:val="24"/>
          <w:szCs w:val="24"/>
        </w:rPr>
        <w:t>）不同谈判响应供应商的响应文件错、漏之处一致或雷同，且不能合理解释的；</w:t>
      </w:r>
    </w:p>
    <w:p>
      <w:pPr>
        <w:spacing w:line="40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13</w:t>
      </w:r>
      <w:r>
        <w:rPr>
          <w:rFonts w:hint="eastAsia" w:ascii="宋体" w:hAnsi="宋体"/>
          <w:sz w:val="24"/>
          <w:szCs w:val="24"/>
        </w:rPr>
        <w:t>）不同的谈判响应供应商的法定代表人、委托代理人等由同一个单位缴纳社会保险的；</w:t>
      </w:r>
    </w:p>
    <w:p>
      <w:pPr>
        <w:spacing w:line="40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14</w:t>
      </w:r>
      <w:r>
        <w:rPr>
          <w:rFonts w:hint="eastAsia" w:ascii="宋体" w:hAnsi="宋体"/>
          <w:sz w:val="24"/>
          <w:szCs w:val="24"/>
        </w:rPr>
        <w:t>）由同一人或分别由几个有利害关系的人携带两个以上（含两个）谈判响应供应商的企业资料参与资格审查、领取采购资料，或代表两个以上（含两个）谈判响应供应商参加项目答疑会、交纳或退还谈判保证金、参加谈判的；</w:t>
      </w:r>
    </w:p>
    <w:p>
      <w:pPr>
        <w:spacing w:line="400" w:lineRule="exact"/>
        <w:ind w:firstLine="480" w:firstLineChars="200"/>
        <w:rPr>
          <w:rFonts w:ascii="宋体"/>
          <w:sz w:val="24"/>
          <w:szCs w:val="24"/>
        </w:rPr>
      </w:pPr>
      <w:r>
        <w:rPr>
          <w:rFonts w:ascii="宋体" w:hAnsi="宋体"/>
          <w:sz w:val="24"/>
          <w:szCs w:val="24"/>
        </w:rPr>
        <w:t xml:space="preserve">(15) </w:t>
      </w:r>
      <w:r>
        <w:rPr>
          <w:rFonts w:hint="eastAsia" w:ascii="宋体" w:hAnsi="宋体"/>
          <w:sz w:val="24"/>
          <w:szCs w:val="24"/>
        </w:rPr>
        <w:t>法定代表人、单位负责人为同一人或夫妻关系的不同供应商；</w:t>
      </w:r>
    </w:p>
    <w:p>
      <w:pPr>
        <w:spacing w:line="400" w:lineRule="exact"/>
        <w:ind w:firstLine="480" w:firstLineChars="200"/>
        <w:rPr>
          <w:rFonts w:ascii="宋体"/>
          <w:sz w:val="24"/>
          <w:szCs w:val="24"/>
        </w:rPr>
      </w:pPr>
      <w:r>
        <w:rPr>
          <w:rFonts w:ascii="宋体" w:hAnsi="宋体"/>
          <w:sz w:val="24"/>
          <w:szCs w:val="24"/>
        </w:rPr>
        <w:t xml:space="preserve">(16) </w:t>
      </w:r>
      <w:r>
        <w:rPr>
          <w:rFonts w:hint="eastAsia" w:ascii="宋体" w:hAnsi="宋体"/>
          <w:sz w:val="24"/>
          <w:szCs w:val="24"/>
        </w:rPr>
        <w:t>存在直接控股、管理关系的不同供应商；</w:t>
      </w:r>
    </w:p>
    <w:p>
      <w:pPr>
        <w:spacing w:line="400" w:lineRule="exact"/>
        <w:ind w:firstLine="480" w:firstLineChars="200"/>
        <w:rPr>
          <w:rFonts w:ascii="宋体"/>
          <w:sz w:val="24"/>
          <w:szCs w:val="24"/>
        </w:rPr>
      </w:pPr>
      <w:r>
        <w:rPr>
          <w:rFonts w:ascii="宋体" w:hAnsi="宋体"/>
          <w:sz w:val="24"/>
          <w:szCs w:val="24"/>
        </w:rPr>
        <w:t xml:space="preserve">(17) </w:t>
      </w:r>
      <w:r>
        <w:rPr>
          <w:rFonts w:hint="eastAsia" w:ascii="宋体" w:hAnsi="宋体"/>
          <w:sz w:val="24"/>
          <w:szCs w:val="24"/>
        </w:rPr>
        <w:t>均为同一家母公司直接或间接持股</w:t>
      </w:r>
      <w:r>
        <w:rPr>
          <w:rFonts w:ascii="宋体" w:hAnsi="宋体"/>
          <w:sz w:val="24"/>
          <w:szCs w:val="24"/>
        </w:rPr>
        <w:t>50</w:t>
      </w:r>
      <w:r>
        <w:rPr>
          <w:rFonts w:hint="eastAsia" w:ascii="宋体" w:hAnsi="宋体"/>
          <w:sz w:val="24"/>
          <w:szCs w:val="24"/>
        </w:rPr>
        <w:t>％及以上的被投资公司。</w:t>
      </w:r>
    </w:p>
    <w:p>
      <w:pPr>
        <w:spacing w:line="400" w:lineRule="exact"/>
        <w:ind w:firstLine="480" w:firstLineChars="200"/>
        <w:rPr>
          <w:rFonts w:ascii="宋体"/>
          <w:color w:val="000000"/>
          <w:sz w:val="24"/>
          <w:szCs w:val="24"/>
        </w:rPr>
      </w:pPr>
      <w:r>
        <w:rPr>
          <w:rFonts w:hint="eastAsia" w:ascii="宋体" w:hAnsi="宋体"/>
          <w:sz w:val="24"/>
          <w:szCs w:val="24"/>
        </w:rPr>
        <w:t>（</w:t>
      </w:r>
      <w:r>
        <w:rPr>
          <w:rFonts w:ascii="宋体" w:hAnsi="宋体"/>
          <w:sz w:val="24"/>
          <w:szCs w:val="24"/>
        </w:rPr>
        <w:t>18</w:t>
      </w:r>
      <w:r>
        <w:rPr>
          <w:rFonts w:hint="eastAsia" w:ascii="宋体" w:hAnsi="宋体"/>
          <w:sz w:val="24"/>
          <w:szCs w:val="24"/>
        </w:rPr>
        <w:t>）有关法律、法规或规章规定的其他串通行为。</w:t>
      </w:r>
    </w:p>
    <w:p>
      <w:pPr>
        <w:pStyle w:val="10"/>
        <w:spacing w:line="400" w:lineRule="exact"/>
        <w:jc w:val="left"/>
        <w:rPr>
          <w:rFonts w:hAnsi="宋体"/>
          <w:b/>
          <w:sz w:val="24"/>
        </w:rPr>
      </w:pPr>
      <w:r>
        <w:rPr>
          <w:rFonts w:hAnsi="宋体"/>
          <w:b/>
          <w:sz w:val="24"/>
        </w:rPr>
        <w:t>4.</w:t>
      </w:r>
      <w:r>
        <w:rPr>
          <w:rFonts w:hint="eastAsia" w:hAnsi="宋体"/>
          <w:b/>
          <w:sz w:val="24"/>
        </w:rPr>
        <w:t>谈判费用</w:t>
      </w:r>
    </w:p>
    <w:p>
      <w:pPr>
        <w:pStyle w:val="10"/>
        <w:spacing w:line="400" w:lineRule="exact"/>
        <w:ind w:firstLine="480" w:firstLineChars="200"/>
        <w:jc w:val="left"/>
        <w:rPr>
          <w:rFonts w:hAnsi="宋体"/>
          <w:sz w:val="24"/>
        </w:rPr>
      </w:pPr>
      <w:r>
        <w:rPr>
          <w:rFonts w:hint="eastAsia" w:hAnsi="宋体"/>
          <w:sz w:val="24"/>
        </w:rPr>
        <w:t>谈判响应供应商应承担其准备与参加谈判所涉及的一切费用。</w:t>
      </w:r>
    </w:p>
    <w:p>
      <w:pPr>
        <w:pStyle w:val="10"/>
        <w:spacing w:line="400" w:lineRule="exact"/>
        <w:jc w:val="left"/>
        <w:rPr>
          <w:rFonts w:hAnsi="宋体"/>
          <w:b/>
          <w:sz w:val="24"/>
        </w:rPr>
      </w:pPr>
      <w:r>
        <w:rPr>
          <w:rFonts w:hAnsi="宋体"/>
          <w:b/>
          <w:sz w:val="24"/>
        </w:rPr>
        <w:t>5.</w:t>
      </w:r>
      <w:r>
        <w:rPr>
          <w:rFonts w:hint="eastAsia" w:hAnsi="宋体"/>
          <w:b/>
          <w:sz w:val="24"/>
        </w:rPr>
        <w:t>知识产权</w:t>
      </w:r>
    </w:p>
    <w:p>
      <w:pPr>
        <w:pStyle w:val="10"/>
        <w:spacing w:line="400" w:lineRule="exact"/>
        <w:ind w:firstLine="480" w:firstLineChars="200"/>
        <w:jc w:val="left"/>
        <w:rPr>
          <w:rFonts w:hAnsi="宋体"/>
          <w:sz w:val="24"/>
        </w:rPr>
      </w:pPr>
      <w:r>
        <w:rPr>
          <w:rFonts w:hAnsi="宋体"/>
          <w:sz w:val="24"/>
        </w:rPr>
        <w:t xml:space="preserve">5.1 </w:t>
      </w:r>
      <w:r>
        <w:rPr>
          <w:rFonts w:hint="eastAsia" w:hAnsi="宋体"/>
          <w:sz w:val="24"/>
        </w:rPr>
        <w:t>谈判响应供应商应保证在本项目使用任何产品或其任何一部分时，不会产生因第三方提出侵犯其专利权、商标权或其它知识产权而引起的法律和经济责任。因此产生的法律和经济责任由谈判响应供应商承担。</w:t>
      </w:r>
    </w:p>
    <w:p>
      <w:pPr>
        <w:pStyle w:val="38"/>
        <w:spacing w:line="400" w:lineRule="exact"/>
        <w:jc w:val="center"/>
        <w:outlineLvl w:val="9"/>
        <w:rPr>
          <w:rFonts w:hAnsi="宋体"/>
          <w:b/>
          <w:sz w:val="24"/>
        </w:rPr>
      </w:pPr>
      <w:r>
        <w:rPr>
          <w:rFonts w:hint="eastAsia" w:hAnsi="宋体"/>
          <w:b/>
          <w:sz w:val="24"/>
        </w:rPr>
        <w:t>二、</w:t>
      </w:r>
      <w:r>
        <w:rPr>
          <w:rFonts w:hAnsi="宋体"/>
          <w:b/>
          <w:sz w:val="24"/>
        </w:rPr>
        <w:t xml:space="preserve"> </w:t>
      </w:r>
      <w:r>
        <w:rPr>
          <w:rFonts w:hint="eastAsia" w:hAnsi="宋体"/>
          <w:b/>
          <w:sz w:val="24"/>
        </w:rPr>
        <w:t>谈判文件</w:t>
      </w:r>
    </w:p>
    <w:p>
      <w:pPr>
        <w:pStyle w:val="10"/>
        <w:spacing w:line="400" w:lineRule="exact"/>
        <w:jc w:val="left"/>
        <w:rPr>
          <w:rFonts w:hAnsi="宋体"/>
          <w:b/>
          <w:sz w:val="24"/>
        </w:rPr>
      </w:pPr>
      <w:r>
        <w:rPr>
          <w:rFonts w:hAnsi="宋体"/>
          <w:b/>
          <w:sz w:val="24"/>
        </w:rPr>
        <w:t>6.</w:t>
      </w:r>
      <w:r>
        <w:rPr>
          <w:rFonts w:hint="eastAsia" w:hAnsi="宋体"/>
          <w:b/>
          <w:sz w:val="24"/>
        </w:rPr>
        <w:t>谈判文件的组成</w:t>
      </w:r>
    </w:p>
    <w:p>
      <w:pPr>
        <w:pStyle w:val="10"/>
        <w:spacing w:line="400" w:lineRule="exact"/>
        <w:ind w:firstLine="480" w:firstLineChars="200"/>
        <w:jc w:val="left"/>
        <w:rPr>
          <w:rFonts w:hAnsi="宋体"/>
          <w:sz w:val="24"/>
        </w:rPr>
      </w:pPr>
      <w:r>
        <w:rPr>
          <w:rFonts w:hAnsi="宋体"/>
          <w:sz w:val="24"/>
        </w:rPr>
        <w:t>6.1</w:t>
      </w:r>
      <w:r>
        <w:rPr>
          <w:rFonts w:hint="eastAsia" w:hAnsi="宋体"/>
          <w:sz w:val="24"/>
        </w:rPr>
        <w:t>谈判文件用以阐明所需货物及服务、谈判程序和合同格式及条款。谈判文件由下述部分组成：</w:t>
      </w:r>
    </w:p>
    <w:p>
      <w:pPr>
        <w:pStyle w:val="10"/>
        <w:spacing w:line="400" w:lineRule="exact"/>
        <w:jc w:val="left"/>
        <w:rPr>
          <w:rFonts w:hAnsi="宋体"/>
          <w:sz w:val="24"/>
        </w:rPr>
      </w:pPr>
      <w:r>
        <w:rPr>
          <w:rFonts w:hAnsi="宋体"/>
          <w:sz w:val="24"/>
        </w:rPr>
        <w:t xml:space="preserve">    </w:t>
      </w:r>
      <w:r>
        <w:rPr>
          <w:rFonts w:hint="eastAsia" w:hAnsi="宋体"/>
          <w:sz w:val="24"/>
        </w:rPr>
        <w:t>（</w:t>
      </w:r>
      <w:r>
        <w:rPr>
          <w:rFonts w:hAnsi="宋体"/>
          <w:sz w:val="24"/>
        </w:rPr>
        <w:t>1</w:t>
      </w:r>
      <w:r>
        <w:rPr>
          <w:rFonts w:hint="eastAsia" w:hAnsi="宋体"/>
          <w:sz w:val="24"/>
        </w:rPr>
        <w:t>）谈判邀请</w:t>
      </w:r>
    </w:p>
    <w:p>
      <w:pPr>
        <w:pStyle w:val="10"/>
        <w:spacing w:line="400" w:lineRule="exact"/>
        <w:jc w:val="left"/>
        <w:rPr>
          <w:rFonts w:hAnsi="宋体"/>
          <w:sz w:val="24"/>
        </w:rPr>
      </w:pPr>
      <w:r>
        <w:rPr>
          <w:rFonts w:hAnsi="宋体"/>
          <w:sz w:val="24"/>
        </w:rPr>
        <w:t xml:space="preserve">    </w:t>
      </w:r>
      <w:r>
        <w:rPr>
          <w:rFonts w:hint="eastAsia" w:hAnsi="宋体"/>
          <w:sz w:val="24"/>
        </w:rPr>
        <w:t>（</w:t>
      </w:r>
      <w:r>
        <w:rPr>
          <w:rFonts w:hAnsi="宋体"/>
          <w:sz w:val="24"/>
        </w:rPr>
        <w:t>2</w:t>
      </w:r>
      <w:r>
        <w:rPr>
          <w:rFonts w:hint="eastAsia" w:hAnsi="宋体"/>
          <w:sz w:val="24"/>
        </w:rPr>
        <w:t>）谈判响应供应商须知</w:t>
      </w:r>
    </w:p>
    <w:p>
      <w:pPr>
        <w:pStyle w:val="10"/>
        <w:spacing w:line="400" w:lineRule="exact"/>
        <w:ind w:firstLine="480" w:firstLineChars="200"/>
        <w:jc w:val="left"/>
        <w:rPr>
          <w:rFonts w:hAnsi="宋体"/>
          <w:sz w:val="24"/>
        </w:rPr>
      </w:pPr>
      <w:r>
        <w:rPr>
          <w:rFonts w:hint="eastAsia" w:hAnsi="宋体"/>
          <w:sz w:val="24"/>
        </w:rPr>
        <w:t>（</w:t>
      </w:r>
      <w:r>
        <w:rPr>
          <w:rFonts w:hAnsi="宋体"/>
          <w:sz w:val="24"/>
        </w:rPr>
        <w:t>3</w:t>
      </w:r>
      <w:r>
        <w:rPr>
          <w:rFonts w:hint="eastAsia" w:hAnsi="宋体"/>
          <w:sz w:val="24"/>
        </w:rPr>
        <w:t>）谈判供应商须知正文部分</w:t>
      </w:r>
    </w:p>
    <w:p>
      <w:pPr>
        <w:pStyle w:val="10"/>
        <w:spacing w:line="400" w:lineRule="exact"/>
        <w:jc w:val="left"/>
        <w:rPr>
          <w:rFonts w:hAnsi="宋体"/>
          <w:sz w:val="24"/>
        </w:rPr>
      </w:pPr>
      <w:r>
        <w:rPr>
          <w:rFonts w:hAnsi="宋体"/>
          <w:sz w:val="24"/>
        </w:rPr>
        <w:t xml:space="preserve">   </w:t>
      </w:r>
      <w:r>
        <w:rPr>
          <w:rFonts w:hint="eastAsia" w:hAnsi="宋体"/>
          <w:sz w:val="24"/>
        </w:rPr>
        <w:t>（</w:t>
      </w:r>
      <w:r>
        <w:rPr>
          <w:rFonts w:hAnsi="宋体"/>
          <w:sz w:val="24"/>
        </w:rPr>
        <w:t>4</w:t>
      </w:r>
      <w:r>
        <w:rPr>
          <w:rFonts w:hint="eastAsia" w:hAnsi="宋体"/>
          <w:sz w:val="24"/>
        </w:rPr>
        <w:t>）采购内容及要求</w:t>
      </w:r>
    </w:p>
    <w:p>
      <w:pPr>
        <w:pStyle w:val="10"/>
        <w:spacing w:line="400" w:lineRule="exact"/>
        <w:jc w:val="left"/>
        <w:rPr>
          <w:rFonts w:hAnsi="宋体"/>
          <w:sz w:val="24"/>
        </w:rPr>
      </w:pPr>
      <w:r>
        <w:rPr>
          <w:rFonts w:hAnsi="宋体"/>
          <w:sz w:val="24"/>
        </w:rPr>
        <w:t xml:space="preserve">   </w:t>
      </w:r>
      <w:r>
        <w:rPr>
          <w:rFonts w:hint="eastAsia" w:hAnsi="宋体"/>
          <w:sz w:val="24"/>
        </w:rPr>
        <w:t>（</w:t>
      </w:r>
      <w:r>
        <w:rPr>
          <w:rFonts w:hAnsi="宋体"/>
          <w:sz w:val="24"/>
        </w:rPr>
        <w:t>5</w:t>
      </w:r>
      <w:r>
        <w:rPr>
          <w:rFonts w:hint="eastAsia" w:hAnsi="宋体"/>
          <w:sz w:val="24"/>
        </w:rPr>
        <w:t>）政府采购合同</w:t>
      </w:r>
    </w:p>
    <w:p>
      <w:pPr>
        <w:pStyle w:val="10"/>
        <w:spacing w:line="400" w:lineRule="exact"/>
        <w:ind w:firstLine="360" w:firstLineChars="150"/>
        <w:jc w:val="left"/>
        <w:rPr>
          <w:rFonts w:hAnsi="宋体"/>
          <w:sz w:val="24"/>
        </w:rPr>
      </w:pPr>
      <w:r>
        <w:rPr>
          <w:rFonts w:hint="eastAsia" w:hAnsi="宋体"/>
          <w:sz w:val="24"/>
        </w:rPr>
        <w:t>（</w:t>
      </w:r>
      <w:r>
        <w:rPr>
          <w:rFonts w:hAnsi="宋体"/>
          <w:sz w:val="24"/>
        </w:rPr>
        <w:t>6</w:t>
      </w:r>
      <w:r>
        <w:rPr>
          <w:rFonts w:hint="eastAsia" w:hAnsi="宋体"/>
          <w:sz w:val="24"/>
        </w:rPr>
        <w:t>）响应文件格式</w:t>
      </w:r>
    </w:p>
    <w:p>
      <w:pPr>
        <w:pStyle w:val="10"/>
        <w:spacing w:line="400" w:lineRule="exact"/>
        <w:jc w:val="left"/>
        <w:rPr>
          <w:rFonts w:hAnsi="宋体"/>
          <w:b/>
          <w:sz w:val="24"/>
        </w:rPr>
      </w:pPr>
      <w:r>
        <w:rPr>
          <w:rFonts w:hAnsi="宋体"/>
          <w:b/>
          <w:sz w:val="24"/>
        </w:rPr>
        <w:t>7.</w:t>
      </w:r>
      <w:r>
        <w:rPr>
          <w:rFonts w:hint="eastAsia" w:hAnsi="宋体"/>
          <w:b/>
          <w:sz w:val="24"/>
        </w:rPr>
        <w:t>谈判文件的澄清与修改</w:t>
      </w:r>
    </w:p>
    <w:p>
      <w:pPr>
        <w:pStyle w:val="6"/>
        <w:snapToGrid w:val="0"/>
        <w:spacing w:line="400" w:lineRule="exact"/>
        <w:ind w:firstLine="420" w:firstLineChars="175"/>
        <w:outlineLvl w:val="0"/>
        <w:rPr>
          <w:bCs/>
          <w:color w:val="000000"/>
          <w:sz w:val="24"/>
        </w:rPr>
      </w:pPr>
      <w:r>
        <w:rPr>
          <w:sz w:val="24"/>
        </w:rPr>
        <w:t>7.1</w:t>
      </w:r>
      <w:r>
        <w:rPr>
          <w:rFonts w:hint="eastAsia"/>
          <w:bCs/>
          <w:color w:val="000000"/>
          <w:sz w:val="24"/>
        </w:rPr>
        <w:t>至谈判响应截止时间</w:t>
      </w:r>
      <w:r>
        <w:rPr>
          <w:bCs/>
          <w:color w:val="000000"/>
          <w:sz w:val="24"/>
        </w:rPr>
        <w:t>3</w:t>
      </w:r>
      <w:r>
        <w:rPr>
          <w:rFonts w:hint="eastAsia"/>
          <w:bCs/>
          <w:color w:val="000000"/>
          <w:sz w:val="24"/>
        </w:rPr>
        <w:t>个工作日（如至原定截止时间不足</w:t>
      </w:r>
      <w:r>
        <w:rPr>
          <w:bCs/>
          <w:color w:val="000000"/>
          <w:sz w:val="24"/>
        </w:rPr>
        <w:t>3</w:t>
      </w:r>
      <w:r>
        <w:rPr>
          <w:rFonts w:hint="eastAsia"/>
          <w:bCs/>
          <w:color w:val="000000"/>
          <w:sz w:val="24"/>
        </w:rPr>
        <w:t>个工作日，则需延长截止时间）前，</w:t>
      </w:r>
      <w:r>
        <w:rPr>
          <w:rFonts w:hint="eastAsia"/>
          <w:sz w:val="24"/>
        </w:rPr>
        <w:t>采购代理代理机构</w:t>
      </w:r>
      <w:r>
        <w:rPr>
          <w:rFonts w:hint="eastAsia"/>
          <w:bCs/>
          <w:color w:val="000000"/>
          <w:sz w:val="24"/>
        </w:rPr>
        <w:t>可主动或依供应商要求澄清的问题修改谈判文件，但应当</w:t>
      </w:r>
      <w:r>
        <w:rPr>
          <w:rFonts w:hint="eastAsia"/>
          <w:sz w:val="24"/>
        </w:rPr>
        <w:t>在原信息发布媒体上发布更正公告，</w:t>
      </w:r>
      <w:r>
        <w:rPr>
          <w:rFonts w:hint="eastAsia"/>
          <w:bCs/>
          <w:color w:val="000000"/>
          <w:sz w:val="24"/>
        </w:rPr>
        <w:t>并以书面形式通知所有谈判文件收受人，供应商在收到该通知后应当立即以传真形式予以确认</w:t>
      </w:r>
      <w:r>
        <w:rPr>
          <w:rFonts w:hint="eastAsia"/>
          <w:sz w:val="24"/>
        </w:rPr>
        <w:t>（如属网上采购项目</w:t>
      </w:r>
      <w:r>
        <w:rPr>
          <w:rFonts w:hint="eastAsia"/>
          <w:bCs/>
          <w:color w:val="000000"/>
          <w:sz w:val="24"/>
        </w:rPr>
        <w:t>，在采购公告原发布媒体及实施网上采购的网站发布更正公告，不再书面答复）。</w:t>
      </w:r>
      <w:r>
        <w:rPr>
          <w:rFonts w:hint="eastAsia"/>
          <w:sz w:val="24"/>
        </w:rPr>
        <w:t>该修改内容为谈判文件的组成部分，对供应商具有约束力。但</w:t>
      </w:r>
      <w:r>
        <w:rPr>
          <w:rFonts w:hint="eastAsia"/>
          <w:bCs/>
          <w:color w:val="000000"/>
          <w:sz w:val="24"/>
        </w:rPr>
        <w:t>本谈判文件第</w:t>
      </w:r>
      <w:r>
        <w:rPr>
          <w:bCs/>
          <w:color w:val="000000"/>
          <w:sz w:val="24"/>
        </w:rPr>
        <w:t>7.2</w:t>
      </w:r>
      <w:r>
        <w:rPr>
          <w:rFonts w:hint="eastAsia"/>
          <w:bCs/>
          <w:color w:val="000000"/>
          <w:sz w:val="24"/>
        </w:rPr>
        <w:t>条规定的推迟响应截止时间情形不受本条约束。</w:t>
      </w:r>
    </w:p>
    <w:p>
      <w:pPr>
        <w:pStyle w:val="6"/>
        <w:snapToGrid w:val="0"/>
        <w:spacing w:line="400" w:lineRule="exact"/>
        <w:ind w:firstLine="420" w:firstLineChars="175"/>
        <w:outlineLvl w:val="0"/>
        <w:rPr>
          <w:sz w:val="24"/>
        </w:rPr>
      </w:pPr>
      <w:r>
        <w:rPr>
          <w:sz w:val="24"/>
        </w:rPr>
        <w:t>7.2</w:t>
      </w:r>
      <w:r>
        <w:rPr>
          <w:rFonts w:hint="eastAsia"/>
          <w:sz w:val="24"/>
        </w:rPr>
        <w:t>为使供应商在准备响应文件时有合理的时间考虑响应文件的修改，采购代理机构可酌情推迟谈判响应截止时间，但应当至少在截止时间</w:t>
      </w:r>
      <w:r>
        <w:rPr>
          <w:sz w:val="24"/>
        </w:rPr>
        <w:t>3</w:t>
      </w:r>
      <w:r>
        <w:rPr>
          <w:rFonts w:hint="eastAsia"/>
          <w:sz w:val="24"/>
        </w:rPr>
        <w:t>个工作日前将变更时间以书面形式通知所有获取谈判文件的供应商，该修改内容为谈判文件的组成部分。在此情况下，采购人和供应商受谈判响应截止期制约的所有权利和义务均应延长至新的截止日期。</w:t>
      </w:r>
    </w:p>
    <w:p>
      <w:pPr>
        <w:pStyle w:val="6"/>
        <w:snapToGrid w:val="0"/>
        <w:spacing w:line="400" w:lineRule="exact"/>
        <w:ind w:firstLine="2891" w:firstLineChars="1200"/>
        <w:outlineLvl w:val="0"/>
        <w:rPr>
          <w:bCs/>
          <w:sz w:val="24"/>
        </w:rPr>
      </w:pPr>
      <w:r>
        <w:rPr>
          <w:rFonts w:hint="eastAsia"/>
          <w:b/>
          <w:sz w:val="24"/>
        </w:rPr>
        <w:t>三、响应文件的编写</w:t>
      </w:r>
    </w:p>
    <w:p>
      <w:pPr>
        <w:pStyle w:val="10"/>
        <w:spacing w:line="400" w:lineRule="exact"/>
        <w:jc w:val="left"/>
        <w:rPr>
          <w:rFonts w:hAnsi="宋体"/>
          <w:b/>
          <w:sz w:val="24"/>
        </w:rPr>
      </w:pPr>
      <w:r>
        <w:rPr>
          <w:rFonts w:hAnsi="宋体"/>
          <w:b/>
          <w:sz w:val="24"/>
        </w:rPr>
        <w:t>8.</w:t>
      </w:r>
      <w:r>
        <w:rPr>
          <w:rFonts w:hint="eastAsia" w:hAnsi="宋体"/>
          <w:b/>
          <w:sz w:val="24"/>
        </w:rPr>
        <w:t>要求</w:t>
      </w:r>
    </w:p>
    <w:p>
      <w:pPr>
        <w:pStyle w:val="10"/>
        <w:spacing w:line="400" w:lineRule="exact"/>
        <w:ind w:firstLine="480"/>
        <w:jc w:val="left"/>
        <w:rPr>
          <w:rFonts w:hAnsi="宋体"/>
          <w:sz w:val="24"/>
        </w:rPr>
      </w:pPr>
      <w:r>
        <w:rPr>
          <w:rFonts w:hAnsi="宋体"/>
          <w:sz w:val="24"/>
        </w:rPr>
        <w:t>8.1</w:t>
      </w:r>
      <w:r>
        <w:rPr>
          <w:rFonts w:hint="eastAsia" w:hAnsi="宋体"/>
          <w:sz w:val="24"/>
        </w:rPr>
        <w:t>谈判响应供应商应仔细阅读谈判文件的所有内容，按谈判文件的要求提供响应文件，响应文件应对谈判文件的要求作出实质性响应，并保证所提供的全部资料的真实性，否则其响应文件可被作响应无效处理。</w:t>
      </w:r>
    </w:p>
    <w:p>
      <w:pPr>
        <w:pStyle w:val="10"/>
        <w:spacing w:line="400" w:lineRule="exact"/>
        <w:ind w:firstLine="480" w:firstLineChars="200"/>
        <w:jc w:val="left"/>
        <w:rPr>
          <w:rFonts w:hAnsi="宋体"/>
          <w:sz w:val="24"/>
        </w:rPr>
      </w:pPr>
      <w:r>
        <w:rPr>
          <w:rFonts w:hAnsi="宋体"/>
          <w:sz w:val="24"/>
        </w:rPr>
        <w:t>8.2</w:t>
      </w:r>
      <w:r>
        <w:rPr>
          <w:rFonts w:hint="eastAsia" w:hAnsi="宋体"/>
          <w:sz w:val="24"/>
        </w:rPr>
        <w:t>除非有另外的规定，谈判响应供应商应按被邀请参加响应的合同包进行报价，同时，应对所报价合同包下的所有品目号进行报价。采购人不接受有任何可选择性的报价，每一种货物、服务、工程只能有一个报价。</w:t>
      </w:r>
    </w:p>
    <w:p>
      <w:pPr>
        <w:pStyle w:val="10"/>
        <w:spacing w:line="400" w:lineRule="exact"/>
        <w:jc w:val="left"/>
        <w:rPr>
          <w:rFonts w:hAnsi="宋体"/>
          <w:b/>
          <w:sz w:val="24"/>
        </w:rPr>
      </w:pPr>
      <w:r>
        <w:rPr>
          <w:rFonts w:hAnsi="宋体"/>
          <w:b/>
          <w:sz w:val="24"/>
        </w:rPr>
        <w:t>9.</w:t>
      </w:r>
      <w:r>
        <w:rPr>
          <w:rFonts w:hint="eastAsia" w:hAnsi="宋体"/>
          <w:b/>
          <w:sz w:val="24"/>
        </w:rPr>
        <w:t>谈判响应文件语言及报价要求</w:t>
      </w:r>
    </w:p>
    <w:p>
      <w:pPr>
        <w:pStyle w:val="10"/>
        <w:spacing w:line="400" w:lineRule="exact"/>
        <w:ind w:firstLine="720" w:firstLineChars="300"/>
        <w:jc w:val="left"/>
        <w:rPr>
          <w:rFonts w:hAnsi="宋体"/>
          <w:b/>
          <w:sz w:val="24"/>
        </w:rPr>
      </w:pPr>
      <w:r>
        <w:rPr>
          <w:rFonts w:hint="eastAsia" w:hAnsi="宋体"/>
          <w:sz w:val="24"/>
        </w:rPr>
        <w:t>谈判响应文件应用中文书写。响应文件中所附或所引用的的原件不是中文时，应附中文译文。各种计量单位及符号应采用国际上统一使用的公制计量单位和符号。</w:t>
      </w:r>
    </w:p>
    <w:p>
      <w:pPr>
        <w:pStyle w:val="10"/>
        <w:spacing w:line="400" w:lineRule="exact"/>
        <w:jc w:val="left"/>
        <w:rPr>
          <w:rFonts w:hAnsi="宋体"/>
          <w:b/>
          <w:sz w:val="24"/>
        </w:rPr>
      </w:pPr>
      <w:r>
        <w:rPr>
          <w:rFonts w:hAnsi="宋体"/>
          <w:b/>
          <w:sz w:val="24"/>
        </w:rPr>
        <w:t>10.</w:t>
      </w:r>
      <w:r>
        <w:rPr>
          <w:rFonts w:hint="eastAsia" w:hAnsi="宋体"/>
          <w:b/>
          <w:sz w:val="24"/>
        </w:rPr>
        <w:t>谈判响应文件的组成</w:t>
      </w:r>
      <w:r>
        <w:rPr>
          <w:rFonts w:hint="eastAsia" w:hAnsi="宋体"/>
          <w:b/>
          <w:bCs/>
          <w:sz w:val="24"/>
        </w:rPr>
        <w:t>包括下列部分</w:t>
      </w:r>
    </w:p>
    <w:p>
      <w:pPr>
        <w:spacing w:line="400" w:lineRule="exact"/>
        <w:ind w:firstLine="480" w:firstLineChars="200"/>
        <w:rPr>
          <w:rFonts w:ascii="宋体" w:cs="宋体"/>
          <w:sz w:val="24"/>
          <w:szCs w:val="24"/>
        </w:rPr>
      </w:pPr>
      <w:r>
        <w:rPr>
          <w:rFonts w:ascii="宋体" w:hAnsi="宋体" w:cs="宋体"/>
          <w:sz w:val="24"/>
          <w:szCs w:val="24"/>
        </w:rPr>
        <w:t xml:space="preserve">10.1. </w:t>
      </w:r>
      <w:r>
        <w:rPr>
          <w:rFonts w:hint="eastAsia" w:ascii="宋体" w:hAnsi="宋体" w:cs="宋体"/>
          <w:sz w:val="24"/>
          <w:szCs w:val="24"/>
        </w:rPr>
        <w:t>谈判响应声明函</w:t>
      </w:r>
    </w:p>
    <w:p>
      <w:pPr>
        <w:spacing w:line="400" w:lineRule="exact"/>
        <w:ind w:firstLine="480" w:firstLineChars="200"/>
        <w:rPr>
          <w:rFonts w:ascii="宋体" w:cs="宋体"/>
          <w:sz w:val="24"/>
          <w:szCs w:val="24"/>
        </w:rPr>
      </w:pPr>
      <w:r>
        <w:rPr>
          <w:rFonts w:ascii="宋体" w:hAnsi="宋体" w:cs="宋体"/>
          <w:sz w:val="24"/>
          <w:szCs w:val="24"/>
        </w:rPr>
        <w:t xml:space="preserve">10.2 </w:t>
      </w:r>
      <w:r>
        <w:rPr>
          <w:rFonts w:hint="eastAsia" w:ascii="宋体" w:hAnsi="宋体" w:cs="宋体"/>
          <w:sz w:val="24"/>
          <w:szCs w:val="24"/>
        </w:rPr>
        <w:t>报价一览表</w:t>
      </w:r>
    </w:p>
    <w:p>
      <w:pPr>
        <w:spacing w:line="400" w:lineRule="exact"/>
        <w:ind w:firstLine="480" w:firstLineChars="200"/>
        <w:rPr>
          <w:rFonts w:ascii="宋体" w:cs="宋体"/>
          <w:sz w:val="24"/>
          <w:szCs w:val="24"/>
        </w:rPr>
      </w:pPr>
      <w:r>
        <w:rPr>
          <w:rFonts w:ascii="宋体" w:hAnsi="宋体" w:cs="宋体"/>
          <w:sz w:val="24"/>
          <w:szCs w:val="24"/>
        </w:rPr>
        <w:t xml:space="preserve">10.3 </w:t>
      </w:r>
      <w:r>
        <w:rPr>
          <w:rFonts w:hint="eastAsia" w:ascii="宋体" w:hAnsi="宋体" w:cs="宋体"/>
          <w:sz w:val="24"/>
          <w:szCs w:val="24"/>
        </w:rPr>
        <w:t>谈判分项报价表（格式）</w:t>
      </w:r>
    </w:p>
    <w:p>
      <w:pPr>
        <w:spacing w:line="400" w:lineRule="exact"/>
        <w:ind w:firstLine="480" w:firstLineChars="200"/>
        <w:rPr>
          <w:rFonts w:ascii="宋体" w:cs="宋体"/>
          <w:sz w:val="24"/>
          <w:szCs w:val="24"/>
        </w:rPr>
      </w:pPr>
      <w:r>
        <w:rPr>
          <w:rFonts w:ascii="宋体" w:hAnsi="宋体" w:cs="宋体"/>
          <w:sz w:val="24"/>
          <w:szCs w:val="24"/>
        </w:rPr>
        <w:t xml:space="preserve">10.4 </w:t>
      </w:r>
      <w:r>
        <w:rPr>
          <w:rFonts w:hint="eastAsia" w:ascii="宋体" w:hAnsi="宋体" w:cs="宋体"/>
          <w:sz w:val="24"/>
          <w:szCs w:val="24"/>
        </w:rPr>
        <w:t>商务条款偏离表</w:t>
      </w:r>
    </w:p>
    <w:p>
      <w:pPr>
        <w:spacing w:line="400" w:lineRule="exact"/>
        <w:ind w:firstLine="480" w:firstLineChars="200"/>
        <w:rPr>
          <w:rFonts w:ascii="宋体" w:cs="宋体"/>
          <w:sz w:val="24"/>
          <w:szCs w:val="24"/>
        </w:rPr>
      </w:pPr>
      <w:r>
        <w:rPr>
          <w:rFonts w:ascii="宋体" w:hAnsi="宋体" w:cs="宋体"/>
          <w:sz w:val="24"/>
          <w:szCs w:val="24"/>
        </w:rPr>
        <w:t xml:space="preserve">10.5 </w:t>
      </w:r>
      <w:r>
        <w:rPr>
          <w:rFonts w:hint="eastAsia" w:ascii="宋体" w:hAnsi="宋体" w:cs="宋体"/>
          <w:sz w:val="24"/>
          <w:szCs w:val="24"/>
        </w:rPr>
        <w:t>资格的声明函</w:t>
      </w:r>
    </w:p>
    <w:p>
      <w:pPr>
        <w:spacing w:line="400" w:lineRule="exact"/>
        <w:ind w:firstLine="480" w:firstLineChars="200"/>
        <w:rPr>
          <w:rFonts w:ascii="宋体" w:cs="宋体"/>
          <w:sz w:val="24"/>
          <w:szCs w:val="24"/>
        </w:rPr>
      </w:pPr>
      <w:r>
        <w:rPr>
          <w:rFonts w:ascii="宋体" w:hAnsi="宋体" w:cs="宋体"/>
          <w:sz w:val="24"/>
          <w:szCs w:val="24"/>
        </w:rPr>
        <w:t>10.6</w:t>
      </w:r>
      <w:r>
        <w:rPr>
          <w:rFonts w:hint="eastAsia" w:ascii="宋体" w:hAnsi="宋体" w:cs="宋体"/>
          <w:sz w:val="24"/>
          <w:szCs w:val="24"/>
        </w:rPr>
        <w:t>法定代表人授权书</w:t>
      </w:r>
    </w:p>
    <w:p>
      <w:pPr>
        <w:spacing w:line="400" w:lineRule="exact"/>
        <w:ind w:firstLine="480" w:firstLineChars="200"/>
        <w:rPr>
          <w:rFonts w:ascii="宋体" w:cs="宋体"/>
          <w:sz w:val="24"/>
          <w:szCs w:val="24"/>
        </w:rPr>
      </w:pPr>
      <w:r>
        <w:rPr>
          <w:rFonts w:ascii="宋体" w:hAnsi="宋体" w:cs="宋体"/>
          <w:sz w:val="24"/>
          <w:szCs w:val="24"/>
        </w:rPr>
        <w:t>10.7</w:t>
      </w:r>
      <w:r>
        <w:rPr>
          <w:rFonts w:hint="eastAsia" w:ascii="宋体" w:hAnsi="宋体" w:cs="宋体"/>
          <w:sz w:val="24"/>
          <w:szCs w:val="24"/>
        </w:rPr>
        <w:t>谈判响应供应商</w:t>
      </w:r>
      <w:r>
        <w:rPr>
          <w:rFonts w:hint="eastAsia" w:ascii="宋体" w:hAnsi="宋体" w:cs="宋体"/>
          <w:bCs/>
          <w:sz w:val="24"/>
          <w:szCs w:val="24"/>
        </w:rPr>
        <w:t>提</w:t>
      </w:r>
      <w:r>
        <w:rPr>
          <w:rFonts w:hint="eastAsia" w:ascii="宋体" w:hAnsi="宋体" w:cs="宋体"/>
          <w:sz w:val="24"/>
          <w:szCs w:val="24"/>
        </w:rPr>
        <w:t>交的其他资料</w:t>
      </w:r>
    </w:p>
    <w:p>
      <w:pPr>
        <w:spacing w:line="400" w:lineRule="exact"/>
        <w:ind w:firstLine="480" w:firstLineChars="200"/>
        <w:rPr>
          <w:rFonts w:ascii="宋体" w:cs="宋体"/>
          <w:sz w:val="24"/>
          <w:szCs w:val="24"/>
        </w:rPr>
      </w:pPr>
      <w:r>
        <w:rPr>
          <w:rFonts w:ascii="宋体" w:hAnsi="宋体" w:cs="宋体"/>
          <w:sz w:val="24"/>
          <w:szCs w:val="24"/>
        </w:rPr>
        <w:t>10.8</w:t>
      </w:r>
      <w:r>
        <w:rPr>
          <w:rFonts w:hint="eastAsia" w:ascii="宋体" w:hAnsi="宋体" w:cs="宋体"/>
          <w:sz w:val="24"/>
          <w:szCs w:val="24"/>
        </w:rPr>
        <w:t>中小企业声明函</w:t>
      </w:r>
    </w:p>
    <w:p>
      <w:pPr>
        <w:pStyle w:val="10"/>
        <w:spacing w:line="400" w:lineRule="exact"/>
        <w:jc w:val="left"/>
        <w:rPr>
          <w:rFonts w:hAnsi="宋体"/>
          <w:b/>
          <w:sz w:val="24"/>
        </w:rPr>
      </w:pPr>
      <w:r>
        <w:rPr>
          <w:rFonts w:hAnsi="宋体"/>
          <w:b/>
          <w:sz w:val="24"/>
        </w:rPr>
        <w:t>11.</w:t>
      </w:r>
      <w:r>
        <w:rPr>
          <w:rFonts w:hint="eastAsia" w:hAnsi="宋体"/>
          <w:b/>
          <w:sz w:val="24"/>
        </w:rPr>
        <w:t>谈判响应有效期</w:t>
      </w:r>
    </w:p>
    <w:p>
      <w:pPr>
        <w:pStyle w:val="10"/>
        <w:spacing w:line="400" w:lineRule="exact"/>
        <w:ind w:firstLine="480" w:firstLineChars="200"/>
        <w:jc w:val="left"/>
        <w:rPr>
          <w:rFonts w:hAnsi="宋体"/>
          <w:sz w:val="24"/>
        </w:rPr>
      </w:pPr>
      <w:r>
        <w:rPr>
          <w:rFonts w:hAnsi="宋体"/>
          <w:sz w:val="24"/>
        </w:rPr>
        <w:t>11.1</w:t>
      </w:r>
      <w:r>
        <w:rPr>
          <w:rFonts w:hint="eastAsia" w:hAnsi="宋体"/>
          <w:sz w:val="24"/>
        </w:rPr>
        <w:t>响应文件从</w:t>
      </w:r>
      <w:r>
        <w:rPr>
          <w:rFonts w:hint="eastAsia" w:hAnsi="宋体"/>
          <w:bCs/>
          <w:sz w:val="24"/>
        </w:rPr>
        <w:t>谈判响应供应商须知前附表</w:t>
      </w:r>
      <w:r>
        <w:rPr>
          <w:rFonts w:hAnsi="宋体"/>
          <w:bCs/>
          <w:sz w:val="24"/>
        </w:rPr>
        <w:t>1</w:t>
      </w:r>
      <w:r>
        <w:rPr>
          <w:rFonts w:hint="eastAsia" w:hAnsi="宋体"/>
          <w:sz w:val="24"/>
        </w:rPr>
        <w:t>所规定的谈判响应截止期之日开始生效，在</w:t>
      </w:r>
      <w:r>
        <w:rPr>
          <w:rFonts w:hint="eastAsia" w:hAnsi="宋体"/>
          <w:bCs/>
          <w:sz w:val="24"/>
        </w:rPr>
        <w:t>谈判响应供应商须知前附表</w:t>
      </w:r>
      <w:r>
        <w:rPr>
          <w:rFonts w:hint="eastAsia" w:hAnsi="宋体"/>
          <w:sz w:val="24"/>
        </w:rPr>
        <w:t>所规定的期限内保持有效。有效期不足将导致其响应文件被拒绝。</w:t>
      </w:r>
    </w:p>
    <w:p>
      <w:pPr>
        <w:pStyle w:val="10"/>
        <w:spacing w:line="400" w:lineRule="exact"/>
        <w:ind w:firstLine="480" w:firstLineChars="200"/>
        <w:jc w:val="left"/>
        <w:rPr>
          <w:rFonts w:hAnsi="宋体"/>
          <w:sz w:val="24"/>
        </w:rPr>
      </w:pPr>
      <w:r>
        <w:rPr>
          <w:sz w:val="24"/>
          <w:szCs w:val="24"/>
        </w:rPr>
        <w:t>11.2</w:t>
      </w:r>
      <w:r>
        <w:rPr>
          <w:rFonts w:hint="eastAsia"/>
          <w:sz w:val="24"/>
          <w:szCs w:val="24"/>
        </w:rPr>
        <w:t>特殊情况下采购代理机构可于谈判有效期满之前书面要求谈判响应供应商同意延长有效期，谈判响应供应商应在采购代理机构规定的期限内以书面形式予以答复。谈判响应供应商可以拒绝上述要求而其谈判保证金可按规定予以退还。谈判响应供应商答复不明确或者逾期未答复的，均视为拒绝上述要求。对于接受该要求的谈判响应供应商，既不要求也不允许其修改响应文件，但将要求其相应延长谈判保证金有效期，有关退还和不予退还谈判保证金的规定在报价有效期延长期内继续有效。</w:t>
      </w:r>
      <w:r>
        <w:rPr>
          <w:sz w:val="24"/>
          <w:szCs w:val="24"/>
        </w:rPr>
        <w:t xml:space="preserve">  </w:t>
      </w:r>
      <w:r>
        <w:rPr>
          <w:rFonts w:hAnsi="宋体"/>
          <w:sz w:val="24"/>
        </w:rPr>
        <w:t xml:space="preserve">    </w:t>
      </w:r>
    </w:p>
    <w:p>
      <w:pPr>
        <w:pStyle w:val="10"/>
        <w:spacing w:line="400" w:lineRule="exact"/>
        <w:jc w:val="left"/>
        <w:rPr>
          <w:rFonts w:hAnsi="宋体"/>
          <w:b/>
          <w:sz w:val="24"/>
        </w:rPr>
      </w:pPr>
      <w:r>
        <w:rPr>
          <w:rFonts w:hAnsi="宋体"/>
          <w:b/>
          <w:sz w:val="24"/>
        </w:rPr>
        <w:t>12.</w:t>
      </w:r>
      <w:r>
        <w:rPr>
          <w:rFonts w:hint="eastAsia" w:hAnsi="宋体"/>
          <w:b/>
          <w:sz w:val="24"/>
        </w:rPr>
        <w:t>谈判保证金</w:t>
      </w:r>
    </w:p>
    <w:p>
      <w:pPr>
        <w:pStyle w:val="10"/>
        <w:spacing w:line="400" w:lineRule="exact"/>
        <w:ind w:firstLine="480" w:firstLineChars="200"/>
        <w:jc w:val="left"/>
        <w:rPr>
          <w:rFonts w:hAnsi="宋体"/>
          <w:sz w:val="24"/>
        </w:rPr>
      </w:pPr>
      <w:r>
        <w:rPr>
          <w:rFonts w:hAnsi="宋体"/>
          <w:sz w:val="24"/>
        </w:rPr>
        <w:t xml:space="preserve">12.1 </w:t>
      </w:r>
      <w:r>
        <w:rPr>
          <w:rFonts w:hint="eastAsia" w:hAnsi="宋体"/>
          <w:sz w:val="24"/>
        </w:rPr>
        <w:t>谈判保证金为响应文件的组成部分之一。</w:t>
      </w:r>
    </w:p>
    <w:p>
      <w:pPr>
        <w:spacing w:line="400" w:lineRule="exact"/>
        <w:ind w:firstLine="480"/>
        <w:rPr>
          <w:rFonts w:ascii="宋体"/>
          <w:sz w:val="24"/>
          <w:szCs w:val="24"/>
        </w:rPr>
      </w:pPr>
      <w:r>
        <w:rPr>
          <w:rFonts w:ascii="宋体" w:hAnsi="宋体"/>
          <w:sz w:val="24"/>
          <w:szCs w:val="24"/>
        </w:rPr>
        <w:t>12.2</w:t>
      </w:r>
      <w:r>
        <w:rPr>
          <w:rFonts w:hint="eastAsia"/>
          <w:sz w:val="24"/>
          <w:szCs w:val="24"/>
        </w:rPr>
        <w:t>谈判响应供应商应在提交响应文件之前向采购代理机构指定的政府采购保证金专户缴交谈判响应供应商须知前附表要求的谈判保证金。联合体谈判的，可以由联合体中的一方或者共同提交谈判保证金，以一方名义提交谈判保证金的，对联合体各方均具有约束力。</w:t>
      </w:r>
    </w:p>
    <w:p>
      <w:pPr>
        <w:pStyle w:val="10"/>
        <w:spacing w:line="400" w:lineRule="exact"/>
        <w:ind w:firstLine="480" w:firstLineChars="200"/>
        <w:jc w:val="left"/>
        <w:rPr>
          <w:rFonts w:hAnsi="宋体"/>
          <w:sz w:val="24"/>
        </w:rPr>
      </w:pPr>
      <w:r>
        <w:rPr>
          <w:rFonts w:hAnsi="宋体"/>
          <w:sz w:val="24"/>
        </w:rPr>
        <w:t xml:space="preserve">12.3 </w:t>
      </w:r>
      <w:r>
        <w:rPr>
          <w:rFonts w:hint="eastAsia" w:hAnsi="宋体"/>
          <w:sz w:val="24"/>
        </w:rPr>
        <w:t>谈判保证金用于保护本次谈判活动免受谈判响应供应商的行为而引起的风险。</w:t>
      </w:r>
    </w:p>
    <w:p>
      <w:pPr>
        <w:spacing w:line="400" w:lineRule="exact"/>
        <w:ind w:firstLine="480" w:firstLineChars="200"/>
        <w:rPr>
          <w:rFonts w:ascii="宋体"/>
          <w:sz w:val="24"/>
        </w:rPr>
      </w:pPr>
      <w:r>
        <w:rPr>
          <w:rFonts w:ascii="宋体" w:hAnsi="宋体"/>
          <w:sz w:val="24"/>
        </w:rPr>
        <w:t>12.4</w:t>
      </w:r>
      <w:r>
        <w:rPr>
          <w:rFonts w:hint="eastAsia" w:ascii="宋体" w:hAnsi="宋体"/>
          <w:sz w:val="24"/>
        </w:rPr>
        <w:t>谈判保证金交纳方式及其它：</w:t>
      </w:r>
    </w:p>
    <w:p>
      <w:pPr>
        <w:spacing w:line="400" w:lineRule="exact"/>
        <w:ind w:firstLine="480" w:firstLineChars="200"/>
        <w:rPr>
          <w:rFonts w:ascii="宋体"/>
          <w:sz w:val="24"/>
        </w:rPr>
      </w:pPr>
      <w:r>
        <w:rPr>
          <w:rFonts w:hint="eastAsia" w:ascii="宋体" w:hAnsi="宋体"/>
          <w:sz w:val="24"/>
        </w:rPr>
        <w:t>①谈判保证金以支票、汇票、本票等非现金形式提交：且应在谈判响应截止时间前到账（不收取现金、现金支票；不能用个人卡在银联支付系统转账，否则视为未提交谈判保证金；谈判保证金到账以到截止时间时保证金系统显示为标准，未显示到账的一律视为未提交谈判保证金）。</w:t>
      </w:r>
    </w:p>
    <w:p>
      <w:pPr>
        <w:pStyle w:val="10"/>
        <w:spacing w:line="400" w:lineRule="exact"/>
        <w:ind w:firstLine="480" w:firstLineChars="200"/>
        <w:jc w:val="left"/>
        <w:rPr>
          <w:rFonts w:hAnsi="宋体"/>
          <w:sz w:val="24"/>
        </w:rPr>
      </w:pPr>
      <w:r>
        <w:rPr>
          <w:rFonts w:hint="eastAsia" w:hAnsi="宋体"/>
          <w:sz w:val="24"/>
        </w:rPr>
        <w:t>②若项目存在分包的，则谈判保证金应按不同的合同包号分别提交。</w:t>
      </w:r>
    </w:p>
    <w:p>
      <w:pPr>
        <w:spacing w:line="400" w:lineRule="exact"/>
        <w:ind w:firstLine="480" w:firstLineChars="200"/>
        <w:rPr>
          <w:rFonts w:ascii="宋体"/>
          <w:sz w:val="24"/>
        </w:rPr>
      </w:pPr>
      <w:r>
        <w:rPr>
          <w:rFonts w:hint="eastAsia" w:ascii="宋体" w:hAnsi="宋体"/>
          <w:sz w:val="24"/>
        </w:rPr>
        <w:t>③谈判响应供应商为中小企业的，其谈判保证金减半交纳。减半交纳谈判保证金的谈判响应供应商未按照谈判文件格式要求在响应文件中提供《中小企业声明函》的，其谈判响应作无效响应处理。</w:t>
      </w:r>
    </w:p>
    <w:p>
      <w:pPr>
        <w:pStyle w:val="10"/>
        <w:spacing w:line="400" w:lineRule="exact"/>
        <w:ind w:firstLine="480" w:firstLineChars="200"/>
        <w:jc w:val="left"/>
        <w:rPr>
          <w:rFonts w:hAnsi="宋体"/>
          <w:sz w:val="24"/>
        </w:rPr>
      </w:pPr>
      <w:r>
        <w:rPr>
          <w:rFonts w:hAnsi="宋体"/>
          <w:sz w:val="24"/>
        </w:rPr>
        <w:t xml:space="preserve">12.5 </w:t>
      </w:r>
      <w:r>
        <w:rPr>
          <w:rFonts w:hint="eastAsia" w:hAnsi="宋体"/>
          <w:sz w:val="24"/>
        </w:rPr>
        <w:t>未按要求提交谈判保证金的谈判响应，将被视为无效响应。</w:t>
      </w:r>
    </w:p>
    <w:p>
      <w:pPr>
        <w:pStyle w:val="10"/>
        <w:spacing w:line="400" w:lineRule="exact"/>
        <w:ind w:firstLine="480" w:firstLineChars="200"/>
        <w:jc w:val="left"/>
        <w:rPr>
          <w:rFonts w:hAnsi="宋体"/>
          <w:sz w:val="24"/>
        </w:rPr>
      </w:pPr>
      <w:r>
        <w:rPr>
          <w:rFonts w:hAnsi="宋体"/>
          <w:sz w:val="24"/>
        </w:rPr>
        <w:t xml:space="preserve">12.6 </w:t>
      </w:r>
      <w:r>
        <w:rPr>
          <w:rFonts w:hint="eastAsia" w:hAnsi="宋体"/>
          <w:sz w:val="24"/>
        </w:rPr>
        <w:t>采购代理机构将在成交通知书发出之日起</w:t>
      </w:r>
      <w:r>
        <w:rPr>
          <w:rFonts w:hAnsi="宋体"/>
          <w:sz w:val="24"/>
        </w:rPr>
        <w:t>5</w:t>
      </w:r>
      <w:r>
        <w:rPr>
          <w:rFonts w:hint="eastAsia" w:hAnsi="宋体"/>
          <w:sz w:val="24"/>
        </w:rPr>
        <w:t>个工作日内予以退还未成交供应商的谈判保证金。</w:t>
      </w:r>
    </w:p>
    <w:p>
      <w:pPr>
        <w:pStyle w:val="10"/>
        <w:spacing w:line="400" w:lineRule="exact"/>
        <w:ind w:firstLine="480" w:firstLineChars="200"/>
        <w:jc w:val="left"/>
        <w:rPr>
          <w:rFonts w:hAnsi="宋体"/>
          <w:sz w:val="24"/>
        </w:rPr>
      </w:pPr>
      <w:r>
        <w:rPr>
          <w:rFonts w:hAnsi="宋体"/>
          <w:sz w:val="24"/>
        </w:rPr>
        <w:t>12.7</w:t>
      </w:r>
      <w:r>
        <w:rPr>
          <w:rFonts w:hint="eastAsia" w:hAnsi="宋体"/>
          <w:sz w:val="24"/>
        </w:rPr>
        <w:t>在成交供应商支付所有采购代理服务费并签订合同后</w:t>
      </w:r>
      <w:r>
        <w:rPr>
          <w:rFonts w:hAnsi="宋体"/>
          <w:sz w:val="24"/>
        </w:rPr>
        <w:t>5</w:t>
      </w:r>
      <w:r>
        <w:rPr>
          <w:rFonts w:hint="eastAsia" w:hAnsi="宋体"/>
          <w:sz w:val="24"/>
        </w:rPr>
        <w:t>个工作日内，采购代理机构对成交供应商的谈判保证金予以原额无息退还。</w:t>
      </w:r>
    </w:p>
    <w:p>
      <w:pPr>
        <w:pStyle w:val="10"/>
        <w:spacing w:line="400" w:lineRule="exact"/>
        <w:ind w:firstLine="480" w:firstLineChars="200"/>
        <w:jc w:val="left"/>
        <w:rPr>
          <w:rFonts w:hAnsi="宋体"/>
          <w:sz w:val="24"/>
        </w:rPr>
      </w:pPr>
      <w:r>
        <w:rPr>
          <w:rFonts w:hAnsi="宋体"/>
          <w:sz w:val="24"/>
        </w:rPr>
        <w:t xml:space="preserve">12.8 </w:t>
      </w:r>
      <w:r>
        <w:rPr>
          <w:rFonts w:hint="eastAsia" w:hAnsi="宋体"/>
          <w:sz w:val="24"/>
        </w:rPr>
        <w:t>发生以下情况之一的，谈判保证金将不予退还，由采购代理机构上缴财政部门：</w:t>
      </w:r>
    </w:p>
    <w:p>
      <w:pPr>
        <w:pStyle w:val="10"/>
        <w:spacing w:line="400" w:lineRule="exact"/>
        <w:jc w:val="left"/>
        <w:rPr>
          <w:rFonts w:hAnsi="宋体"/>
          <w:sz w:val="24"/>
        </w:rPr>
      </w:pPr>
      <w:r>
        <w:rPr>
          <w:rFonts w:hAnsi="宋体"/>
          <w:sz w:val="24"/>
        </w:rPr>
        <w:t xml:space="preserve">   </w:t>
      </w:r>
      <w:r>
        <w:rPr>
          <w:rFonts w:hint="eastAsia" w:hAnsi="宋体"/>
          <w:sz w:val="24"/>
        </w:rPr>
        <w:t>（</w:t>
      </w:r>
      <w:r>
        <w:rPr>
          <w:rFonts w:hAnsi="宋体"/>
          <w:sz w:val="24"/>
        </w:rPr>
        <w:t>1</w:t>
      </w:r>
      <w:r>
        <w:rPr>
          <w:rFonts w:hint="eastAsia" w:hAnsi="宋体"/>
          <w:sz w:val="24"/>
        </w:rPr>
        <w:t>）谈判响应供应商提交最后报价后，撤回谈判响应；</w:t>
      </w:r>
    </w:p>
    <w:p>
      <w:pPr>
        <w:pStyle w:val="10"/>
        <w:spacing w:line="400" w:lineRule="exact"/>
        <w:jc w:val="left"/>
        <w:rPr>
          <w:rFonts w:hAnsi="宋体"/>
          <w:sz w:val="24"/>
        </w:rPr>
      </w:pPr>
      <w:r>
        <w:rPr>
          <w:rFonts w:hAnsi="宋体"/>
          <w:sz w:val="24"/>
        </w:rPr>
        <w:t xml:space="preserve">   </w:t>
      </w:r>
      <w:r>
        <w:rPr>
          <w:rFonts w:hint="eastAsia" w:hAnsi="宋体"/>
          <w:sz w:val="24"/>
        </w:rPr>
        <w:t>（</w:t>
      </w:r>
      <w:r>
        <w:rPr>
          <w:rFonts w:hAnsi="宋体"/>
          <w:sz w:val="24"/>
        </w:rPr>
        <w:t>2</w:t>
      </w:r>
      <w:r>
        <w:rPr>
          <w:rFonts w:hint="eastAsia" w:hAnsi="宋体"/>
          <w:sz w:val="24"/>
        </w:rPr>
        <w:t>）除因不可抗力或谈判文件认可的情形外，成交供应商未能做到按本须知规定签订合同的；</w:t>
      </w:r>
    </w:p>
    <w:p>
      <w:pPr>
        <w:pStyle w:val="10"/>
        <w:spacing w:line="400" w:lineRule="exact"/>
        <w:jc w:val="left"/>
        <w:rPr>
          <w:rFonts w:hAnsi="宋体"/>
          <w:sz w:val="24"/>
        </w:rPr>
      </w:pPr>
      <w:r>
        <w:rPr>
          <w:rFonts w:hAnsi="宋体"/>
          <w:sz w:val="24"/>
        </w:rPr>
        <w:t xml:space="preserve">   </w:t>
      </w:r>
      <w:r>
        <w:rPr>
          <w:rFonts w:hint="eastAsia" w:hAnsi="宋体"/>
          <w:sz w:val="24"/>
        </w:rPr>
        <w:t>（</w:t>
      </w:r>
      <w:r>
        <w:rPr>
          <w:rFonts w:hAnsi="宋体"/>
          <w:sz w:val="24"/>
        </w:rPr>
        <w:t>3</w:t>
      </w:r>
      <w:r>
        <w:rPr>
          <w:rFonts w:hint="eastAsia" w:hAnsi="宋体"/>
          <w:sz w:val="24"/>
        </w:rPr>
        <w:t>）以他人名义参与谈判响应或者以其他方式弄虚作假，骗取成交的；</w:t>
      </w:r>
    </w:p>
    <w:p>
      <w:pPr>
        <w:pStyle w:val="10"/>
        <w:spacing w:line="400" w:lineRule="exact"/>
        <w:jc w:val="left"/>
        <w:rPr>
          <w:rFonts w:hAnsi="宋体"/>
          <w:sz w:val="24"/>
        </w:rPr>
      </w:pPr>
      <w:r>
        <w:rPr>
          <w:rFonts w:hAnsi="宋体"/>
          <w:sz w:val="24"/>
        </w:rPr>
        <w:t xml:space="preserve">   </w:t>
      </w:r>
      <w:r>
        <w:rPr>
          <w:rFonts w:hint="eastAsia" w:hAnsi="宋体"/>
          <w:sz w:val="24"/>
        </w:rPr>
        <w:t>（</w:t>
      </w:r>
      <w:r>
        <w:rPr>
          <w:rFonts w:hAnsi="宋体"/>
          <w:sz w:val="24"/>
        </w:rPr>
        <w:t>4</w:t>
      </w:r>
      <w:r>
        <w:rPr>
          <w:rFonts w:hint="eastAsia" w:hAnsi="宋体"/>
          <w:sz w:val="24"/>
        </w:rPr>
        <w:t>）谈判响应供应商在响应文件中提供虚假材料的；</w:t>
      </w:r>
    </w:p>
    <w:p>
      <w:pPr>
        <w:pStyle w:val="10"/>
        <w:spacing w:line="400" w:lineRule="exact"/>
        <w:ind w:firstLine="360" w:firstLineChars="150"/>
        <w:jc w:val="left"/>
        <w:rPr>
          <w:rFonts w:hAnsi="宋体"/>
          <w:sz w:val="24"/>
        </w:rPr>
      </w:pPr>
      <w:r>
        <w:rPr>
          <w:rFonts w:hint="eastAsia" w:hAnsi="宋体"/>
          <w:sz w:val="24"/>
        </w:rPr>
        <w:t>（</w:t>
      </w:r>
      <w:r>
        <w:rPr>
          <w:rFonts w:hAnsi="宋体"/>
          <w:sz w:val="24"/>
        </w:rPr>
        <w:t>5</w:t>
      </w:r>
      <w:r>
        <w:rPr>
          <w:rFonts w:hint="eastAsia" w:hAnsi="宋体"/>
          <w:sz w:val="24"/>
        </w:rPr>
        <w:t>）在禁止参加政府采购活动的处罚期内，仍参加政府采购活动的；</w:t>
      </w:r>
    </w:p>
    <w:p>
      <w:pPr>
        <w:pStyle w:val="10"/>
        <w:spacing w:line="400" w:lineRule="exact"/>
        <w:ind w:firstLine="360" w:firstLineChars="150"/>
        <w:jc w:val="left"/>
        <w:rPr>
          <w:rFonts w:hAnsi="宋体"/>
          <w:sz w:val="24"/>
        </w:rPr>
      </w:pPr>
      <w:r>
        <w:rPr>
          <w:rFonts w:hint="eastAsia" w:hAnsi="宋体"/>
          <w:sz w:val="24"/>
        </w:rPr>
        <w:t>（</w:t>
      </w:r>
      <w:r>
        <w:rPr>
          <w:rFonts w:hAnsi="宋体"/>
          <w:sz w:val="24"/>
        </w:rPr>
        <w:t>6</w:t>
      </w:r>
      <w:r>
        <w:rPr>
          <w:rFonts w:hint="eastAsia" w:hAnsi="宋体"/>
          <w:sz w:val="24"/>
        </w:rPr>
        <w:t>）以不正当手段诋毁、排挤其他供应商的；</w:t>
      </w:r>
    </w:p>
    <w:p>
      <w:pPr>
        <w:pStyle w:val="10"/>
        <w:spacing w:line="400" w:lineRule="exact"/>
        <w:ind w:firstLine="360" w:firstLineChars="150"/>
        <w:jc w:val="left"/>
        <w:rPr>
          <w:rFonts w:hAnsi="宋体"/>
          <w:sz w:val="24"/>
        </w:rPr>
      </w:pPr>
      <w:r>
        <w:rPr>
          <w:rFonts w:hint="eastAsia" w:hAnsi="宋体"/>
          <w:sz w:val="24"/>
        </w:rPr>
        <w:t>（</w:t>
      </w:r>
      <w:r>
        <w:rPr>
          <w:rFonts w:hAnsi="宋体"/>
          <w:sz w:val="24"/>
        </w:rPr>
        <w:t>7</w:t>
      </w:r>
      <w:r>
        <w:rPr>
          <w:rFonts w:hint="eastAsia" w:hAnsi="宋体"/>
          <w:sz w:val="24"/>
        </w:rPr>
        <w:t>）因本项目政府采购过程中的违法行为，受到行政处罚的；</w:t>
      </w:r>
    </w:p>
    <w:p>
      <w:pPr>
        <w:pStyle w:val="10"/>
        <w:spacing w:line="400" w:lineRule="exact"/>
        <w:ind w:firstLine="360" w:firstLineChars="150"/>
        <w:jc w:val="left"/>
        <w:rPr>
          <w:rFonts w:hAnsi="宋体"/>
          <w:sz w:val="24"/>
        </w:rPr>
      </w:pPr>
      <w:r>
        <w:rPr>
          <w:rFonts w:hint="eastAsia" w:hAnsi="宋体"/>
          <w:sz w:val="24"/>
        </w:rPr>
        <w:t>（</w:t>
      </w:r>
      <w:r>
        <w:rPr>
          <w:rFonts w:hAnsi="宋体"/>
          <w:sz w:val="24"/>
        </w:rPr>
        <w:t>8</w:t>
      </w:r>
      <w:r>
        <w:rPr>
          <w:rFonts w:hint="eastAsia" w:hAnsi="宋体"/>
          <w:sz w:val="24"/>
        </w:rPr>
        <w:t>）与采购人、其他供应商或者采购代理机构恶意串通的；</w:t>
      </w:r>
    </w:p>
    <w:p>
      <w:pPr>
        <w:pStyle w:val="10"/>
        <w:spacing w:line="400" w:lineRule="exact"/>
        <w:ind w:firstLine="360" w:firstLineChars="150"/>
        <w:rPr>
          <w:rFonts w:hAnsi="宋体"/>
          <w:sz w:val="24"/>
        </w:rPr>
      </w:pPr>
      <w:r>
        <w:rPr>
          <w:rFonts w:hint="eastAsia" w:hAnsi="宋体"/>
          <w:sz w:val="24"/>
        </w:rPr>
        <w:t>（</w:t>
      </w:r>
      <w:r>
        <w:rPr>
          <w:rFonts w:hAnsi="宋体"/>
          <w:sz w:val="24"/>
        </w:rPr>
        <w:t>9</w:t>
      </w:r>
      <w:r>
        <w:rPr>
          <w:rFonts w:hint="eastAsia" w:hAnsi="宋体"/>
          <w:sz w:val="24"/>
        </w:rPr>
        <w:t>）法律、法规、规章及本谈判文件中规定的其他没收谈判保证金的情形。</w:t>
      </w:r>
    </w:p>
    <w:p>
      <w:pPr>
        <w:pStyle w:val="10"/>
        <w:spacing w:line="400" w:lineRule="exact"/>
        <w:rPr>
          <w:rFonts w:hAnsi="宋体"/>
          <w:sz w:val="24"/>
        </w:rPr>
      </w:pPr>
      <w:r>
        <w:rPr>
          <w:rFonts w:hint="eastAsia" w:hAnsi="宋体"/>
          <w:sz w:val="24"/>
        </w:rPr>
        <w:t>上述不予退还谈判保证金的情形给采购单位造成损失的，相关责任人还应当承担赔偿责任。</w:t>
      </w:r>
    </w:p>
    <w:p>
      <w:pPr>
        <w:pStyle w:val="10"/>
        <w:spacing w:line="400" w:lineRule="exact"/>
        <w:jc w:val="left"/>
        <w:rPr>
          <w:rFonts w:hAnsi="宋体"/>
          <w:b/>
          <w:sz w:val="24"/>
        </w:rPr>
      </w:pPr>
      <w:r>
        <w:rPr>
          <w:rFonts w:hAnsi="宋体"/>
          <w:b/>
          <w:sz w:val="24"/>
        </w:rPr>
        <w:t>13.</w:t>
      </w:r>
      <w:r>
        <w:rPr>
          <w:rFonts w:hint="eastAsia" w:hAnsi="宋体"/>
          <w:b/>
          <w:sz w:val="24"/>
        </w:rPr>
        <w:t>谈判响应文件的格式</w:t>
      </w:r>
    </w:p>
    <w:p>
      <w:pPr>
        <w:pStyle w:val="10"/>
        <w:spacing w:line="440" w:lineRule="exact"/>
        <w:ind w:firstLine="480" w:firstLineChars="200"/>
        <w:jc w:val="left"/>
        <w:rPr>
          <w:rFonts w:hAnsi="宋体"/>
          <w:color w:val="FF0000"/>
          <w:sz w:val="24"/>
        </w:rPr>
      </w:pPr>
      <w:r>
        <w:rPr>
          <w:rFonts w:hAnsi="宋体"/>
          <w:color w:val="FF0000"/>
          <w:sz w:val="24"/>
        </w:rPr>
        <w:t>13.1</w:t>
      </w:r>
      <w:r>
        <w:rPr>
          <w:rFonts w:hint="eastAsia" w:hAnsi="宋体"/>
          <w:color w:val="FF0000"/>
          <w:sz w:val="24"/>
        </w:rPr>
        <w:t>投标人应将投标文件用密封袋密封，正、副本单独或一起封装皆可，投标文件正文封面应注明“正本”“副本”。正副本信封及投标文件封面均应写明项目名称、招标编号、投标人名称、地址、联系人及联系人电话，并加盖投标单位公章。</w:t>
      </w:r>
    </w:p>
    <w:p>
      <w:pPr>
        <w:pStyle w:val="10"/>
        <w:spacing w:line="400" w:lineRule="exact"/>
        <w:ind w:firstLine="480" w:firstLineChars="200"/>
        <w:jc w:val="left"/>
        <w:rPr>
          <w:rFonts w:hAnsi="宋体"/>
          <w:sz w:val="24"/>
        </w:rPr>
      </w:pPr>
      <w:r>
        <w:rPr>
          <w:rFonts w:hAnsi="宋体"/>
          <w:sz w:val="24"/>
        </w:rPr>
        <w:t>13.2</w:t>
      </w:r>
      <w:r>
        <w:rPr>
          <w:rFonts w:hint="eastAsia" w:hAnsi="宋体"/>
          <w:sz w:val="24"/>
        </w:rPr>
        <w:t>响应文件应由谈判响应供应商的法定代表人或其授权代表签字并加盖公章，如由后者签字，应提供“法定代表人授权委托书”。</w:t>
      </w:r>
    </w:p>
    <w:p>
      <w:pPr>
        <w:pStyle w:val="10"/>
        <w:spacing w:line="400" w:lineRule="exact"/>
        <w:ind w:firstLine="480" w:firstLineChars="200"/>
        <w:jc w:val="left"/>
        <w:rPr>
          <w:rFonts w:hAnsi="宋体"/>
          <w:sz w:val="24"/>
        </w:rPr>
      </w:pPr>
      <w:r>
        <w:rPr>
          <w:rFonts w:hAnsi="宋体"/>
          <w:sz w:val="24"/>
        </w:rPr>
        <w:t>13.3</w:t>
      </w:r>
      <w:r>
        <w:rPr>
          <w:rFonts w:hint="eastAsia" w:hAnsi="宋体"/>
          <w:sz w:val="24"/>
        </w:rPr>
        <w:t>除非另有规定或许可，谈判响应使用货币为人民币。</w:t>
      </w:r>
    </w:p>
    <w:p>
      <w:pPr>
        <w:pStyle w:val="10"/>
        <w:spacing w:line="400" w:lineRule="exact"/>
        <w:ind w:firstLine="480" w:firstLineChars="200"/>
        <w:jc w:val="left"/>
        <w:rPr>
          <w:rFonts w:hAnsi="宋体"/>
          <w:sz w:val="24"/>
        </w:rPr>
      </w:pPr>
      <w:r>
        <w:rPr>
          <w:rFonts w:hAnsi="宋体"/>
          <w:sz w:val="24"/>
        </w:rPr>
        <w:t>13.4</w:t>
      </w:r>
      <w:r>
        <w:rPr>
          <w:rFonts w:hint="eastAsia" w:hAnsi="宋体"/>
          <w:sz w:val="24"/>
        </w:rPr>
        <w:t>谈判响应供应商应提交证明其拟供货物、服务、工程符合谈判文件要求的技术响应文件，该文件可以是文字资料、图纸和数据，并须提供货物、服务、工程主要技术性能的详细描述。</w:t>
      </w:r>
    </w:p>
    <w:p>
      <w:pPr>
        <w:pStyle w:val="10"/>
        <w:spacing w:line="400" w:lineRule="exact"/>
        <w:ind w:firstLine="480" w:firstLineChars="200"/>
        <w:jc w:val="left"/>
        <w:rPr>
          <w:rFonts w:hAnsi="宋体"/>
          <w:sz w:val="24"/>
        </w:rPr>
      </w:pPr>
      <w:r>
        <w:rPr>
          <w:rFonts w:hAnsi="宋体"/>
          <w:sz w:val="24"/>
        </w:rPr>
        <w:t>13.5</w:t>
      </w:r>
      <w:r>
        <w:rPr>
          <w:rFonts w:hint="eastAsia" w:hAnsi="宋体"/>
          <w:sz w:val="24"/>
        </w:rPr>
        <w:t>谈判文件的正本和全部副本均应使用不能擦去的墨料或墨水打印、书写或复印，并由法定代表人或其授权代表签署</w:t>
      </w:r>
      <w:r>
        <w:rPr>
          <w:rFonts w:hAnsi="宋体"/>
          <w:sz w:val="24"/>
        </w:rPr>
        <w:t>.</w:t>
      </w:r>
    </w:p>
    <w:p>
      <w:pPr>
        <w:pStyle w:val="10"/>
        <w:spacing w:line="400" w:lineRule="exact"/>
        <w:ind w:firstLine="643" w:firstLineChars="200"/>
        <w:jc w:val="left"/>
        <w:rPr>
          <w:rFonts w:hAnsi="宋体"/>
          <w:b/>
          <w:bCs/>
          <w:color w:val="FF0000"/>
          <w:sz w:val="32"/>
          <w:szCs w:val="22"/>
        </w:rPr>
      </w:pPr>
      <w:r>
        <w:rPr>
          <w:rFonts w:hint="eastAsia" w:hAnsi="宋体"/>
          <w:b/>
          <w:bCs/>
          <w:color w:val="FF0000"/>
          <w:sz w:val="32"/>
          <w:szCs w:val="22"/>
        </w:rPr>
        <w:t>投标文件每一页都需要盖谈判响应供应商公章。</w:t>
      </w:r>
    </w:p>
    <w:p>
      <w:pPr>
        <w:pStyle w:val="38"/>
        <w:spacing w:line="400" w:lineRule="exact"/>
        <w:ind w:firstLine="480" w:firstLineChars="200"/>
        <w:outlineLvl w:val="9"/>
        <w:rPr>
          <w:rFonts w:hAnsi="宋体"/>
          <w:sz w:val="24"/>
        </w:rPr>
      </w:pPr>
      <w:r>
        <w:rPr>
          <w:rFonts w:hAnsi="宋体"/>
          <w:sz w:val="24"/>
        </w:rPr>
        <w:t xml:space="preserve">13.6 </w:t>
      </w:r>
      <w:r>
        <w:rPr>
          <w:rFonts w:hint="eastAsia" w:hAnsi="宋体"/>
          <w:sz w:val="24"/>
        </w:rPr>
        <w:t>全套响应文件应无涂改和行间插字，除非这些改动是根据采购代理机构的指示进行的，或者是为改正谈判响应供应商造成的必须修改的错误而进行的。有改动时，修改处应由法定代表人或授权代表签字证明或加盖谈判响应供应商公章。</w:t>
      </w:r>
    </w:p>
    <w:p>
      <w:pPr>
        <w:pStyle w:val="38"/>
        <w:spacing w:line="400" w:lineRule="exact"/>
        <w:ind w:firstLine="480" w:firstLineChars="200"/>
        <w:outlineLvl w:val="9"/>
        <w:rPr>
          <w:rFonts w:hAnsi="宋体"/>
          <w:sz w:val="24"/>
        </w:rPr>
      </w:pPr>
      <w:r>
        <w:rPr>
          <w:rFonts w:hAnsi="宋体"/>
          <w:sz w:val="24"/>
        </w:rPr>
        <w:t>13.7</w:t>
      </w:r>
      <w:r>
        <w:rPr>
          <w:rFonts w:hint="eastAsia" w:hAnsi="宋体"/>
          <w:sz w:val="24"/>
        </w:rPr>
        <w:t>未按本须知规定的格式填写响应文件、响应文件字迹模糊不清的，其谈判响应将被拒绝。</w:t>
      </w:r>
    </w:p>
    <w:p>
      <w:pPr>
        <w:pStyle w:val="38"/>
        <w:spacing w:line="400" w:lineRule="exact"/>
        <w:ind w:firstLine="480" w:firstLineChars="200"/>
        <w:outlineLvl w:val="9"/>
        <w:rPr>
          <w:rFonts w:hAnsi="宋体"/>
          <w:color w:val="FF0000"/>
          <w:sz w:val="24"/>
        </w:rPr>
      </w:pPr>
      <w:r>
        <w:rPr>
          <w:rFonts w:hAnsi="宋体"/>
          <w:color w:val="FF0000"/>
          <w:sz w:val="24"/>
        </w:rPr>
        <w:t xml:space="preserve">13.8 </w:t>
      </w:r>
      <w:r>
        <w:rPr>
          <w:rFonts w:hint="eastAsia" w:hAnsi="宋体"/>
          <w:color w:val="FF0000"/>
          <w:sz w:val="24"/>
        </w:rPr>
        <w:t>所有资格证明文件复印件须加盖谈判响应供应商公章。</w:t>
      </w:r>
    </w:p>
    <w:p>
      <w:pPr>
        <w:pStyle w:val="38"/>
        <w:spacing w:line="400" w:lineRule="exact"/>
        <w:ind w:firstLine="480" w:firstLineChars="200"/>
        <w:outlineLvl w:val="9"/>
        <w:rPr>
          <w:rFonts w:hAnsi="宋体"/>
          <w:sz w:val="24"/>
        </w:rPr>
      </w:pPr>
      <w:r>
        <w:rPr>
          <w:rFonts w:hAnsi="宋体"/>
          <w:sz w:val="24"/>
        </w:rPr>
        <w:t>13.9</w:t>
      </w:r>
      <w:r>
        <w:rPr>
          <w:rFonts w:hint="eastAsia" w:hAnsi="宋体"/>
          <w:sz w:val="24"/>
        </w:rPr>
        <w:t>谈判响应供应商应将上述文件按顺序胶装成册、打印页码，并编列响应文件目录、资料清单，由于装订不规范或编排顺序混乱而导致响应文件被误读或漏读，该谈判响应可能被视为无效响应或承担不利的评审结果。</w:t>
      </w:r>
    </w:p>
    <w:p>
      <w:pPr>
        <w:pStyle w:val="38"/>
        <w:spacing w:line="400" w:lineRule="exact"/>
        <w:ind w:firstLine="482" w:firstLineChars="200"/>
        <w:jc w:val="center"/>
        <w:outlineLvl w:val="9"/>
        <w:rPr>
          <w:rFonts w:hAnsi="宋体"/>
          <w:b/>
          <w:sz w:val="24"/>
        </w:rPr>
      </w:pPr>
    </w:p>
    <w:p>
      <w:pPr>
        <w:pStyle w:val="38"/>
        <w:spacing w:line="400" w:lineRule="exact"/>
        <w:ind w:firstLine="482" w:firstLineChars="200"/>
        <w:jc w:val="center"/>
        <w:outlineLvl w:val="9"/>
        <w:rPr>
          <w:rFonts w:hAnsi="宋体"/>
          <w:b/>
          <w:sz w:val="24"/>
        </w:rPr>
      </w:pPr>
      <w:r>
        <w:rPr>
          <w:rFonts w:hint="eastAsia" w:hAnsi="宋体"/>
          <w:b/>
          <w:sz w:val="24"/>
        </w:rPr>
        <w:t>四、响应文件的提交</w:t>
      </w:r>
    </w:p>
    <w:p>
      <w:pPr>
        <w:pStyle w:val="38"/>
        <w:spacing w:line="400" w:lineRule="exact"/>
        <w:outlineLvl w:val="9"/>
        <w:rPr>
          <w:rFonts w:hAnsi="宋体"/>
          <w:b/>
          <w:sz w:val="24"/>
        </w:rPr>
      </w:pPr>
      <w:r>
        <w:rPr>
          <w:rFonts w:hAnsi="宋体"/>
          <w:b/>
          <w:sz w:val="24"/>
        </w:rPr>
        <w:t>14.</w:t>
      </w:r>
      <w:r>
        <w:rPr>
          <w:rFonts w:hint="eastAsia" w:hAnsi="宋体"/>
          <w:b/>
          <w:sz w:val="24"/>
        </w:rPr>
        <w:t>响应文件的密封、标记和递交</w:t>
      </w:r>
    </w:p>
    <w:p>
      <w:pPr>
        <w:pStyle w:val="38"/>
        <w:spacing w:line="400" w:lineRule="exact"/>
        <w:ind w:firstLine="480" w:firstLineChars="200"/>
        <w:outlineLvl w:val="9"/>
        <w:rPr>
          <w:rFonts w:hAnsi="宋体"/>
          <w:sz w:val="24"/>
        </w:rPr>
      </w:pPr>
      <w:r>
        <w:rPr>
          <w:rFonts w:hAnsi="宋体"/>
          <w:sz w:val="24"/>
        </w:rPr>
        <w:t>14.1</w:t>
      </w:r>
      <w:r>
        <w:rPr>
          <w:rFonts w:hint="eastAsia" w:hAnsi="宋体"/>
          <w:color w:val="FF0000"/>
          <w:sz w:val="24"/>
        </w:rPr>
        <w:t>投标人应将投标文件用密封袋密封，正、副本单独或一起封装皆可，投标文件正文封面应注明“正本”“副本”。正副本信封及投标文件封面均应写明项目名称、招标编号、投标人名称、地址、联系人及联系人电话，并加盖投标单位公章。响应文件未密封可导致其谈判被拒绝。</w:t>
      </w:r>
    </w:p>
    <w:p>
      <w:pPr>
        <w:pStyle w:val="38"/>
        <w:spacing w:line="400" w:lineRule="exact"/>
        <w:ind w:firstLine="480" w:firstLineChars="200"/>
        <w:outlineLvl w:val="9"/>
        <w:rPr>
          <w:rFonts w:hAnsi="宋体"/>
          <w:sz w:val="24"/>
        </w:rPr>
      </w:pPr>
    </w:p>
    <w:p>
      <w:pPr>
        <w:pStyle w:val="10"/>
        <w:spacing w:line="400" w:lineRule="exact"/>
        <w:ind w:firstLine="480" w:firstLineChars="200"/>
        <w:jc w:val="left"/>
        <w:rPr>
          <w:rFonts w:hAnsi="宋体"/>
          <w:sz w:val="24"/>
        </w:rPr>
      </w:pPr>
      <w:r>
        <w:rPr>
          <w:rFonts w:hAnsi="宋体"/>
          <w:sz w:val="24"/>
        </w:rPr>
        <w:t xml:space="preserve">14.2 </w:t>
      </w:r>
      <w:r>
        <w:rPr>
          <w:rFonts w:hint="eastAsia" w:hAnsi="宋体"/>
          <w:sz w:val="24"/>
        </w:rPr>
        <w:t>如果未按上述规定进行密封和标记，采购代理机构将不承担由此造成的对响应文件的误投或提前拆封的责任。</w:t>
      </w:r>
    </w:p>
    <w:p>
      <w:pPr>
        <w:pStyle w:val="38"/>
        <w:spacing w:line="400" w:lineRule="exact"/>
        <w:ind w:firstLine="480" w:firstLineChars="200"/>
        <w:outlineLvl w:val="9"/>
        <w:rPr>
          <w:rFonts w:hAnsi="宋体"/>
          <w:sz w:val="24"/>
        </w:rPr>
      </w:pPr>
      <w:r>
        <w:rPr>
          <w:rFonts w:hAnsi="宋体"/>
          <w:sz w:val="24"/>
        </w:rPr>
        <w:t>14.3</w:t>
      </w:r>
      <w:r>
        <w:rPr>
          <w:rFonts w:hint="eastAsia" w:hAnsi="宋体"/>
          <w:sz w:val="24"/>
        </w:rPr>
        <w:t>响应文件应在谈判邀请中规定的截止时间前送达，迟到的响应文件为无效响应文件，将被拒绝。</w:t>
      </w:r>
    </w:p>
    <w:p>
      <w:pPr>
        <w:pStyle w:val="38"/>
        <w:spacing w:line="400" w:lineRule="exact"/>
        <w:ind w:firstLine="480" w:firstLineChars="200"/>
        <w:outlineLvl w:val="9"/>
        <w:rPr>
          <w:rFonts w:hAnsi="宋体"/>
          <w:sz w:val="24"/>
        </w:rPr>
      </w:pPr>
      <w:r>
        <w:rPr>
          <w:rFonts w:hAnsi="宋体"/>
          <w:sz w:val="24"/>
        </w:rPr>
        <w:t>14.4</w:t>
      </w:r>
      <w:r>
        <w:rPr>
          <w:rFonts w:hint="eastAsia" w:hAnsi="宋体"/>
          <w:sz w:val="24"/>
        </w:rPr>
        <w:t>谈判响应供应商在谈判响应截止时间前，可以对所提交的谈判文件进行修改或者撤回，并书面通知采购代理机构。修改的内容和撤回通知应当按本须知要求签署、盖章、密封，并作为响应文件的组成部分。</w:t>
      </w:r>
    </w:p>
    <w:p>
      <w:pPr>
        <w:pStyle w:val="38"/>
        <w:spacing w:line="400" w:lineRule="exact"/>
        <w:ind w:firstLine="480" w:firstLineChars="200"/>
        <w:outlineLvl w:val="9"/>
        <w:rPr>
          <w:rFonts w:hAnsi="宋体"/>
          <w:sz w:val="24"/>
        </w:rPr>
      </w:pPr>
      <w:r>
        <w:rPr>
          <w:rFonts w:hAnsi="宋体"/>
          <w:sz w:val="24"/>
        </w:rPr>
        <w:t>14.5</w:t>
      </w:r>
      <w:r>
        <w:rPr>
          <w:rFonts w:hint="eastAsia" w:hAnsi="宋体"/>
          <w:sz w:val="24"/>
        </w:rPr>
        <w:t>谈判响应供应商在谈判响应截止期后不得修改、撤回响应文件。谈判响应供应商在报价截止期后修改响应文件的，其谈判响应将被拒绝。</w:t>
      </w:r>
    </w:p>
    <w:p>
      <w:pPr>
        <w:spacing w:line="400" w:lineRule="exact"/>
        <w:ind w:firstLine="480" w:firstLineChars="200"/>
        <w:outlineLvl w:val="0"/>
        <w:rPr>
          <w:rFonts w:ascii="宋体"/>
          <w:b/>
          <w:bCs/>
          <w:color w:val="FF0000"/>
          <w:sz w:val="24"/>
        </w:rPr>
      </w:pPr>
      <w:r>
        <w:rPr>
          <w:rFonts w:hAnsi="宋体"/>
          <w:sz w:val="24"/>
        </w:rPr>
        <w:t>14.6</w:t>
      </w:r>
      <w:r>
        <w:rPr>
          <w:rFonts w:hint="eastAsia" w:ascii="宋体" w:hAnsi="宋体"/>
          <w:sz w:val="24"/>
        </w:rPr>
        <w:t>投标文件的签署、密封及规定，投标人应按照要求，准备一式</w:t>
      </w:r>
      <w:r>
        <w:rPr>
          <w:rFonts w:ascii="宋体" w:hAnsi="宋体"/>
          <w:sz w:val="24"/>
          <w:u w:val="single"/>
        </w:rPr>
        <w:t xml:space="preserve"> </w:t>
      </w:r>
      <w:r>
        <w:rPr>
          <w:rFonts w:ascii="宋体" w:hAnsi="宋体"/>
          <w:b/>
          <w:sz w:val="24"/>
          <w:u w:val="single"/>
        </w:rPr>
        <w:t>2</w:t>
      </w:r>
      <w:r>
        <w:rPr>
          <w:rFonts w:ascii="宋体" w:hAnsi="宋体"/>
          <w:sz w:val="24"/>
          <w:u w:val="single"/>
        </w:rPr>
        <w:t xml:space="preserve"> </w:t>
      </w:r>
      <w:r>
        <w:rPr>
          <w:rFonts w:hint="eastAsia" w:ascii="宋体" w:hAnsi="宋体"/>
          <w:sz w:val="24"/>
        </w:rPr>
        <w:t>份投标书（</w:t>
      </w:r>
      <w:r>
        <w:rPr>
          <w:rFonts w:ascii="宋体" w:hAnsi="宋体"/>
          <w:sz w:val="24"/>
          <w:u w:val="single"/>
        </w:rPr>
        <w:t xml:space="preserve"> 1 </w:t>
      </w:r>
      <w:r>
        <w:rPr>
          <w:rFonts w:hint="eastAsia" w:ascii="宋体" w:hAnsi="宋体"/>
          <w:sz w:val="24"/>
        </w:rPr>
        <w:t>份正本、</w:t>
      </w:r>
      <w:r>
        <w:rPr>
          <w:rFonts w:ascii="宋体" w:hAnsi="宋体"/>
          <w:sz w:val="24"/>
          <w:u w:val="single"/>
        </w:rPr>
        <w:t xml:space="preserve">  1 </w:t>
      </w:r>
      <w:r>
        <w:rPr>
          <w:rFonts w:hint="eastAsia" w:ascii="宋体" w:hAnsi="宋体"/>
          <w:sz w:val="24"/>
        </w:rPr>
        <w:t>份副本），</w:t>
      </w:r>
      <w:r>
        <w:rPr>
          <w:rFonts w:hint="eastAsia" w:hAnsi="宋体"/>
          <w:color w:val="000000"/>
          <w:sz w:val="24"/>
        </w:rPr>
        <w:t>投标文件（正、副本）内容均须按页码顺序胶装成册</w:t>
      </w:r>
      <w:r>
        <w:rPr>
          <w:rFonts w:hint="eastAsia"/>
          <w:sz w:val="24"/>
          <w:lang w:val="zh-CN"/>
        </w:rPr>
        <w:t>并编制目录，</w:t>
      </w:r>
      <w:r>
        <w:rPr>
          <w:rFonts w:hint="eastAsia"/>
          <w:b/>
          <w:bCs/>
          <w:color w:val="FF0000"/>
          <w:sz w:val="28"/>
          <w:szCs w:val="24"/>
          <w:lang w:val="zh-CN"/>
        </w:rPr>
        <w:t>并在</w:t>
      </w:r>
      <w:r>
        <w:rPr>
          <w:rFonts w:hint="eastAsia" w:hAnsi="宋体"/>
          <w:b/>
          <w:bCs/>
          <w:color w:val="FF0000"/>
          <w:sz w:val="28"/>
          <w:szCs w:val="24"/>
        </w:rPr>
        <w:t>投标文件（正、副本）内容每一页加盖投标单位公章</w:t>
      </w:r>
      <w:r>
        <w:rPr>
          <w:rFonts w:hAnsi="宋体"/>
          <w:b/>
          <w:bCs/>
          <w:color w:val="FF0000"/>
          <w:sz w:val="28"/>
          <w:szCs w:val="24"/>
        </w:rPr>
        <w:t>,</w:t>
      </w:r>
      <w:r>
        <w:rPr>
          <w:rFonts w:ascii="宋体" w:hAnsi="宋体"/>
          <w:b/>
          <w:bCs/>
          <w:color w:val="FF0000"/>
          <w:sz w:val="28"/>
          <w:szCs w:val="24"/>
        </w:rPr>
        <w:t xml:space="preserve"> </w:t>
      </w:r>
      <w:r>
        <w:rPr>
          <w:rFonts w:hint="eastAsia" w:ascii="宋体" w:hAnsi="宋体"/>
          <w:b/>
          <w:bCs/>
          <w:color w:val="FF0000"/>
          <w:sz w:val="28"/>
          <w:szCs w:val="24"/>
        </w:rPr>
        <w:t>投标文件正本与副本不一致时，以正本为准。</w:t>
      </w:r>
    </w:p>
    <w:p>
      <w:pPr>
        <w:spacing w:line="400" w:lineRule="exact"/>
        <w:ind w:firstLine="480" w:firstLineChars="200"/>
        <w:rPr>
          <w:rFonts w:ascii="宋体"/>
          <w:kern w:val="0"/>
          <w:sz w:val="24"/>
          <w:szCs w:val="20"/>
        </w:rPr>
      </w:pPr>
      <w:r>
        <w:rPr>
          <w:rFonts w:hint="eastAsia" w:ascii="宋体" w:hAnsi="宋体"/>
          <w:kern w:val="0"/>
          <w:sz w:val="24"/>
          <w:szCs w:val="20"/>
        </w:rPr>
        <w:t>经补充后，对谈判文件作出实质响应的供应商只有两家的，经请示行业主管部门同意后，谈判小组可以与两家供应商进行谈判。</w:t>
      </w:r>
    </w:p>
    <w:p>
      <w:pPr>
        <w:pStyle w:val="38"/>
        <w:spacing w:line="400" w:lineRule="exact"/>
        <w:ind w:firstLine="480" w:firstLineChars="200"/>
        <w:outlineLvl w:val="9"/>
        <w:rPr>
          <w:rFonts w:hAnsi="宋体"/>
          <w:sz w:val="24"/>
        </w:rPr>
      </w:pPr>
    </w:p>
    <w:p>
      <w:pPr>
        <w:pStyle w:val="38"/>
        <w:spacing w:line="400" w:lineRule="exact"/>
        <w:ind w:firstLine="482" w:firstLineChars="200"/>
        <w:jc w:val="center"/>
        <w:outlineLvl w:val="9"/>
        <w:rPr>
          <w:rFonts w:hAnsi="宋体"/>
          <w:b/>
          <w:sz w:val="24"/>
        </w:rPr>
      </w:pPr>
      <w:r>
        <w:rPr>
          <w:rFonts w:hint="eastAsia" w:hAnsi="宋体"/>
          <w:b/>
          <w:sz w:val="24"/>
        </w:rPr>
        <w:t>五、响应文件的评估和比较</w:t>
      </w:r>
    </w:p>
    <w:p>
      <w:pPr>
        <w:pStyle w:val="10"/>
        <w:spacing w:line="400" w:lineRule="exact"/>
        <w:jc w:val="left"/>
        <w:rPr>
          <w:rFonts w:hAnsi="宋体"/>
          <w:b/>
          <w:sz w:val="24"/>
        </w:rPr>
      </w:pPr>
      <w:r>
        <w:rPr>
          <w:rFonts w:hAnsi="宋体"/>
          <w:b/>
          <w:sz w:val="24"/>
        </w:rPr>
        <w:t>15.</w:t>
      </w:r>
      <w:r>
        <w:rPr>
          <w:rFonts w:hint="eastAsia" w:hAnsi="宋体"/>
          <w:b/>
          <w:sz w:val="24"/>
        </w:rPr>
        <w:t>谈判时间</w:t>
      </w:r>
    </w:p>
    <w:p>
      <w:pPr>
        <w:pStyle w:val="10"/>
        <w:spacing w:line="400" w:lineRule="exact"/>
        <w:jc w:val="left"/>
        <w:rPr>
          <w:rFonts w:hAnsi="宋体"/>
          <w:sz w:val="24"/>
        </w:rPr>
      </w:pPr>
      <w:r>
        <w:rPr>
          <w:rFonts w:hAnsi="宋体"/>
          <w:b/>
          <w:sz w:val="24"/>
        </w:rPr>
        <w:t xml:space="preserve">   </w:t>
      </w:r>
      <w:r>
        <w:rPr>
          <w:rFonts w:hAnsi="宋体"/>
          <w:sz w:val="24"/>
        </w:rPr>
        <w:t xml:space="preserve"> 15.1</w:t>
      </w:r>
      <w:r>
        <w:rPr>
          <w:rFonts w:hint="eastAsia" w:hAnsi="宋体"/>
          <w:sz w:val="24"/>
        </w:rPr>
        <w:t>在谈判响应供应商须知前附表中所规定的时间、地点谈判（如有推迟情形，以推迟后的时间、地点为准）。</w:t>
      </w:r>
    </w:p>
    <w:p>
      <w:pPr>
        <w:pStyle w:val="10"/>
        <w:spacing w:line="400" w:lineRule="exact"/>
        <w:jc w:val="left"/>
        <w:rPr>
          <w:rFonts w:hAnsi="宋体"/>
          <w:sz w:val="24"/>
        </w:rPr>
      </w:pPr>
      <w:r>
        <w:rPr>
          <w:rFonts w:hAnsi="宋体"/>
          <w:sz w:val="24"/>
        </w:rPr>
        <w:t xml:space="preserve">    15.2</w:t>
      </w:r>
      <w:r>
        <w:rPr>
          <w:rFonts w:hint="eastAsia" w:hAnsi="宋体"/>
          <w:sz w:val="24"/>
        </w:rPr>
        <w:t>谈判由采购代理机构主持，邀请采购人、谈判响应供应商和有关方面代表参加。谈判响应供应商一般应派授权代表参加谈判，并办理签到手续。</w:t>
      </w:r>
    </w:p>
    <w:p>
      <w:pPr>
        <w:pStyle w:val="10"/>
        <w:spacing w:line="400" w:lineRule="exact"/>
        <w:jc w:val="left"/>
        <w:rPr>
          <w:rFonts w:hAnsi="宋体"/>
          <w:b/>
          <w:sz w:val="24"/>
        </w:rPr>
      </w:pPr>
      <w:r>
        <w:rPr>
          <w:rFonts w:hAnsi="宋体"/>
          <w:b/>
          <w:sz w:val="24"/>
        </w:rPr>
        <w:t>16.</w:t>
      </w:r>
      <w:r>
        <w:rPr>
          <w:rFonts w:hint="eastAsia" w:hAnsi="宋体"/>
          <w:b/>
          <w:sz w:val="24"/>
        </w:rPr>
        <w:t>谈判小组</w:t>
      </w:r>
    </w:p>
    <w:p>
      <w:pPr>
        <w:spacing w:line="400" w:lineRule="exact"/>
        <w:ind w:firstLine="480" w:firstLineChars="200"/>
        <w:rPr>
          <w:sz w:val="24"/>
          <w:szCs w:val="24"/>
        </w:rPr>
      </w:pPr>
      <w:r>
        <w:rPr>
          <w:sz w:val="24"/>
          <w:szCs w:val="24"/>
        </w:rPr>
        <w:t xml:space="preserve">16.1 </w:t>
      </w:r>
      <w:r>
        <w:rPr>
          <w:rFonts w:hint="eastAsia"/>
          <w:sz w:val="24"/>
          <w:szCs w:val="24"/>
        </w:rPr>
        <w:t>采购代理机构将根据项目的特点及相关规定组建谈判小组，</w:t>
      </w:r>
      <w:r>
        <w:rPr>
          <w:rFonts w:hint="eastAsia" w:ascii="Arial" w:hAnsi="Arial" w:cs="Arial"/>
          <w:sz w:val="24"/>
          <w:szCs w:val="24"/>
        </w:rPr>
        <w:t>谈判小组由技术、经济、法律方面的专家和采购人代表组成。成员为</w:t>
      </w:r>
      <w:r>
        <w:rPr>
          <w:rFonts w:ascii="Arial" w:hAnsi="Arial" w:cs="Arial"/>
          <w:sz w:val="24"/>
          <w:szCs w:val="24"/>
        </w:rPr>
        <w:t>3</w:t>
      </w:r>
      <w:r>
        <w:rPr>
          <w:rFonts w:hint="eastAsia" w:ascii="Arial" w:hAnsi="Arial" w:cs="Arial"/>
          <w:sz w:val="24"/>
          <w:szCs w:val="24"/>
        </w:rPr>
        <w:t>人及以上单数组成，专家不能少于三分之二。</w:t>
      </w:r>
      <w:r>
        <w:rPr>
          <w:rFonts w:hint="eastAsia"/>
          <w:sz w:val="24"/>
          <w:szCs w:val="24"/>
        </w:rPr>
        <w:t>谈判小组将对响应文件进行审查、质疑、评估和比较，进行谈判并做出授予合同的建议。</w:t>
      </w:r>
    </w:p>
    <w:p>
      <w:pPr>
        <w:spacing w:line="400" w:lineRule="exact"/>
        <w:ind w:firstLine="480" w:firstLineChars="200"/>
        <w:rPr>
          <w:rFonts w:ascii="Arial" w:hAnsi="Arial" w:cs="Arial"/>
          <w:sz w:val="24"/>
          <w:szCs w:val="24"/>
        </w:rPr>
      </w:pPr>
      <w:r>
        <w:rPr>
          <w:sz w:val="24"/>
          <w:szCs w:val="24"/>
        </w:rPr>
        <w:t>16.2</w:t>
      </w:r>
      <w:r>
        <w:rPr>
          <w:rFonts w:hint="eastAsia"/>
          <w:sz w:val="24"/>
          <w:szCs w:val="24"/>
        </w:rPr>
        <w:t>达到公开招标数额标准的货物或者服务采购项目，或者达到招标规模标准的政府采购工程，谈判小组应当由</w:t>
      </w:r>
      <w:r>
        <w:rPr>
          <w:sz w:val="24"/>
          <w:szCs w:val="24"/>
        </w:rPr>
        <w:t>5</w:t>
      </w:r>
      <w:r>
        <w:rPr>
          <w:rFonts w:hint="eastAsia"/>
          <w:sz w:val="24"/>
          <w:szCs w:val="24"/>
        </w:rPr>
        <w:t>人以上单数组成。</w:t>
      </w:r>
    </w:p>
    <w:p>
      <w:pPr>
        <w:pStyle w:val="10"/>
        <w:spacing w:line="400" w:lineRule="exact"/>
        <w:jc w:val="left"/>
        <w:rPr>
          <w:rFonts w:hAnsi="宋体"/>
          <w:b/>
          <w:sz w:val="24"/>
        </w:rPr>
      </w:pPr>
      <w:r>
        <w:rPr>
          <w:rFonts w:hAnsi="宋体"/>
          <w:b/>
          <w:sz w:val="24"/>
        </w:rPr>
        <w:t>17.</w:t>
      </w:r>
      <w:r>
        <w:rPr>
          <w:rFonts w:hint="eastAsia" w:hAnsi="宋体"/>
          <w:b/>
          <w:sz w:val="24"/>
        </w:rPr>
        <w:t>响应文件的初审</w:t>
      </w:r>
    </w:p>
    <w:p>
      <w:pPr>
        <w:spacing w:line="400" w:lineRule="exact"/>
        <w:ind w:firstLine="480" w:firstLineChars="200"/>
        <w:rPr>
          <w:rFonts w:ascii="宋体"/>
          <w:sz w:val="24"/>
        </w:rPr>
      </w:pPr>
      <w:r>
        <w:rPr>
          <w:rFonts w:hint="eastAsia" w:ascii="宋体" w:hAnsi="宋体"/>
          <w:sz w:val="24"/>
        </w:rPr>
        <w:t>对所有谈判响应供应商的评估，都采用相同的程序和标准。评议过程将严格按照谈判文件的要求和条件进行。</w:t>
      </w:r>
    </w:p>
    <w:p>
      <w:pPr>
        <w:spacing w:line="400" w:lineRule="exact"/>
        <w:ind w:firstLine="480" w:firstLineChars="200"/>
        <w:rPr>
          <w:rFonts w:ascii="宋体"/>
          <w:sz w:val="24"/>
        </w:rPr>
      </w:pPr>
      <w:r>
        <w:rPr>
          <w:rFonts w:hint="eastAsia" w:ascii="宋体" w:hAnsi="宋体"/>
          <w:sz w:val="24"/>
        </w:rPr>
        <w:t>有关响应文件的审查、澄清、评估和比较以及推荐成交候选人的一切情况都不得透露给任一谈判响应供应商或与上诉谈判工作无关的人员。</w:t>
      </w:r>
    </w:p>
    <w:p>
      <w:pPr>
        <w:spacing w:line="400" w:lineRule="exact"/>
        <w:ind w:firstLine="480" w:firstLineChars="200"/>
        <w:rPr>
          <w:rFonts w:ascii="Arial" w:hAnsi="Arial" w:cs="Arial"/>
          <w:sz w:val="24"/>
          <w:szCs w:val="24"/>
        </w:rPr>
      </w:pPr>
      <w:r>
        <w:rPr>
          <w:rFonts w:hint="eastAsia" w:ascii="Arial" w:hAnsi="Arial" w:cs="Arial"/>
          <w:sz w:val="24"/>
          <w:szCs w:val="24"/>
        </w:rPr>
        <w:t>谈判响应供应商任何试图影响谈判小组对响应文件的评审、比较或者推荐候选人的行为，都将导致其谈判响应被拒绝，并被没收谈判保证金。</w:t>
      </w:r>
    </w:p>
    <w:p>
      <w:pPr>
        <w:pStyle w:val="10"/>
        <w:spacing w:line="400" w:lineRule="exact"/>
        <w:ind w:firstLine="480" w:firstLineChars="200"/>
        <w:jc w:val="left"/>
        <w:rPr>
          <w:rFonts w:hAnsi="宋体"/>
          <w:sz w:val="24"/>
        </w:rPr>
      </w:pPr>
      <w:r>
        <w:rPr>
          <w:rFonts w:hAnsi="宋体"/>
          <w:sz w:val="24"/>
        </w:rPr>
        <w:t>17.1</w:t>
      </w:r>
      <w:r>
        <w:rPr>
          <w:rFonts w:hint="eastAsia" w:hAnsi="宋体"/>
          <w:sz w:val="24"/>
        </w:rPr>
        <w:t>开标时，投标文件开启之前，除对投标文件的密封进行检查外，</w:t>
      </w:r>
      <w:r>
        <w:rPr>
          <w:rFonts w:hint="eastAsia" w:hAnsi="宋体"/>
          <w:b/>
          <w:sz w:val="24"/>
        </w:rPr>
        <w:t>主要是</w:t>
      </w:r>
      <w:r>
        <w:rPr>
          <w:rFonts w:hint="eastAsia" w:hAnsi="宋体"/>
          <w:sz w:val="24"/>
        </w:rPr>
        <w:t>对投标人的投标保证金及投标人身份（需出示法定代表人身份证原件或委托代理人持授权委托书并出示代理人身份证原件）进行核查。</w:t>
      </w:r>
    </w:p>
    <w:p>
      <w:pPr>
        <w:pStyle w:val="10"/>
        <w:spacing w:line="400" w:lineRule="exact"/>
        <w:ind w:firstLine="480" w:firstLineChars="200"/>
        <w:jc w:val="left"/>
        <w:rPr>
          <w:rFonts w:hAnsi="宋体"/>
          <w:sz w:val="24"/>
        </w:rPr>
      </w:pPr>
      <w:r>
        <w:rPr>
          <w:rFonts w:hAnsi="宋体"/>
          <w:color w:val="000000"/>
          <w:sz w:val="24"/>
        </w:rPr>
        <w:t>17.2</w:t>
      </w:r>
      <w:r>
        <w:rPr>
          <w:rFonts w:hint="eastAsia" w:hAnsi="宋体"/>
          <w:sz w:val="24"/>
        </w:rPr>
        <w:t>评标时，需审查以下资质文件复印件加盖公章：</w:t>
      </w:r>
    </w:p>
    <w:p>
      <w:pPr>
        <w:pStyle w:val="10"/>
        <w:spacing w:line="460" w:lineRule="exact"/>
        <w:ind w:firstLine="600" w:firstLineChars="250"/>
        <w:jc w:val="left"/>
        <w:rPr>
          <w:rFonts w:hAnsi="宋体"/>
          <w:color w:val="000000"/>
          <w:sz w:val="24"/>
          <w:szCs w:val="24"/>
        </w:rPr>
      </w:pPr>
      <w:r>
        <w:rPr>
          <w:rFonts w:hint="eastAsia" w:hAnsi="宋体"/>
          <w:color w:val="000000"/>
          <w:sz w:val="24"/>
          <w:szCs w:val="24"/>
        </w:rPr>
        <w:t>（</w:t>
      </w:r>
      <w:r>
        <w:rPr>
          <w:rFonts w:hAnsi="宋体"/>
          <w:color w:val="000000"/>
          <w:sz w:val="24"/>
          <w:szCs w:val="24"/>
        </w:rPr>
        <w:t>1</w:t>
      </w:r>
      <w:r>
        <w:rPr>
          <w:rFonts w:hint="eastAsia" w:hAnsi="宋体"/>
          <w:color w:val="000000"/>
          <w:sz w:val="24"/>
          <w:szCs w:val="24"/>
        </w:rPr>
        <w:t>）工商营业执照副本；</w:t>
      </w:r>
    </w:p>
    <w:p>
      <w:pPr>
        <w:pStyle w:val="10"/>
        <w:spacing w:line="460" w:lineRule="exact"/>
        <w:ind w:firstLine="600" w:firstLineChars="250"/>
        <w:jc w:val="left"/>
        <w:outlineLvl w:val="0"/>
        <w:rPr>
          <w:rFonts w:hAnsi="宋体"/>
          <w:color w:val="000000"/>
          <w:sz w:val="24"/>
          <w:szCs w:val="24"/>
        </w:rPr>
      </w:pPr>
      <w:r>
        <w:rPr>
          <w:rFonts w:hint="eastAsia" w:hAnsi="宋体"/>
          <w:color w:val="000000"/>
          <w:sz w:val="24"/>
          <w:szCs w:val="24"/>
        </w:rPr>
        <w:t>（</w:t>
      </w:r>
      <w:r>
        <w:rPr>
          <w:rFonts w:hAnsi="宋体"/>
          <w:color w:val="000000"/>
          <w:sz w:val="24"/>
          <w:szCs w:val="24"/>
        </w:rPr>
        <w:t>2</w:t>
      </w:r>
      <w:r>
        <w:rPr>
          <w:rFonts w:hint="eastAsia" w:hAnsi="宋体"/>
          <w:color w:val="000000"/>
          <w:sz w:val="24"/>
          <w:szCs w:val="24"/>
        </w:rPr>
        <w:t>）税务登记证；</w:t>
      </w:r>
    </w:p>
    <w:p>
      <w:pPr>
        <w:pStyle w:val="10"/>
        <w:spacing w:line="460" w:lineRule="exact"/>
        <w:ind w:firstLine="600" w:firstLineChars="250"/>
        <w:jc w:val="left"/>
        <w:rPr>
          <w:rFonts w:hAnsi="宋体"/>
          <w:color w:val="000000"/>
          <w:sz w:val="24"/>
          <w:szCs w:val="24"/>
        </w:rPr>
      </w:pPr>
      <w:r>
        <w:rPr>
          <w:rFonts w:hint="eastAsia" w:hAnsi="宋体"/>
          <w:color w:val="000000"/>
          <w:sz w:val="24"/>
          <w:szCs w:val="24"/>
        </w:rPr>
        <w:t>（</w:t>
      </w:r>
      <w:r>
        <w:rPr>
          <w:rFonts w:hAnsi="宋体"/>
          <w:color w:val="000000"/>
          <w:sz w:val="24"/>
          <w:szCs w:val="24"/>
        </w:rPr>
        <w:t>3</w:t>
      </w:r>
      <w:r>
        <w:rPr>
          <w:rFonts w:hint="eastAsia" w:hAnsi="宋体"/>
          <w:color w:val="000000"/>
          <w:sz w:val="24"/>
          <w:szCs w:val="24"/>
        </w:rPr>
        <w:t>）组织机构代码证；</w:t>
      </w:r>
    </w:p>
    <w:p>
      <w:pPr>
        <w:pStyle w:val="10"/>
        <w:spacing w:line="460" w:lineRule="exact"/>
        <w:ind w:firstLine="720" w:firstLineChars="300"/>
        <w:jc w:val="left"/>
        <w:rPr>
          <w:rFonts w:hAnsi="宋体"/>
          <w:color w:val="000000"/>
          <w:sz w:val="24"/>
          <w:szCs w:val="24"/>
        </w:rPr>
      </w:pPr>
      <w:r>
        <w:rPr>
          <w:rFonts w:hint="eastAsia" w:hAnsi="宋体"/>
          <w:color w:val="FF0000"/>
          <w:sz w:val="24"/>
          <w:szCs w:val="24"/>
        </w:rPr>
        <w:t>（注：三证合一的只提供工商营业执照副本）</w:t>
      </w:r>
    </w:p>
    <w:p>
      <w:pPr>
        <w:pStyle w:val="10"/>
        <w:spacing w:line="460" w:lineRule="exact"/>
        <w:ind w:firstLine="600" w:firstLineChars="250"/>
        <w:jc w:val="left"/>
        <w:outlineLvl w:val="0"/>
        <w:rPr>
          <w:rFonts w:hAnsi="宋体"/>
          <w:color w:val="000000"/>
          <w:sz w:val="24"/>
          <w:szCs w:val="24"/>
        </w:rPr>
      </w:pPr>
      <w:r>
        <w:rPr>
          <w:rFonts w:hint="eastAsia" w:hAnsi="宋体"/>
          <w:color w:val="000000"/>
          <w:sz w:val="24"/>
          <w:szCs w:val="24"/>
        </w:rPr>
        <w:t>（</w:t>
      </w:r>
      <w:r>
        <w:rPr>
          <w:rFonts w:hAnsi="宋体"/>
          <w:color w:val="000000"/>
          <w:sz w:val="24"/>
          <w:szCs w:val="24"/>
        </w:rPr>
        <w:t>4</w:t>
      </w:r>
      <w:r>
        <w:rPr>
          <w:rFonts w:hint="eastAsia" w:hAnsi="宋体"/>
          <w:color w:val="000000"/>
          <w:sz w:val="24"/>
          <w:szCs w:val="24"/>
        </w:rPr>
        <w:t>）法人代表身份证或委托代理人持法人授权委托书及代理人身份证件；</w:t>
      </w:r>
    </w:p>
    <w:p>
      <w:pPr>
        <w:pStyle w:val="10"/>
        <w:spacing w:line="440" w:lineRule="exact"/>
        <w:ind w:firstLine="360" w:firstLineChars="150"/>
        <w:jc w:val="left"/>
        <w:rPr>
          <w:rFonts w:hAnsi="宋体" w:cs="宋体"/>
          <w:color w:val="333333"/>
          <w:kern w:val="2"/>
          <w:sz w:val="22"/>
          <w:szCs w:val="22"/>
          <w:shd w:val="clear" w:color="auto" w:fill="FFFFFF"/>
        </w:rPr>
      </w:pPr>
      <w:r>
        <w:rPr>
          <w:rFonts w:hint="eastAsia" w:hAnsi="宋体" w:cs="宋体"/>
          <w:color w:val="333333"/>
          <w:kern w:val="2"/>
          <w:sz w:val="24"/>
          <w:szCs w:val="24"/>
          <w:shd w:val="clear" w:color="auto" w:fill="FFFFFF"/>
        </w:rPr>
        <w:t>（</w:t>
      </w:r>
      <w:r>
        <w:rPr>
          <w:rFonts w:hAnsi="宋体" w:cs="宋体"/>
          <w:color w:val="333333"/>
          <w:kern w:val="2"/>
          <w:sz w:val="24"/>
          <w:szCs w:val="24"/>
          <w:shd w:val="clear" w:color="auto" w:fill="FFFFFF"/>
        </w:rPr>
        <w:t>5</w:t>
      </w:r>
      <w:r>
        <w:rPr>
          <w:rFonts w:hint="eastAsia" w:hAnsi="宋体" w:cs="宋体"/>
          <w:color w:val="333333"/>
          <w:kern w:val="2"/>
          <w:sz w:val="24"/>
          <w:szCs w:val="24"/>
          <w:shd w:val="clear" w:color="auto" w:fill="FFFFFF"/>
        </w:rPr>
        <w:t>）</w:t>
      </w:r>
      <w:r>
        <w:rPr>
          <w:rFonts w:hint="eastAsia" w:hAnsi="宋体" w:cs="宋体"/>
          <w:color w:val="333333"/>
          <w:kern w:val="2"/>
          <w:sz w:val="22"/>
          <w:szCs w:val="22"/>
          <w:shd w:val="clear" w:color="auto" w:fill="FFFFFF"/>
        </w:rPr>
        <w:t>“信用中国”网站（</w:t>
      </w:r>
      <w:r>
        <w:rPr>
          <w:rFonts w:hAnsi="宋体" w:cs="宋体"/>
          <w:color w:val="333333"/>
          <w:kern w:val="2"/>
          <w:sz w:val="22"/>
          <w:szCs w:val="22"/>
          <w:shd w:val="clear" w:color="auto" w:fill="FFFFFF"/>
        </w:rPr>
        <w:t xml:space="preserve">www.creditchina.gov.cn </w:t>
      </w:r>
      <w:r>
        <w:rPr>
          <w:rFonts w:hint="eastAsia" w:hAnsi="宋体" w:cs="宋体"/>
          <w:color w:val="333333"/>
          <w:kern w:val="2"/>
          <w:sz w:val="22"/>
          <w:szCs w:val="22"/>
          <w:shd w:val="clear" w:color="auto" w:fill="FFFFFF"/>
        </w:rPr>
        <w:t>）和“中国政府采购网”中“政府采购严重违法失信行为记录名单”（</w:t>
      </w:r>
      <w:r>
        <w:rPr>
          <w:rFonts w:hAnsi="宋体" w:cs="宋体"/>
          <w:color w:val="333333"/>
          <w:kern w:val="2"/>
          <w:sz w:val="22"/>
          <w:szCs w:val="22"/>
          <w:shd w:val="clear" w:color="auto" w:fill="FFFFFF"/>
        </w:rPr>
        <w:t xml:space="preserve">http://www.ccgp.gov.cn/search/cr/ </w:t>
      </w:r>
      <w:r>
        <w:rPr>
          <w:rFonts w:hint="eastAsia" w:hAnsi="宋体" w:cs="宋体"/>
          <w:color w:val="333333"/>
          <w:kern w:val="2"/>
          <w:sz w:val="22"/>
          <w:szCs w:val="22"/>
          <w:shd w:val="clear" w:color="auto" w:fill="FFFFFF"/>
        </w:rPr>
        <w:t>）查询的信用记录情况（对列入失信被执行人、重大税收违法案件当事人名单、政府采购严重违法失信行为记录名单的供应商，应当拒绝其参与政府采购活动，如查询结果显示“没查到您要的信息”或“没有该企业的相关记录”，视为没有上述不良信用记录。）查询截止时间：报名时间至开标时间期间；信用信息查询记录和证据留存方式：投标人提供查询记录截图（制作于标书内）。</w:t>
      </w:r>
    </w:p>
    <w:p>
      <w:pPr>
        <w:pStyle w:val="10"/>
      </w:pPr>
    </w:p>
    <w:p>
      <w:pPr>
        <w:spacing w:line="400" w:lineRule="exact"/>
        <w:ind w:firstLine="480" w:firstLineChars="200"/>
        <w:rPr>
          <w:rFonts w:ascii="宋体"/>
          <w:sz w:val="24"/>
        </w:rPr>
      </w:pPr>
      <w:r>
        <w:rPr>
          <w:rFonts w:ascii="宋体" w:hAnsi="宋体"/>
          <w:sz w:val="24"/>
        </w:rPr>
        <w:t>17.3</w:t>
      </w:r>
      <w:r>
        <w:rPr>
          <w:rFonts w:hint="eastAsia" w:ascii="宋体" w:hAnsi="宋体"/>
          <w:sz w:val="24"/>
        </w:rPr>
        <w:t>谈判小组将对响应文件进行审查，以确定响应文件是否完整、有无计算上的错误、是否提交了谈判保证金、文件是否已正确签署。</w:t>
      </w:r>
      <w:r>
        <w:rPr>
          <w:rFonts w:ascii="宋体" w:hAnsi="宋体"/>
          <w:sz w:val="24"/>
        </w:rPr>
        <w:t xml:space="preserve"> </w:t>
      </w:r>
    </w:p>
    <w:p>
      <w:pPr>
        <w:spacing w:line="400" w:lineRule="exact"/>
        <w:ind w:firstLine="480" w:firstLineChars="200"/>
        <w:rPr>
          <w:rFonts w:ascii="宋体"/>
          <w:sz w:val="24"/>
        </w:rPr>
      </w:pPr>
      <w:r>
        <w:rPr>
          <w:rFonts w:ascii="宋体" w:hAnsi="宋体"/>
          <w:sz w:val="24"/>
        </w:rPr>
        <w:t xml:space="preserve">17.4 </w:t>
      </w:r>
      <w:r>
        <w:rPr>
          <w:rFonts w:hint="eastAsia" w:ascii="宋体" w:hAnsi="宋体"/>
          <w:sz w:val="24"/>
        </w:rPr>
        <w:t>算术错误将按以下方法更正：</w:t>
      </w:r>
    </w:p>
    <w:p>
      <w:pPr>
        <w:spacing w:line="400" w:lineRule="exact"/>
        <w:ind w:firstLine="480" w:firstLineChars="200"/>
        <w:rPr>
          <w:rFonts w:ascii="宋体"/>
          <w:sz w:val="24"/>
        </w:rPr>
      </w:pPr>
      <w:r>
        <w:rPr>
          <w:rFonts w:ascii="宋体" w:hAnsi="宋体"/>
          <w:sz w:val="24"/>
        </w:rPr>
        <w:t>(1)</w:t>
      </w:r>
      <w:r>
        <w:rPr>
          <w:rFonts w:hint="eastAsia" w:ascii="宋体" w:hAnsi="宋体"/>
          <w:sz w:val="24"/>
        </w:rPr>
        <w:t>响应文件中报价一览表内容与响应文件中明细表内容不一致的，以报价一览表为准。</w:t>
      </w:r>
    </w:p>
    <w:p>
      <w:pPr>
        <w:spacing w:line="400" w:lineRule="exact"/>
        <w:ind w:firstLine="480" w:firstLineChars="200"/>
        <w:rPr>
          <w:rFonts w:ascii="宋体"/>
          <w:sz w:val="24"/>
        </w:rPr>
      </w:pPr>
      <w:r>
        <w:rPr>
          <w:rFonts w:ascii="宋体" w:hAnsi="宋体"/>
          <w:sz w:val="24"/>
        </w:rPr>
        <w:t>(2)</w:t>
      </w:r>
      <w:r>
        <w:rPr>
          <w:rFonts w:hint="eastAsia" w:ascii="宋体" w:hAnsi="宋体"/>
          <w:sz w:val="24"/>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spacing w:line="400" w:lineRule="exact"/>
        <w:ind w:firstLine="480" w:firstLineChars="200"/>
        <w:rPr>
          <w:rFonts w:ascii="宋体"/>
          <w:sz w:val="24"/>
          <w:szCs w:val="24"/>
        </w:rPr>
      </w:pPr>
      <w:r>
        <w:rPr>
          <w:rFonts w:hint="eastAsia"/>
          <w:sz w:val="24"/>
          <w:szCs w:val="24"/>
        </w:rPr>
        <w:t>如果谈判响应供应商不接受按上述方法对响应文件中的算术错误进行更正，其响应将被拒绝并没收其谈判保证金。</w:t>
      </w:r>
    </w:p>
    <w:p>
      <w:pPr>
        <w:spacing w:line="400" w:lineRule="exact"/>
        <w:ind w:firstLine="480" w:firstLineChars="200"/>
        <w:rPr>
          <w:rFonts w:ascii="宋体"/>
          <w:sz w:val="24"/>
        </w:rPr>
      </w:pPr>
      <w:r>
        <w:rPr>
          <w:rFonts w:ascii="宋体" w:hAnsi="宋体"/>
          <w:sz w:val="24"/>
        </w:rPr>
        <w:t>17.5</w:t>
      </w:r>
      <w:r>
        <w:rPr>
          <w:rFonts w:hint="eastAsia" w:ascii="宋体" w:hAnsi="宋体"/>
          <w:sz w:val="24"/>
          <w:szCs w:val="18"/>
        </w:rPr>
        <w:t>资格性检查和符合性检查</w:t>
      </w:r>
      <w:r>
        <w:rPr>
          <w:rFonts w:ascii="宋体" w:hAnsi="宋体"/>
          <w:sz w:val="24"/>
        </w:rPr>
        <w:t xml:space="preserve"> </w:t>
      </w:r>
    </w:p>
    <w:p>
      <w:pPr>
        <w:spacing w:line="400" w:lineRule="exact"/>
        <w:rPr>
          <w:rFonts w:ascii="宋体"/>
          <w:sz w:val="24"/>
        </w:rPr>
      </w:pPr>
      <w:r>
        <w:rPr>
          <w:rFonts w:ascii="宋体" w:hAnsi="宋体"/>
          <w:sz w:val="24"/>
        </w:rPr>
        <w:t xml:space="preserve">    17.5.1</w:t>
      </w:r>
      <w:r>
        <w:rPr>
          <w:rFonts w:hint="eastAsia" w:ascii="宋体" w:hAnsi="宋体"/>
          <w:sz w:val="24"/>
          <w:szCs w:val="18"/>
        </w:rPr>
        <w:t>资格性检查。依据法律法规和谈判文件的规定，</w:t>
      </w:r>
      <w:r>
        <w:rPr>
          <w:rFonts w:hint="eastAsia" w:ascii="宋体" w:hAnsi="宋体"/>
          <w:sz w:val="24"/>
        </w:rPr>
        <w:t>在对响应文件详细评估之前，谈判小组将依据谈判响应供应商提交的响应文件按谈判响应供应商须知前附表</w:t>
      </w:r>
      <w:r>
        <w:rPr>
          <w:rFonts w:ascii="宋体" w:hAnsi="宋体"/>
          <w:sz w:val="24"/>
        </w:rPr>
        <w:t>2</w:t>
      </w:r>
      <w:r>
        <w:rPr>
          <w:rFonts w:hint="eastAsia" w:ascii="宋体" w:hAnsi="宋体"/>
          <w:sz w:val="24"/>
        </w:rPr>
        <w:t>所述的资格性要求对谈判响应供应商</w:t>
      </w:r>
      <w:r>
        <w:rPr>
          <w:rFonts w:hint="eastAsia" w:ascii="宋体" w:hAnsi="宋体"/>
          <w:sz w:val="24"/>
          <w:szCs w:val="18"/>
        </w:rPr>
        <w:t>进行资格审查</w:t>
      </w:r>
      <w:r>
        <w:rPr>
          <w:rFonts w:ascii="宋体" w:hAnsi="宋体"/>
          <w:sz w:val="24"/>
          <w:szCs w:val="18"/>
        </w:rPr>
        <w:t xml:space="preserve">, </w:t>
      </w:r>
      <w:r>
        <w:rPr>
          <w:rFonts w:hint="eastAsia" w:ascii="宋体" w:hAnsi="宋体"/>
          <w:sz w:val="24"/>
        </w:rPr>
        <w:t>以确定其</w:t>
      </w:r>
      <w:r>
        <w:rPr>
          <w:rFonts w:hint="eastAsia" w:ascii="宋体" w:hAnsi="宋体"/>
          <w:sz w:val="24"/>
          <w:szCs w:val="18"/>
        </w:rPr>
        <w:t>是否具备谈判资格</w:t>
      </w:r>
      <w:r>
        <w:rPr>
          <w:rFonts w:hint="eastAsia" w:ascii="宋体" w:hAnsi="宋体"/>
          <w:sz w:val="24"/>
        </w:rPr>
        <w:t>。如果谈判响应供应商不具备谈判资格，不满足谈判文件所规定的资格标准或提供资格证明文件不全的</w:t>
      </w:r>
      <w:r>
        <w:rPr>
          <w:rFonts w:ascii="宋体" w:hAnsi="宋体"/>
          <w:sz w:val="24"/>
        </w:rPr>
        <w:t xml:space="preserve">, </w:t>
      </w:r>
      <w:r>
        <w:rPr>
          <w:rFonts w:hint="eastAsia" w:ascii="宋体" w:hAnsi="宋体"/>
          <w:sz w:val="24"/>
        </w:rPr>
        <w:t>其谈判响应将被拒绝。</w:t>
      </w:r>
    </w:p>
    <w:p>
      <w:pPr>
        <w:spacing w:line="400" w:lineRule="exact"/>
        <w:ind w:left="31" w:leftChars="15" w:firstLine="480" w:firstLineChars="200"/>
        <w:rPr>
          <w:rFonts w:ascii="宋体"/>
          <w:sz w:val="24"/>
        </w:rPr>
      </w:pPr>
      <w:r>
        <w:rPr>
          <w:rFonts w:ascii="宋体" w:hAnsi="宋体"/>
          <w:sz w:val="24"/>
        </w:rPr>
        <w:t>17</w:t>
      </w:r>
      <w:r>
        <w:rPr>
          <w:rFonts w:ascii="宋体"/>
          <w:sz w:val="24"/>
        </w:rPr>
        <w:t>.</w:t>
      </w:r>
      <w:r>
        <w:rPr>
          <w:rFonts w:ascii="宋体" w:hAnsi="宋体"/>
          <w:sz w:val="24"/>
        </w:rPr>
        <w:t>5.2</w:t>
      </w:r>
      <w:r>
        <w:rPr>
          <w:rFonts w:hint="eastAsia" w:ascii="宋体" w:hAnsi="宋体"/>
          <w:sz w:val="24"/>
          <w:szCs w:val="18"/>
        </w:rPr>
        <w:t>符合性检查。依据</w:t>
      </w:r>
      <w:r>
        <w:rPr>
          <w:rFonts w:hint="eastAsia" w:hAnsi="宋体"/>
          <w:sz w:val="24"/>
          <w:szCs w:val="18"/>
        </w:rPr>
        <w:t>谈判</w:t>
      </w:r>
      <w:r>
        <w:rPr>
          <w:rFonts w:hint="eastAsia" w:ascii="宋体" w:hAnsi="宋体"/>
          <w:sz w:val="24"/>
          <w:szCs w:val="18"/>
        </w:rPr>
        <w:t>文件的规定，</w:t>
      </w:r>
      <w:r>
        <w:rPr>
          <w:rFonts w:hint="eastAsia" w:hAnsi="宋体"/>
          <w:sz w:val="24"/>
        </w:rPr>
        <w:t>谈判小组</w:t>
      </w:r>
      <w:r>
        <w:rPr>
          <w:rFonts w:hint="eastAsia" w:ascii="宋体" w:hAnsi="宋体"/>
          <w:sz w:val="24"/>
        </w:rPr>
        <w:t>还将</w:t>
      </w:r>
      <w:r>
        <w:rPr>
          <w:rFonts w:hint="eastAsia" w:ascii="宋体" w:hAnsi="宋体"/>
          <w:sz w:val="24"/>
          <w:szCs w:val="18"/>
        </w:rPr>
        <w:t>从</w:t>
      </w:r>
      <w:r>
        <w:rPr>
          <w:rFonts w:hint="eastAsia" w:hAnsi="宋体"/>
          <w:sz w:val="24"/>
          <w:szCs w:val="18"/>
        </w:rPr>
        <w:t>响应文件</w:t>
      </w:r>
      <w:r>
        <w:rPr>
          <w:rFonts w:hint="eastAsia" w:ascii="宋体" w:hAnsi="宋体"/>
          <w:sz w:val="24"/>
          <w:szCs w:val="18"/>
        </w:rPr>
        <w:t>的有效性、完整性和对</w:t>
      </w:r>
      <w:r>
        <w:rPr>
          <w:rFonts w:hint="eastAsia" w:hAnsi="宋体"/>
          <w:sz w:val="24"/>
          <w:szCs w:val="18"/>
        </w:rPr>
        <w:t>谈判</w:t>
      </w:r>
      <w:r>
        <w:rPr>
          <w:rFonts w:hint="eastAsia" w:ascii="宋体" w:hAnsi="宋体"/>
          <w:sz w:val="24"/>
          <w:szCs w:val="18"/>
        </w:rPr>
        <w:t>文件的响应程度进行审查，以确定其是否符合对</w:t>
      </w:r>
      <w:r>
        <w:rPr>
          <w:rFonts w:hint="eastAsia" w:hAnsi="宋体"/>
          <w:sz w:val="24"/>
          <w:szCs w:val="18"/>
        </w:rPr>
        <w:t>谈判文件的实质性要求作出响应。（采购人可根据具体项目的情况对实质性要求作特别的规定。）</w:t>
      </w:r>
      <w:r>
        <w:rPr>
          <w:rFonts w:hint="eastAsia" w:ascii="宋体" w:hAnsi="宋体"/>
          <w:sz w:val="24"/>
        </w:rPr>
        <w:t>实质性偏离是指：</w:t>
      </w:r>
      <w:r>
        <w:rPr>
          <w:rFonts w:hAnsi="宋体"/>
          <w:sz w:val="24"/>
        </w:rPr>
        <w:t>(1)</w:t>
      </w:r>
      <w:r>
        <w:rPr>
          <w:rFonts w:hint="eastAsia" w:ascii="宋体" w:hAnsi="宋体"/>
          <w:sz w:val="24"/>
        </w:rPr>
        <w:t>实质性影响合同的范围、质量和履行；</w:t>
      </w:r>
      <w:r>
        <w:rPr>
          <w:rFonts w:hAnsi="宋体"/>
          <w:sz w:val="24"/>
        </w:rPr>
        <w:t>(2)</w:t>
      </w:r>
      <w:r>
        <w:rPr>
          <w:rFonts w:hint="eastAsia" w:ascii="宋体" w:hAnsi="宋体"/>
          <w:sz w:val="24"/>
        </w:rPr>
        <w:t>实质性违背谈判文件，限制了采购人的权利和成交供应商合同项下的义务；</w:t>
      </w:r>
      <w:r>
        <w:rPr>
          <w:rFonts w:hAnsi="宋体"/>
          <w:sz w:val="24"/>
        </w:rPr>
        <w:t>(3)</w:t>
      </w:r>
      <w:r>
        <w:rPr>
          <w:rFonts w:hint="eastAsia" w:ascii="宋体" w:hAnsi="宋体"/>
          <w:sz w:val="24"/>
        </w:rPr>
        <w:t>不公正地影响了其它作出实质性响应的谈判响应供应商的竞争地位。对没有实质性响应的响应文件将不进行评估，其响应将按照无效响应处理。凡有下列情况之一者，响应文件也将被视为未实质性响应谈判文件要求：</w:t>
      </w:r>
    </w:p>
    <w:p>
      <w:pPr>
        <w:spacing w:line="400" w:lineRule="exact"/>
        <w:ind w:left="69" w:firstLine="480" w:firstLineChars="200"/>
        <w:rPr>
          <w:rFonts w:ascii="宋体"/>
          <w:sz w:val="24"/>
        </w:rPr>
      </w:pPr>
      <w:r>
        <w:rPr>
          <w:rFonts w:ascii="宋体" w:hAnsi="宋体"/>
          <w:sz w:val="24"/>
        </w:rPr>
        <w:t>(1)</w:t>
      </w:r>
      <w:r>
        <w:rPr>
          <w:rFonts w:hint="eastAsia" w:ascii="宋体" w:hAnsi="宋体"/>
          <w:sz w:val="24"/>
        </w:rPr>
        <w:t>谈判响应文件未按照本须知规定进行密封、标记的；</w:t>
      </w:r>
    </w:p>
    <w:p>
      <w:pPr>
        <w:spacing w:line="400" w:lineRule="exact"/>
        <w:ind w:left="69" w:firstLine="480" w:firstLineChars="200"/>
        <w:rPr>
          <w:rFonts w:ascii="宋体"/>
          <w:sz w:val="24"/>
        </w:rPr>
      </w:pPr>
      <w:r>
        <w:rPr>
          <w:rFonts w:ascii="宋体" w:hAnsi="宋体"/>
          <w:sz w:val="24"/>
        </w:rPr>
        <w:t>(2)</w:t>
      </w:r>
      <w:r>
        <w:rPr>
          <w:rFonts w:hint="eastAsia" w:ascii="宋体" w:hAnsi="宋体"/>
          <w:sz w:val="24"/>
        </w:rPr>
        <w:t>未按规定由谈判响应供应商的法定代表人或其授权代表签字；或未加盖谈判响应供应商公章的；或签字人未提供法定代表人有效授权委托书的；</w:t>
      </w:r>
    </w:p>
    <w:p>
      <w:pPr>
        <w:spacing w:line="400" w:lineRule="exact"/>
        <w:ind w:left="69" w:firstLine="480" w:firstLineChars="200"/>
        <w:rPr>
          <w:rFonts w:ascii="宋体"/>
          <w:sz w:val="24"/>
        </w:rPr>
      </w:pPr>
      <w:r>
        <w:rPr>
          <w:rFonts w:ascii="宋体" w:hAnsi="宋体"/>
          <w:sz w:val="24"/>
        </w:rPr>
        <w:t>(3)</w:t>
      </w:r>
      <w:r>
        <w:rPr>
          <w:rFonts w:hint="eastAsia" w:ascii="宋体" w:hAnsi="宋体"/>
          <w:sz w:val="24"/>
        </w:rPr>
        <w:t>未按规定提交谈判保证金的；</w:t>
      </w:r>
    </w:p>
    <w:p>
      <w:pPr>
        <w:spacing w:line="400" w:lineRule="exact"/>
        <w:ind w:left="69" w:firstLine="480" w:firstLineChars="200"/>
        <w:rPr>
          <w:rFonts w:ascii="宋体"/>
          <w:sz w:val="24"/>
        </w:rPr>
      </w:pPr>
      <w:r>
        <w:rPr>
          <w:rFonts w:ascii="宋体" w:hAnsi="宋体"/>
          <w:sz w:val="24"/>
        </w:rPr>
        <w:t>(4)</w:t>
      </w:r>
      <w:r>
        <w:rPr>
          <w:rFonts w:hint="eastAsia" w:ascii="宋体" w:hAnsi="宋体"/>
          <w:sz w:val="24"/>
        </w:rPr>
        <w:t>谈判响应有效期不满足谈判文件要求的；</w:t>
      </w:r>
    </w:p>
    <w:p>
      <w:pPr>
        <w:spacing w:line="400" w:lineRule="exact"/>
        <w:ind w:left="69" w:firstLine="480" w:firstLineChars="200"/>
        <w:rPr>
          <w:rFonts w:ascii="宋体"/>
          <w:sz w:val="24"/>
        </w:rPr>
      </w:pPr>
      <w:r>
        <w:rPr>
          <w:rFonts w:ascii="宋体" w:hAnsi="宋体"/>
          <w:sz w:val="24"/>
        </w:rPr>
        <w:t>(5)</w:t>
      </w:r>
      <w:r>
        <w:rPr>
          <w:rFonts w:hint="eastAsia" w:ascii="宋体" w:hAnsi="宋体"/>
          <w:sz w:val="24"/>
        </w:rPr>
        <w:t>响应文件内容与谈判文件内容及要求有重大偏离或保留的；</w:t>
      </w:r>
    </w:p>
    <w:p>
      <w:pPr>
        <w:spacing w:line="400" w:lineRule="exact"/>
        <w:ind w:left="69" w:firstLine="480" w:firstLineChars="200"/>
        <w:rPr>
          <w:rFonts w:ascii="宋体"/>
          <w:sz w:val="24"/>
        </w:rPr>
      </w:pPr>
      <w:r>
        <w:rPr>
          <w:rFonts w:ascii="宋体" w:hAnsi="宋体"/>
          <w:sz w:val="24"/>
        </w:rPr>
        <w:t>(6)</w:t>
      </w:r>
      <w:r>
        <w:rPr>
          <w:rFonts w:hint="eastAsia" w:ascii="宋体" w:hAnsi="宋体"/>
          <w:sz w:val="24"/>
        </w:rPr>
        <w:t>谈判响应供应商提交的是可选择的报价；</w:t>
      </w:r>
    </w:p>
    <w:p>
      <w:pPr>
        <w:spacing w:line="400" w:lineRule="exact"/>
        <w:ind w:left="69" w:firstLine="480" w:firstLineChars="200"/>
        <w:rPr>
          <w:rFonts w:ascii="宋体"/>
          <w:sz w:val="24"/>
        </w:rPr>
      </w:pPr>
      <w:r>
        <w:rPr>
          <w:rFonts w:ascii="宋体" w:hAnsi="宋体"/>
          <w:sz w:val="24"/>
        </w:rPr>
        <w:t>(7)</w:t>
      </w:r>
      <w:r>
        <w:rPr>
          <w:rFonts w:hint="eastAsia" w:ascii="宋体" w:hAnsi="宋体"/>
          <w:sz w:val="24"/>
        </w:rPr>
        <w:t>谈判响应供应商未按谈判文件要求进行分项报价；</w:t>
      </w:r>
    </w:p>
    <w:p>
      <w:pPr>
        <w:spacing w:line="400" w:lineRule="exact"/>
        <w:ind w:left="69" w:firstLine="480" w:firstLineChars="200"/>
        <w:rPr>
          <w:rFonts w:ascii="宋体"/>
          <w:sz w:val="24"/>
        </w:rPr>
      </w:pPr>
      <w:r>
        <w:rPr>
          <w:rFonts w:ascii="宋体" w:hAnsi="宋体"/>
          <w:sz w:val="24"/>
        </w:rPr>
        <w:t>(8)</w:t>
      </w:r>
      <w:r>
        <w:rPr>
          <w:rFonts w:hint="eastAsia" w:ascii="宋体" w:hAnsi="宋体"/>
          <w:sz w:val="24"/>
        </w:rPr>
        <w:t>响应文件中提供虚假或失实资料的；</w:t>
      </w:r>
    </w:p>
    <w:p>
      <w:pPr>
        <w:spacing w:line="400" w:lineRule="exact"/>
        <w:ind w:left="69" w:firstLine="480" w:firstLineChars="200"/>
        <w:rPr>
          <w:rFonts w:ascii="宋体"/>
          <w:sz w:val="24"/>
        </w:rPr>
      </w:pPr>
      <w:r>
        <w:rPr>
          <w:rFonts w:ascii="宋体" w:hAnsi="宋体"/>
          <w:sz w:val="24"/>
        </w:rPr>
        <w:t>(9)</w:t>
      </w:r>
      <w:r>
        <w:rPr>
          <w:rFonts w:hint="eastAsia" w:ascii="宋体" w:hAnsi="宋体"/>
          <w:sz w:val="24"/>
        </w:rPr>
        <w:t>不符合谈判文件中规定的其它实质性条款。</w:t>
      </w:r>
      <w:r>
        <w:rPr>
          <w:rFonts w:ascii="宋体" w:hAnsi="宋体"/>
          <w:sz w:val="24"/>
        </w:rPr>
        <w:t xml:space="preserve"> </w:t>
      </w:r>
    </w:p>
    <w:p>
      <w:pPr>
        <w:spacing w:line="400" w:lineRule="exact"/>
        <w:ind w:left="69" w:leftChars="33" w:firstLine="480" w:firstLineChars="200"/>
        <w:rPr>
          <w:rFonts w:ascii="宋体"/>
          <w:sz w:val="24"/>
          <w:szCs w:val="24"/>
        </w:rPr>
      </w:pPr>
      <w:r>
        <w:rPr>
          <w:rFonts w:hint="eastAsia"/>
          <w:sz w:val="24"/>
          <w:szCs w:val="24"/>
        </w:rPr>
        <w:t>谈判小组决定报价的响应性只根据响应文件本身的内容，而不寻求其他的外部证据。</w:t>
      </w:r>
    </w:p>
    <w:p>
      <w:pPr>
        <w:pStyle w:val="10"/>
        <w:spacing w:line="400" w:lineRule="exact"/>
        <w:ind w:firstLine="480" w:firstLineChars="200"/>
        <w:jc w:val="left"/>
        <w:rPr>
          <w:rFonts w:hAnsi="宋体"/>
          <w:sz w:val="24"/>
        </w:rPr>
      </w:pPr>
      <w:r>
        <w:rPr>
          <w:rFonts w:hAnsi="宋体"/>
          <w:sz w:val="24"/>
        </w:rPr>
        <w:t>17.6</w:t>
      </w:r>
      <w:r>
        <w:rPr>
          <w:rFonts w:hint="eastAsia" w:hAnsi="宋体"/>
          <w:sz w:val="24"/>
        </w:rPr>
        <w:t>谈判响应供应商提交的响应文件将给予保密，但不予退回。</w:t>
      </w:r>
    </w:p>
    <w:p>
      <w:pPr>
        <w:pStyle w:val="6"/>
        <w:snapToGrid w:val="0"/>
        <w:spacing w:line="400" w:lineRule="exact"/>
        <w:ind w:firstLine="480" w:firstLineChars="200"/>
        <w:outlineLvl w:val="0"/>
        <w:rPr>
          <w:sz w:val="24"/>
          <w:szCs w:val="24"/>
        </w:rPr>
      </w:pPr>
      <w:r>
        <w:rPr>
          <w:sz w:val="24"/>
          <w:szCs w:val="24"/>
        </w:rPr>
        <w:t>17.7</w:t>
      </w:r>
      <w:r>
        <w:rPr>
          <w:rFonts w:hint="eastAsia"/>
          <w:sz w:val="24"/>
          <w:szCs w:val="24"/>
        </w:rPr>
        <w:t>谈判响应供应商资格和报价产品均必须满足中华人民共和国相关法律法规及行业的强制性要求，否则将作无效响应处理。</w:t>
      </w:r>
    </w:p>
    <w:p>
      <w:pPr>
        <w:pStyle w:val="6"/>
        <w:snapToGrid w:val="0"/>
        <w:spacing w:line="400" w:lineRule="exact"/>
        <w:ind w:firstLine="0"/>
        <w:outlineLvl w:val="0"/>
        <w:rPr>
          <w:sz w:val="24"/>
          <w:szCs w:val="24"/>
        </w:rPr>
      </w:pPr>
      <w:r>
        <w:rPr>
          <w:b/>
          <w:sz w:val="24"/>
          <w:szCs w:val="24"/>
        </w:rPr>
        <w:t>18.</w:t>
      </w:r>
      <w:r>
        <w:rPr>
          <w:rFonts w:hint="eastAsia"/>
          <w:b/>
          <w:sz w:val="24"/>
          <w:szCs w:val="24"/>
        </w:rPr>
        <w:t>谈判相应文件的澄清</w:t>
      </w:r>
    </w:p>
    <w:p>
      <w:pPr>
        <w:pStyle w:val="6"/>
        <w:snapToGrid w:val="0"/>
        <w:spacing w:line="400" w:lineRule="exact"/>
        <w:ind w:firstLine="480" w:firstLineChars="200"/>
        <w:outlineLvl w:val="0"/>
        <w:rPr>
          <w:sz w:val="24"/>
          <w:szCs w:val="24"/>
        </w:rPr>
      </w:pPr>
      <w:r>
        <w:rPr>
          <w:sz w:val="24"/>
          <w:szCs w:val="24"/>
        </w:rPr>
        <w:t>18.1</w:t>
      </w:r>
      <w:r>
        <w:rPr>
          <w:rFonts w:hint="eastAsia"/>
          <w:sz w:val="24"/>
          <w:szCs w:val="24"/>
        </w:rPr>
        <w:t>对谈判文件中含义不明确、同类问题表述不一致或者有明显文字和计算错误的内容，谈判小组可以书面形式要求谈判响应供应商作出必要的澄清、说明或者纠正。谈判响应供应商的澄清、说明或者补正应当在谈判小组规定的时间内以书面形式作出，由其法定代表人或者授权代表签字，并不得超出响应文件的范围或者改变响应文件的实质性内容。</w:t>
      </w:r>
    </w:p>
    <w:p>
      <w:pPr>
        <w:pStyle w:val="10"/>
        <w:spacing w:line="400" w:lineRule="exact"/>
        <w:jc w:val="left"/>
        <w:rPr>
          <w:rFonts w:hAnsi="宋体"/>
          <w:b/>
          <w:sz w:val="24"/>
        </w:rPr>
      </w:pPr>
      <w:r>
        <w:rPr>
          <w:rFonts w:hAnsi="宋体"/>
          <w:b/>
          <w:sz w:val="24"/>
        </w:rPr>
        <w:t>19.</w:t>
      </w:r>
      <w:r>
        <w:rPr>
          <w:rFonts w:hint="eastAsia" w:hAnsi="宋体"/>
          <w:b/>
          <w:sz w:val="24"/>
        </w:rPr>
        <w:t>比较与评价</w:t>
      </w:r>
    </w:p>
    <w:p>
      <w:pPr>
        <w:pStyle w:val="10"/>
        <w:spacing w:line="400" w:lineRule="exact"/>
        <w:ind w:firstLine="480" w:firstLineChars="200"/>
        <w:jc w:val="left"/>
        <w:rPr>
          <w:rFonts w:hAnsi="宋体"/>
          <w:sz w:val="24"/>
        </w:rPr>
      </w:pPr>
      <w:r>
        <w:rPr>
          <w:rFonts w:hAnsi="宋体"/>
          <w:sz w:val="24"/>
        </w:rPr>
        <w:t xml:space="preserve">19.1 </w:t>
      </w:r>
      <w:r>
        <w:rPr>
          <w:rFonts w:hint="eastAsia" w:hAnsi="宋体"/>
          <w:sz w:val="24"/>
        </w:rPr>
        <w:t>本次谈判采用</w:t>
      </w:r>
      <w:r>
        <w:rPr>
          <w:rFonts w:hint="eastAsia" w:hAnsi="宋体"/>
          <w:b/>
          <w:bCs/>
          <w:sz w:val="24"/>
        </w:rPr>
        <w:t>最低价评标法</w:t>
      </w:r>
      <w:r>
        <w:rPr>
          <w:rFonts w:hint="eastAsia" w:hAnsi="宋体"/>
          <w:sz w:val="24"/>
        </w:rPr>
        <w:t>。</w:t>
      </w:r>
    </w:p>
    <w:p>
      <w:pPr>
        <w:pStyle w:val="10"/>
        <w:spacing w:line="400" w:lineRule="exact"/>
        <w:ind w:firstLine="480" w:firstLineChars="200"/>
        <w:jc w:val="left"/>
        <w:rPr>
          <w:rFonts w:hAnsi="宋体"/>
          <w:sz w:val="24"/>
        </w:rPr>
      </w:pPr>
      <w:r>
        <w:rPr>
          <w:rFonts w:hAnsi="宋体"/>
          <w:sz w:val="24"/>
        </w:rPr>
        <w:t>19.2</w:t>
      </w:r>
      <w:r>
        <w:rPr>
          <w:rFonts w:hint="eastAsia" w:hAnsi="宋体"/>
          <w:sz w:val="24"/>
        </w:rPr>
        <w:t>对漏（缺）报项的处理：谈判文件中要求列入报价的费用（含配置、功能），漏（缺）报的视同已含在报价总价中。但在评审时取有效谈判响应供应商该项最高报价加入漏（缺）报人的谈判响应报价进行评审。对多报及赠送项的价格评审时不予核减，全部进入评审价评议。</w:t>
      </w:r>
    </w:p>
    <w:p>
      <w:pPr>
        <w:pStyle w:val="10"/>
        <w:spacing w:line="400" w:lineRule="exact"/>
        <w:ind w:firstLine="480" w:firstLineChars="200"/>
        <w:jc w:val="left"/>
        <w:rPr>
          <w:rFonts w:hAnsi="宋体"/>
          <w:sz w:val="24"/>
        </w:rPr>
      </w:pPr>
      <w:r>
        <w:rPr>
          <w:rFonts w:hAnsi="宋体"/>
          <w:sz w:val="24"/>
        </w:rPr>
        <w:t>19.3</w:t>
      </w:r>
      <w:r>
        <w:rPr>
          <w:rFonts w:hint="eastAsia" w:hAnsi="宋体"/>
          <w:sz w:val="24"/>
        </w:rPr>
        <w:t>若谈判响应供应商的报价明显低于其他报价，使得其报价可能低于其个别成本的，有可能影响商品质量或不能诚信履约的，谈判相应供应商应按谈判小组要求作出书面说明并提供相关证明材料，不能合理说明或不能提供相关证明材料的，可作无效报价处理。</w:t>
      </w:r>
    </w:p>
    <w:p>
      <w:pPr>
        <w:pStyle w:val="38"/>
        <w:spacing w:line="400" w:lineRule="exact"/>
        <w:jc w:val="center"/>
        <w:outlineLvl w:val="9"/>
        <w:rPr>
          <w:rFonts w:hAnsi="宋体"/>
          <w:b/>
          <w:sz w:val="24"/>
        </w:rPr>
      </w:pPr>
      <w:r>
        <w:rPr>
          <w:rFonts w:hint="eastAsia" w:hAnsi="宋体"/>
          <w:b/>
          <w:sz w:val="24"/>
        </w:rPr>
        <w:t>六、成交与签订合同</w:t>
      </w:r>
    </w:p>
    <w:p>
      <w:pPr>
        <w:pStyle w:val="10"/>
        <w:spacing w:line="400" w:lineRule="exact"/>
        <w:jc w:val="left"/>
        <w:rPr>
          <w:rFonts w:hAnsi="宋体"/>
          <w:sz w:val="24"/>
        </w:rPr>
      </w:pPr>
      <w:r>
        <w:rPr>
          <w:rFonts w:hAnsi="宋体"/>
          <w:sz w:val="24"/>
        </w:rPr>
        <w:t>20.</w:t>
      </w:r>
      <w:r>
        <w:rPr>
          <w:rFonts w:hint="eastAsia" w:hAnsi="宋体"/>
          <w:sz w:val="24"/>
        </w:rPr>
        <w:t>成交准则</w:t>
      </w:r>
    </w:p>
    <w:p>
      <w:pPr>
        <w:pStyle w:val="10"/>
        <w:spacing w:line="400" w:lineRule="exact"/>
        <w:jc w:val="left"/>
        <w:rPr>
          <w:rFonts w:hAnsi="宋体"/>
          <w:sz w:val="24"/>
        </w:rPr>
      </w:pPr>
      <w:r>
        <w:rPr>
          <w:rFonts w:hAnsi="宋体"/>
          <w:sz w:val="24"/>
        </w:rPr>
        <w:t xml:space="preserve">    </w:t>
      </w:r>
      <w:r>
        <w:rPr>
          <w:rFonts w:hint="eastAsia" w:hAnsi="宋体"/>
          <w:sz w:val="24"/>
        </w:rPr>
        <w:t>谈判小组根据谈判报价情况，按照“低价优先”依次对报价符合条件的供应商的投标文件进行审查、质疑、评估等，在满足竞争性谈判文件和谈判内容的供应商中依据各供应商的最终报价、企业资信业绩、承诺质量、承诺交货日期、承诺合同条件、承诺售后服务以及对谈判文件的响应程度等各方面，进行综合评审，在采购人预算范围内且满足谈判文件要求报价最低的供应商作为拟成交供应商。</w:t>
      </w:r>
      <w:r>
        <w:rPr>
          <w:rFonts w:hAnsi="宋体"/>
          <w:sz w:val="24"/>
        </w:rPr>
        <w:t xml:space="preserve"> </w:t>
      </w:r>
    </w:p>
    <w:p>
      <w:pPr>
        <w:pStyle w:val="10"/>
        <w:spacing w:line="400" w:lineRule="exact"/>
        <w:jc w:val="left"/>
        <w:rPr>
          <w:rFonts w:hAnsi="宋体"/>
          <w:b/>
          <w:sz w:val="24"/>
        </w:rPr>
      </w:pPr>
      <w:r>
        <w:rPr>
          <w:rFonts w:hAnsi="宋体"/>
          <w:b/>
          <w:sz w:val="24"/>
        </w:rPr>
        <w:t>21.</w:t>
      </w:r>
      <w:r>
        <w:rPr>
          <w:rFonts w:hint="eastAsia" w:hAnsi="宋体"/>
          <w:b/>
          <w:sz w:val="24"/>
        </w:rPr>
        <w:t>成交通知</w:t>
      </w:r>
    </w:p>
    <w:p>
      <w:pPr>
        <w:pStyle w:val="10"/>
        <w:spacing w:line="400" w:lineRule="exact"/>
        <w:ind w:firstLine="480" w:firstLineChars="200"/>
        <w:jc w:val="left"/>
        <w:rPr>
          <w:rFonts w:hAnsi="宋体"/>
          <w:bCs/>
          <w:sz w:val="24"/>
        </w:rPr>
      </w:pPr>
      <w:r>
        <w:rPr>
          <w:rFonts w:hint="eastAsia" w:hAnsi="宋体"/>
          <w:bCs/>
          <w:sz w:val="24"/>
        </w:rPr>
        <w:t>谈判结束后，确定拟成交供应商，在铜仁市公共资源交易网、贵州省财政部门指定的政府采购信息发布媒体上进行公告，并于</w:t>
      </w:r>
      <w:r>
        <w:rPr>
          <w:rFonts w:hAnsi="宋体"/>
          <w:bCs/>
          <w:sz w:val="24"/>
        </w:rPr>
        <w:t>2</w:t>
      </w:r>
      <w:r>
        <w:rPr>
          <w:rFonts w:hint="eastAsia" w:hAnsi="宋体"/>
          <w:bCs/>
          <w:sz w:val="24"/>
        </w:rPr>
        <w:t>个工作日内发放成交通知书，《成交通知书》将作为签订合同的重要依据，所有未成交的供应商不另行通知，铜仁市公共资源交易中心无义务向未中标的投标人解释落标原因，不退还投标文件</w:t>
      </w:r>
    </w:p>
    <w:p>
      <w:pPr>
        <w:pStyle w:val="10"/>
        <w:spacing w:line="400" w:lineRule="exact"/>
        <w:jc w:val="left"/>
        <w:rPr>
          <w:rFonts w:hAnsi="宋体"/>
          <w:b/>
          <w:sz w:val="24"/>
        </w:rPr>
      </w:pPr>
      <w:r>
        <w:rPr>
          <w:rFonts w:hAnsi="宋体"/>
          <w:b/>
          <w:sz w:val="24"/>
        </w:rPr>
        <w:t>22.</w:t>
      </w:r>
      <w:r>
        <w:rPr>
          <w:rFonts w:hint="eastAsia" w:hAnsi="宋体"/>
          <w:b/>
          <w:sz w:val="24"/>
        </w:rPr>
        <w:t>签订合同</w:t>
      </w:r>
    </w:p>
    <w:p>
      <w:pPr>
        <w:pStyle w:val="10"/>
        <w:spacing w:line="400" w:lineRule="exact"/>
        <w:ind w:firstLine="480" w:firstLineChars="200"/>
        <w:jc w:val="left"/>
        <w:rPr>
          <w:rFonts w:hAnsi="宋体"/>
          <w:sz w:val="24"/>
        </w:rPr>
      </w:pPr>
      <w:r>
        <w:rPr>
          <w:rFonts w:hAnsi="宋体"/>
          <w:sz w:val="24"/>
        </w:rPr>
        <w:t>22.1</w:t>
      </w:r>
      <w:r>
        <w:rPr>
          <w:rFonts w:hint="eastAsia" w:hAnsi="宋体"/>
          <w:sz w:val="24"/>
        </w:rPr>
        <w:t>采购人、成交供应商在《成交通知书》发出之日起</w:t>
      </w:r>
      <w:r>
        <w:rPr>
          <w:rFonts w:hAnsi="宋体"/>
          <w:sz w:val="24"/>
        </w:rPr>
        <w:t>30</w:t>
      </w:r>
      <w:r>
        <w:rPr>
          <w:rFonts w:hint="eastAsia" w:hAnsi="宋体"/>
          <w:sz w:val="24"/>
        </w:rPr>
        <w:t>日内，根据谈判文件确定的事项和成交供应商响应文件，参照本谈判文件第四章的《合同》文本签订合同。双方所签订的合同不得对谈判文件和成交供应商响应文件作实质性修改。逾期未签订合同，按照有关法律规定承担相应的法律责任；属成交供应商责任的，采购代理机构将没收谈判保证金，以抵偿对采购人造成的损失。采购人逾期不与成交供应商签订合同的，按政府采购的有关规定处理。</w:t>
      </w:r>
    </w:p>
    <w:p>
      <w:pPr>
        <w:pStyle w:val="10"/>
        <w:spacing w:line="400" w:lineRule="exact"/>
        <w:ind w:firstLine="480" w:firstLineChars="200"/>
        <w:jc w:val="left"/>
        <w:rPr>
          <w:rFonts w:hAnsi="宋体"/>
          <w:sz w:val="24"/>
        </w:rPr>
      </w:pPr>
      <w:r>
        <w:rPr>
          <w:rFonts w:hAnsi="宋体"/>
          <w:sz w:val="24"/>
        </w:rPr>
        <w:t>22.2</w:t>
      </w:r>
      <w:r>
        <w:rPr>
          <w:rFonts w:hint="eastAsia" w:hAnsi="宋体"/>
          <w:sz w:val="24"/>
        </w:rPr>
        <w:t>谈判文件、谈判文件的修改文件、成交供应商的响应文件、补充或修改的文件及澄清或承诺文件等，均为双方签订合同的组成部分，并与合同一并作为本谈判文件所列采购项目的互补性法律文件，与合同具有同等法律效力。</w:t>
      </w:r>
    </w:p>
    <w:p>
      <w:pPr>
        <w:pStyle w:val="10"/>
        <w:spacing w:line="400" w:lineRule="exact"/>
        <w:ind w:firstLine="480" w:firstLineChars="200"/>
        <w:jc w:val="left"/>
        <w:rPr>
          <w:rFonts w:hAnsi="宋体"/>
          <w:sz w:val="24"/>
        </w:rPr>
      </w:pPr>
      <w:r>
        <w:rPr>
          <w:rFonts w:hAnsi="宋体"/>
          <w:sz w:val="24"/>
        </w:rPr>
        <w:t>22.3</w:t>
      </w:r>
      <w:r>
        <w:rPr>
          <w:rFonts w:hint="eastAsia" w:hAnsi="宋体"/>
          <w:sz w:val="24"/>
        </w:rPr>
        <w:t>采购人在合同履行中，需追加与合同标的相同的货物或者服务的，在不改变合同其他条款的前提下，可与供应商协商签订补充合同，但所有补充合同的采购金额不得超过原合同采购金额的</w:t>
      </w:r>
      <w:r>
        <w:rPr>
          <w:rFonts w:hAnsi="宋体"/>
          <w:sz w:val="24"/>
        </w:rPr>
        <w:t>10%</w:t>
      </w:r>
      <w:r>
        <w:rPr>
          <w:rFonts w:hint="eastAsia" w:hAnsi="宋体"/>
          <w:sz w:val="24"/>
        </w:rPr>
        <w:t>。</w:t>
      </w:r>
    </w:p>
    <w:p>
      <w:pPr>
        <w:spacing w:line="400" w:lineRule="exact"/>
        <w:ind w:firstLine="480" w:firstLineChars="200"/>
        <w:rPr>
          <w:rFonts w:ascii="宋体"/>
          <w:sz w:val="24"/>
          <w:szCs w:val="24"/>
        </w:rPr>
      </w:pPr>
      <w:r>
        <w:rPr>
          <w:sz w:val="24"/>
          <w:szCs w:val="24"/>
        </w:rPr>
        <w:t>22.4</w:t>
      </w:r>
      <w:r>
        <w:rPr>
          <w:rFonts w:hint="eastAsia"/>
          <w:sz w:val="24"/>
          <w:szCs w:val="24"/>
        </w:rPr>
        <w:t>成交供应商因不可抗力或者自身原因不能履行政府采购合同的，采购人可以与排位在成交供应商之后第一位的成交备选供应商签订政府采购合同，以此类推。</w:t>
      </w:r>
      <w:r>
        <w:rPr>
          <w:rFonts w:hint="eastAsia" w:ascii="宋体"/>
          <w:sz w:val="24"/>
          <w:szCs w:val="24"/>
        </w:rPr>
        <w:t>且在此情况下，作为成交供应商之后第一位的成交候选人应同意与采购人按不高于其最终报价签订采购合同。</w:t>
      </w:r>
    </w:p>
    <w:p>
      <w:pPr>
        <w:pStyle w:val="10"/>
        <w:spacing w:line="400" w:lineRule="exact"/>
        <w:jc w:val="left"/>
        <w:rPr>
          <w:rFonts w:hAnsi="宋体"/>
          <w:b/>
          <w:bCs/>
          <w:sz w:val="30"/>
          <w:szCs w:val="30"/>
        </w:rPr>
      </w:pPr>
      <w:r>
        <w:rPr>
          <w:rFonts w:hAnsi="宋体"/>
          <w:b/>
          <w:sz w:val="24"/>
        </w:rPr>
        <w:t>23.</w:t>
      </w:r>
      <w:r>
        <w:rPr>
          <w:rFonts w:hint="eastAsia" w:hAnsi="宋体"/>
          <w:b/>
          <w:sz w:val="24"/>
        </w:rPr>
        <w:t>成交服务费：</w:t>
      </w:r>
      <w:r>
        <w:rPr>
          <w:rFonts w:hint="eastAsia" w:hAnsi="宋体"/>
          <w:sz w:val="24"/>
        </w:rPr>
        <w:t>本中心不收取成交服务费。</w:t>
      </w:r>
      <w:r>
        <w:rPr>
          <w:rFonts w:hAnsi="宋体"/>
          <w:sz w:val="24"/>
        </w:rPr>
        <w:t xml:space="preserve"> </w:t>
      </w:r>
    </w:p>
    <w:p>
      <w:pPr>
        <w:spacing w:line="360" w:lineRule="auto"/>
        <w:outlineLvl w:val="0"/>
        <w:rPr>
          <w:rFonts w:ascii="宋体"/>
          <w:b/>
          <w:bCs/>
          <w:sz w:val="30"/>
          <w:szCs w:val="30"/>
        </w:rPr>
      </w:pPr>
    </w:p>
    <w:p>
      <w:pPr>
        <w:spacing w:line="360" w:lineRule="auto"/>
        <w:outlineLvl w:val="0"/>
        <w:rPr>
          <w:rFonts w:ascii="宋体"/>
          <w:b/>
          <w:bCs/>
          <w:sz w:val="30"/>
          <w:szCs w:val="30"/>
        </w:rPr>
      </w:pPr>
    </w:p>
    <w:p>
      <w:pPr>
        <w:spacing w:line="360" w:lineRule="auto"/>
        <w:outlineLvl w:val="0"/>
        <w:rPr>
          <w:rFonts w:ascii="宋体"/>
          <w:b/>
          <w:bCs/>
          <w:sz w:val="30"/>
          <w:szCs w:val="30"/>
        </w:rPr>
      </w:pPr>
    </w:p>
    <w:p>
      <w:pPr>
        <w:spacing w:line="360" w:lineRule="auto"/>
        <w:outlineLvl w:val="0"/>
        <w:rPr>
          <w:rFonts w:ascii="宋体"/>
          <w:b/>
          <w:bCs/>
          <w:sz w:val="30"/>
          <w:szCs w:val="30"/>
        </w:rPr>
      </w:pPr>
    </w:p>
    <w:p>
      <w:pPr>
        <w:spacing w:line="360" w:lineRule="auto"/>
        <w:outlineLvl w:val="0"/>
        <w:rPr>
          <w:rFonts w:ascii="宋体"/>
          <w:b/>
          <w:bCs/>
          <w:sz w:val="30"/>
          <w:szCs w:val="30"/>
        </w:rPr>
      </w:pPr>
    </w:p>
    <w:p>
      <w:pPr>
        <w:spacing w:line="360" w:lineRule="auto"/>
        <w:outlineLvl w:val="0"/>
        <w:rPr>
          <w:rFonts w:ascii="宋体"/>
          <w:b/>
          <w:bCs/>
          <w:sz w:val="30"/>
          <w:szCs w:val="30"/>
        </w:rPr>
      </w:pPr>
    </w:p>
    <w:p>
      <w:pPr>
        <w:spacing w:line="360" w:lineRule="auto"/>
        <w:outlineLvl w:val="0"/>
        <w:rPr>
          <w:rFonts w:ascii="宋体"/>
          <w:b/>
          <w:bCs/>
          <w:sz w:val="30"/>
          <w:szCs w:val="30"/>
        </w:rPr>
      </w:pPr>
    </w:p>
    <w:p>
      <w:pPr>
        <w:spacing w:line="360" w:lineRule="auto"/>
        <w:outlineLvl w:val="0"/>
        <w:rPr>
          <w:rFonts w:ascii="宋体"/>
          <w:b/>
          <w:bCs/>
          <w:sz w:val="30"/>
          <w:szCs w:val="30"/>
        </w:rPr>
      </w:pPr>
    </w:p>
    <w:p>
      <w:pPr>
        <w:spacing w:line="360" w:lineRule="auto"/>
        <w:outlineLvl w:val="0"/>
        <w:rPr>
          <w:rFonts w:ascii="宋体"/>
          <w:b/>
          <w:bCs/>
          <w:sz w:val="30"/>
          <w:szCs w:val="30"/>
        </w:rPr>
      </w:pPr>
    </w:p>
    <w:p>
      <w:pPr>
        <w:spacing w:line="360" w:lineRule="auto"/>
        <w:outlineLvl w:val="0"/>
        <w:rPr>
          <w:rFonts w:ascii="宋体"/>
          <w:b/>
          <w:bCs/>
          <w:sz w:val="30"/>
          <w:szCs w:val="30"/>
        </w:rPr>
      </w:pPr>
    </w:p>
    <w:p>
      <w:pPr>
        <w:spacing w:line="360" w:lineRule="auto"/>
        <w:outlineLvl w:val="0"/>
        <w:rPr>
          <w:rFonts w:ascii="宋体"/>
          <w:b/>
          <w:bCs/>
          <w:sz w:val="30"/>
          <w:szCs w:val="30"/>
        </w:rPr>
      </w:pPr>
    </w:p>
    <w:p>
      <w:pPr>
        <w:pStyle w:val="10"/>
        <w:sectPr>
          <w:footerReference r:id="rId3" w:type="default"/>
          <w:pgSz w:w="11906" w:h="16838"/>
          <w:pgMar w:top="1440" w:right="1800" w:bottom="1440" w:left="1800" w:header="851" w:footer="992" w:gutter="0"/>
          <w:cols w:space="720" w:num="1"/>
          <w:docGrid w:type="lines" w:linePitch="312" w:charSpace="0"/>
        </w:sectPr>
      </w:pPr>
    </w:p>
    <w:p>
      <w:pPr>
        <w:numPr>
          <w:ilvl w:val="0"/>
          <w:numId w:val="0"/>
        </w:numPr>
        <w:spacing w:line="360" w:lineRule="auto"/>
        <w:ind w:firstLine="5060" w:firstLineChars="1400"/>
        <w:jc w:val="both"/>
        <w:outlineLvl w:val="0"/>
        <w:rPr>
          <w:rFonts w:hAnsi="宋体"/>
          <w:sz w:val="28"/>
          <w:szCs w:val="28"/>
        </w:rPr>
      </w:pPr>
      <w:r>
        <w:rPr>
          <w:rFonts w:hint="eastAsia" w:ascii="宋体" w:hAnsi="宋体"/>
          <w:b/>
          <w:bCs/>
          <w:sz w:val="36"/>
          <w:szCs w:val="36"/>
          <w:lang w:eastAsia="zh-CN"/>
        </w:rPr>
        <w:t>第四章</w:t>
      </w:r>
      <w:r>
        <w:rPr>
          <w:rFonts w:hint="eastAsia" w:ascii="宋体" w:hAnsi="宋体"/>
          <w:b/>
          <w:bCs/>
          <w:sz w:val="36"/>
          <w:szCs w:val="36"/>
          <w:lang w:val="en-US" w:eastAsia="zh-CN"/>
        </w:rPr>
        <w:t xml:space="preserve"> </w:t>
      </w:r>
      <w:r>
        <w:rPr>
          <w:rFonts w:ascii="宋体" w:hAnsi="宋体"/>
          <w:b/>
          <w:bCs/>
          <w:sz w:val="36"/>
          <w:szCs w:val="36"/>
        </w:rPr>
        <w:t xml:space="preserve"> </w:t>
      </w:r>
      <w:r>
        <w:rPr>
          <w:rFonts w:hint="eastAsia" w:ascii="宋体" w:hAnsi="宋体"/>
          <w:b/>
          <w:bCs/>
          <w:sz w:val="36"/>
          <w:szCs w:val="36"/>
        </w:rPr>
        <w:t>谈判内容及要求</w:t>
      </w:r>
    </w:p>
    <w:p>
      <w:pPr>
        <w:keepNext w:val="0"/>
        <w:keepLines w:val="0"/>
        <w:widowControl/>
        <w:suppressLineNumbers w:val="0"/>
        <w:jc w:val="center"/>
        <w:textAlignment w:val="center"/>
        <w:rPr>
          <w:rFonts w:hint="eastAsia" w:eastAsia="等线"/>
          <w:lang w:val="en-US" w:eastAsia="zh-CN"/>
        </w:rPr>
      </w:pPr>
      <w:r>
        <w:rPr>
          <w:rFonts w:hint="eastAsia" w:ascii="等线" w:hAnsi="等线" w:eastAsia="等线" w:cs="等线"/>
          <w:b/>
          <w:i w:val="0"/>
          <w:color w:val="000000"/>
          <w:kern w:val="0"/>
          <w:sz w:val="28"/>
          <w:szCs w:val="28"/>
          <w:u w:val="none"/>
          <w:lang w:val="en-US" w:eastAsia="zh-CN" w:bidi="ar"/>
        </w:rPr>
        <w:t>1包：</w:t>
      </w:r>
      <w:r>
        <w:rPr>
          <w:rFonts w:hint="default" w:ascii="等线" w:hAnsi="等线" w:eastAsia="等线" w:cs="等线"/>
          <w:b/>
          <w:i w:val="0"/>
          <w:color w:val="000000"/>
          <w:kern w:val="0"/>
          <w:sz w:val="28"/>
          <w:szCs w:val="28"/>
          <w:u w:val="none"/>
          <w:lang w:val="en-US" w:eastAsia="zh-CN" w:bidi="ar"/>
        </w:rPr>
        <w:t>经济与管理学院</w:t>
      </w:r>
      <w:r>
        <w:rPr>
          <w:rFonts w:hint="eastAsia" w:ascii="等线" w:hAnsi="等线" w:eastAsia="等线" w:cs="等线"/>
          <w:b/>
          <w:i w:val="0"/>
          <w:color w:val="000000"/>
          <w:kern w:val="0"/>
          <w:sz w:val="28"/>
          <w:szCs w:val="28"/>
          <w:u w:val="none"/>
          <w:lang w:val="en-US" w:eastAsia="zh-CN" w:bidi="ar"/>
        </w:rPr>
        <w:t>软件采购，预算：377201元</w:t>
      </w:r>
    </w:p>
    <w:tbl>
      <w:tblPr>
        <w:tblStyle w:val="17"/>
        <w:tblW w:w="14865" w:type="dxa"/>
        <w:tblInd w:w="-685" w:type="dxa"/>
        <w:shd w:val="clear" w:color="auto" w:fill="auto"/>
        <w:tblLayout w:type="fixed"/>
        <w:tblCellMar>
          <w:top w:w="0" w:type="dxa"/>
          <w:left w:w="0" w:type="dxa"/>
          <w:bottom w:w="0" w:type="dxa"/>
          <w:right w:w="0" w:type="dxa"/>
        </w:tblCellMar>
      </w:tblPr>
      <w:tblGrid>
        <w:gridCol w:w="915"/>
        <w:gridCol w:w="1650"/>
        <w:gridCol w:w="8625"/>
        <w:gridCol w:w="945"/>
        <w:gridCol w:w="1185"/>
        <w:gridCol w:w="1545"/>
      </w:tblGrid>
      <w:tr>
        <w:tblPrEx>
          <w:tblCellMar>
            <w:top w:w="0" w:type="dxa"/>
            <w:left w:w="0" w:type="dxa"/>
            <w:bottom w:w="0" w:type="dxa"/>
            <w:right w:w="0" w:type="dxa"/>
          </w:tblCellMar>
        </w:tblPrEx>
        <w:trPr>
          <w:trHeight w:val="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设备名称</w:t>
            </w:r>
          </w:p>
        </w:tc>
        <w:tc>
          <w:tcPr>
            <w:tcW w:w="8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产品参数</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单位</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数量</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用途</w:t>
            </w:r>
          </w:p>
        </w:tc>
      </w:tr>
      <w:tr>
        <w:tblPrEx>
          <w:tblCellMar>
            <w:top w:w="0" w:type="dxa"/>
            <w:left w:w="0" w:type="dxa"/>
            <w:bottom w:w="0" w:type="dxa"/>
            <w:right w:w="0" w:type="dxa"/>
          </w:tblCellMar>
        </w:tblPrEx>
        <w:trPr>
          <w:trHeight w:val="6092"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BIM土建计量平台</w:t>
            </w:r>
          </w:p>
        </w:tc>
        <w:tc>
          <w:tcPr>
            <w:tcW w:w="8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1、土建、钢筋模型统一，能够同时计算钢筋、土建工程量；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2、具有自主知识产权的图形平台；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3、能与BIM进行对接，可导出BIM模型文件；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4、软件内置国家清单计量规范、当地清单定额规则，内置16G、11G系列平法规则及常用施工做法；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5、能够三维实体模型显示，做到全构件显示；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6、能够在revit平台上，使用YJK插件实现模型结构信息录入，通过行业通用插件，导出GFC模型文件；导出过程中，能够进行模型映射、模型检查和调整；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7、能够自动建立建筑、结构模型及信息，实现快速计量；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8、集成造价BIM模型，能够导出为GFC模型文件，应用到BIM5D平台，或项目协同平台（协筑）进行浏览查看，或移动（BIMface）流程查看；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能够通过【云检查】功能，对设置合理性、建模遗漏、属性合理性、建模合理性进行检查；输出确定错误、疑似错误、提醒三类结果。能够逐条检查和确认，双击直接定位；部分错误可以手动或自动修复；一些图纸本身如此的问题可以直接忽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10、能够进行全楼检查、当前层检查、自定义范围检查；检查依据清晰可查，部分检查条件可以自己设置参数；参与检查的规则项能够自定义选择；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11、能够提供整个工程指标汇总、钢筋、混凝土、模板、装修及其他几类指标报表；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12、能够导入云端指标模板，按自定义或不同维度输出工程指标；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13、能够导入各种类型的CAD图纸；</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14、能够自动/手动分割图纸，快速整理图纸；</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15、能够通过CAD构件识别功能，识别轴网，识别独立基础、识别桩承台、识别桩、识别柱、识别梁、识别剪力墙、识别受力筋、识别负筋、识别门窗洞等，自动从图纸中识别对应构件，录入图纸中对应属性信息，建立图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16、CAD识别过程各环节能够提供对应校核检查功能；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17、能够为构件匹配不同的清单/定额做法；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18、能够通过【做法刷】功能，为同类同特征的构件匹配相同的做法；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19能够通过【做法检查】功能，查漏补缺；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20、能够查询做法、匹配清单定额、图集做法、做法库方案维护等功能，将构件图元与做法匹配，更加方便灵活；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21、能够直接导入计价文件，清单定额方案及单价都能直接和构件匹配并关联；通过清单定额编码等关系实现模型工程量与组价关联联动；并能输出带单价和合价的工程量报表，以及BIM造价模型；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22、能够通过【编辑钢筋】、【查看构件图元计算式】功能，清晰查看钢筋三维构造图，查看模型三维扣减图，让结果及扣减过程清晰明白；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23、能够通过【查看钢筋量】、【查看工程量】查看多个图元工程量，并把结果导出Excel；</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24、能够通过【设置分类条件】功能进行自定义结果表，满足各类分类归量需求；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25、能够提供一系列的报表，做法汇总分析：如清单汇总表、清单楼层明细表、清单构件明细表、清单部位计算书、构件做法汇总表等；构件汇总分析：按构件汇总工程量、按楼层汇总工程量、构件工程量计算书、构件工程量明细表、做法工程量计算书等。明细表：如钢筋明细表，钢筋形状统计明细表、楼层构件统计核对表等；汇总表：如钢筋统计汇总表、钢筋接头汇总表、楼层构件类型级别直径汇总表、构建类型级别直径汇总表、钢筋级别直径汇总表、构件汇总信息分类统计表、钢筋连接类型级别直径汇总表、预埋件楼层构件类型统计表、机械锚固汇总表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26、配套相应的软件工作台，该平台包含BIM造价类实训课程、BIM招投标类实训课程、BIM施工类实训课程、虚拟仿真类实训课程、BIM设计类实训课程、帮筑课堂及建筑云课、测评认证七大模块课程；可满足多款软件程序同步下载、安装、使用、升级、卸载等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b/>
                <w:bCs/>
                <w:i w:val="0"/>
                <w:color w:val="FF0000"/>
                <w:kern w:val="0"/>
                <w:sz w:val="20"/>
                <w:szCs w:val="20"/>
                <w:u w:val="none"/>
                <w:lang w:val="en-US" w:eastAsia="zh-CN" w:bidi="ar"/>
              </w:rPr>
              <w:t>27、</w:t>
            </w:r>
            <w:r>
              <w:rPr>
                <w:rFonts w:hint="eastAsia" w:ascii="宋体" w:hAnsi="宋体" w:cs="宋体"/>
                <w:b/>
                <w:bCs/>
                <w:i w:val="0"/>
                <w:color w:val="FF0000"/>
                <w:kern w:val="0"/>
                <w:sz w:val="20"/>
                <w:szCs w:val="20"/>
                <w:u w:val="none"/>
                <w:lang w:val="en-US" w:eastAsia="zh-CN" w:bidi="ar"/>
              </w:rPr>
              <w:t>因产品在原版本基础上做出重大改进，使其功能加强或运行速度加快，属于升级范畴；因发布新定额、新计算规则、新清单、新图案以及其他行业政策法规，规范发生变化引起相应的变化，属于软件升级范畴，10年内免费升级。</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节点</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1、《BIM技术应用》、《招标造价综合实训》课程使用；2、贵州省BIM技能大赛使用软件</w:t>
            </w:r>
          </w:p>
        </w:tc>
      </w:tr>
      <w:tr>
        <w:tblPrEx>
          <w:tblCellMar>
            <w:top w:w="0" w:type="dxa"/>
            <w:left w:w="0" w:type="dxa"/>
            <w:bottom w:w="0" w:type="dxa"/>
            <w:right w:w="0" w:type="dxa"/>
          </w:tblCellMar>
        </w:tblPrEx>
        <w:trPr>
          <w:trHeight w:val="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云计价平台</w:t>
            </w:r>
          </w:p>
        </w:tc>
        <w:tc>
          <w:tcPr>
            <w:tcW w:w="8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3"/>
              </w:numPr>
              <w:suppressLineNumbers w:val="0"/>
              <w:jc w:val="left"/>
              <w:textAlignment w:val="center"/>
              <w:rPr>
                <w:rFonts w:hint="eastAsia"/>
                <w:lang w:val="en-US" w:eastAsia="zh-CN"/>
              </w:rPr>
            </w:pPr>
            <w:r>
              <w:rPr>
                <w:rFonts w:hint="eastAsia"/>
                <w:lang w:val="en-US" w:eastAsia="zh-CN"/>
              </w:rPr>
              <w:t xml:space="preserve"> 应内置贵州最新行业清单、定额计算规则，第一时间响应贵州行业动态</w:t>
            </w:r>
            <w:r>
              <w:rPr>
                <w:rFonts w:hint="eastAsia"/>
                <w:lang w:val="en-US" w:eastAsia="zh-CN"/>
              </w:rPr>
              <w:br w:type="textWrapping"/>
            </w:r>
            <w:r>
              <w:rPr>
                <w:rFonts w:hint="eastAsia"/>
                <w:lang w:val="en-US" w:eastAsia="zh-CN"/>
              </w:rPr>
              <w:t>（2）   能够进行定额计价和清单计价两种计价模式</w:t>
            </w:r>
            <w:r>
              <w:rPr>
                <w:rFonts w:hint="eastAsia"/>
                <w:lang w:val="en-US" w:eastAsia="zh-CN"/>
              </w:rPr>
              <w:br w:type="textWrapping"/>
            </w:r>
            <w:r>
              <w:rPr>
                <w:rFonts w:hint="eastAsia"/>
                <w:lang w:val="en-US" w:eastAsia="zh-CN"/>
              </w:rPr>
              <w:t>（3）   能够与BIM软件实现完美对接，承接BIM成本信息，实现数据在BIM应用中直接提取应用</w:t>
            </w:r>
            <w:r>
              <w:rPr>
                <w:rFonts w:hint="eastAsia"/>
                <w:lang w:val="en-US" w:eastAsia="zh-CN"/>
              </w:rPr>
              <w:br w:type="textWrapping"/>
            </w:r>
            <w:r>
              <w:rPr>
                <w:rFonts w:hint="eastAsia"/>
                <w:lang w:val="en-US" w:eastAsia="zh-CN"/>
              </w:rPr>
              <w:t>（4）   生成符合接口标准的招标、招标控制价、投标电子标文件，支持各地区的电子招投标和网络评标系统</w:t>
            </w:r>
            <w:r>
              <w:rPr>
                <w:rFonts w:hint="eastAsia"/>
                <w:lang w:val="en-US" w:eastAsia="zh-CN"/>
              </w:rPr>
              <w:br w:type="textWrapping"/>
            </w:r>
            <w:r>
              <w:rPr>
                <w:rFonts w:hint="eastAsia"/>
                <w:lang w:val="en-US" w:eastAsia="zh-CN"/>
              </w:rPr>
              <w:t>（5）   能够插入批注功能，并且可以进行批注内容过滤</w:t>
            </w:r>
            <w:r>
              <w:rPr>
                <w:rFonts w:hint="eastAsia"/>
                <w:lang w:val="en-US" w:eastAsia="zh-CN"/>
              </w:rPr>
              <w:br w:type="textWrapping"/>
            </w:r>
            <w:r>
              <w:rPr>
                <w:rFonts w:hint="eastAsia"/>
                <w:lang w:val="en-US" w:eastAsia="zh-CN"/>
              </w:rPr>
              <w:t>（6）   能够导出PDF格式文件，防止修改</w:t>
            </w:r>
            <w:r>
              <w:rPr>
                <w:rFonts w:hint="eastAsia"/>
                <w:lang w:val="en-US" w:eastAsia="zh-CN"/>
              </w:rPr>
              <w:br w:type="textWrapping"/>
            </w:r>
            <w:r>
              <w:rPr>
                <w:rFonts w:hint="eastAsia"/>
                <w:lang w:val="en-US" w:eastAsia="zh-CN"/>
              </w:rPr>
              <w:t>（7）   针对群体项目应有快速组价的方式，将相同专业的清单项以及组价应可以统一调整</w:t>
            </w:r>
            <w:r>
              <w:rPr>
                <w:rFonts w:hint="eastAsia"/>
                <w:lang w:val="en-US" w:eastAsia="zh-CN"/>
              </w:rPr>
              <w:br w:type="textWrapping"/>
            </w:r>
            <w:r>
              <w:rPr>
                <w:rFonts w:hint="eastAsia"/>
                <w:lang w:val="en-US" w:eastAsia="zh-CN"/>
              </w:rPr>
              <w:t>（8）   应涵盖云、大数据的行业应用</w:t>
            </w:r>
            <w:r>
              <w:rPr>
                <w:rFonts w:hint="eastAsia"/>
                <w:lang w:val="en-US" w:eastAsia="zh-CN"/>
              </w:rPr>
              <w:br w:type="textWrapping"/>
            </w:r>
            <w:r>
              <w:rPr>
                <w:rFonts w:hint="eastAsia"/>
                <w:lang w:val="en-US" w:eastAsia="zh-CN"/>
              </w:rPr>
              <w:t>（9）   应提供统一入口，处理计价全过程业务，包括概算、预算、结算、审核</w:t>
            </w:r>
            <w:r>
              <w:rPr>
                <w:rFonts w:hint="eastAsia"/>
                <w:lang w:val="en-US" w:eastAsia="zh-CN"/>
              </w:rPr>
              <w:br w:type="textWrapping"/>
            </w:r>
            <w:r>
              <w:rPr>
                <w:rFonts w:hint="eastAsia"/>
                <w:lang w:val="en-US" w:eastAsia="zh-CN"/>
              </w:rPr>
              <w:t>（10）  项目、单项、单位应可查看对应造价分析数据，项目、单项、单位工程可以直接编辑。</w:t>
            </w:r>
            <w:r>
              <w:rPr>
                <w:rFonts w:hint="eastAsia"/>
                <w:lang w:val="en-US" w:eastAsia="zh-CN"/>
              </w:rPr>
              <w:br w:type="textWrapping"/>
            </w:r>
            <w:r>
              <w:rPr>
                <w:rFonts w:hint="eastAsia"/>
                <w:lang w:val="en-US" w:eastAsia="zh-CN"/>
              </w:rPr>
              <w:t>（11）  可以按照工程和专业两个维度，输出主要经济指标、主要工程量指标、主要工料指标；</w:t>
            </w:r>
            <w:r>
              <w:rPr>
                <w:rFonts w:hint="eastAsia"/>
                <w:lang w:val="en-US" w:eastAsia="zh-CN"/>
              </w:rPr>
              <w:br w:type="textWrapping"/>
            </w:r>
            <w:r>
              <w:rPr>
                <w:rFonts w:hint="eastAsia"/>
                <w:lang w:val="en-US" w:eastAsia="zh-CN"/>
              </w:rPr>
              <w:t>（12）应可查询各地区计价规则以及政策</w:t>
            </w:r>
            <w:r>
              <w:rPr>
                <w:rFonts w:hint="eastAsia"/>
                <w:lang w:val="en-US" w:eastAsia="zh-CN"/>
              </w:rPr>
              <w:br w:type="textWrapping"/>
            </w:r>
            <w:r>
              <w:rPr>
                <w:rFonts w:hint="eastAsia"/>
                <w:lang w:val="en-US" w:eastAsia="zh-CN"/>
              </w:rPr>
              <w:t>（13）配套相应的软件工作台，该平台包含BIM造价类实训课程、BIM招投标类实训课程、BIM施工类实训课程、虚拟仿真类实训课程、BIM设计类实训课程、帮筑课堂及建筑云课、测评认证七大模块课程；可满足多款软件程序同步下载、安装、使用、升级、卸载等功能。</w:t>
            </w:r>
          </w:p>
          <w:p>
            <w:pPr>
              <w:pStyle w:val="2"/>
              <w:numPr>
                <w:ilvl w:val="0"/>
                <w:numId w:val="0"/>
              </w:numPr>
              <w:rPr>
                <w:rFonts w:hint="eastAsia" w:eastAsia="宋体"/>
                <w:lang w:eastAsia="zh-CN"/>
              </w:rPr>
            </w:pPr>
            <w:r>
              <w:rPr>
                <w:rFonts w:hint="eastAsia"/>
                <w:lang w:eastAsia="zh-CN"/>
              </w:rPr>
              <w:t>（</w:t>
            </w:r>
            <w:r>
              <w:rPr>
                <w:rFonts w:hint="eastAsia"/>
                <w:lang w:val="en-US" w:eastAsia="zh-CN"/>
              </w:rPr>
              <w:t>14</w:t>
            </w:r>
            <w:r>
              <w:rPr>
                <w:rFonts w:hint="eastAsia"/>
                <w:lang w:eastAsia="zh-CN"/>
              </w:rPr>
              <w:t>）</w:t>
            </w:r>
            <w:r>
              <w:rPr>
                <w:rFonts w:hint="eastAsia" w:ascii="宋体" w:hAnsi="宋体" w:cs="宋体"/>
                <w:b/>
                <w:bCs/>
                <w:i w:val="0"/>
                <w:color w:val="FF0000"/>
                <w:kern w:val="0"/>
                <w:sz w:val="20"/>
                <w:szCs w:val="20"/>
                <w:u w:val="none"/>
                <w:lang w:val="en-US" w:eastAsia="zh-CN" w:bidi="ar"/>
              </w:rPr>
              <w:t>因产品在原版本基础上做出重大改进，使其功能加强或运行速度加快，属于升级范畴；因发布新定额、新计算规则、新清单、新图案以及其他行业政策法规，规范发生变化引起相应的变化，属于软件升级范畴，10年内免费升级。</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节点</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1、《BIM技术应用》、《招标造价综合实训》课程使用；2、贵州省BIM技能大赛使用软件</w:t>
            </w:r>
          </w:p>
        </w:tc>
      </w:tr>
      <w:tr>
        <w:tblPrEx>
          <w:tblCellMar>
            <w:top w:w="0" w:type="dxa"/>
            <w:left w:w="0" w:type="dxa"/>
            <w:bottom w:w="0" w:type="dxa"/>
            <w:right w:w="0" w:type="dxa"/>
          </w:tblCellMar>
        </w:tblPrEx>
        <w:trPr>
          <w:trHeight w:val="2692"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市场营销综合实训与竞赛系统</w:t>
            </w:r>
          </w:p>
        </w:tc>
        <w:tc>
          <w:tcPr>
            <w:tcW w:w="8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lang w:val="en-US" w:eastAsia="zh-CN"/>
              </w:rPr>
            </w:pPr>
            <w:r>
              <w:rPr>
                <w:rFonts w:hint="eastAsia"/>
                <w:lang w:val="en-US" w:eastAsia="zh-CN"/>
              </w:rPr>
              <w:t>功能要求：</w:t>
            </w:r>
            <w:r>
              <w:rPr>
                <w:rFonts w:hint="eastAsia"/>
                <w:lang w:val="en-US" w:eastAsia="zh-CN"/>
              </w:rPr>
              <w:br w:type="textWrapping"/>
            </w:r>
            <w:r>
              <w:rPr>
                <w:rFonts w:hint="eastAsia"/>
                <w:lang w:val="en-US" w:eastAsia="zh-CN"/>
              </w:rPr>
              <w:t>1、软件基于B/S架构设计，客户端不需要安装软件，支持基于校园网的应用，系统包含10个登陆小组账号。</w:t>
            </w:r>
            <w:r>
              <w:rPr>
                <w:rFonts w:hint="eastAsia"/>
                <w:lang w:val="en-US" w:eastAsia="zh-CN"/>
              </w:rPr>
              <w:br w:type="textWrapping"/>
            </w:r>
            <w:r>
              <w:rPr>
                <w:rFonts w:hint="eastAsia"/>
                <w:lang w:val="en-US" w:eastAsia="zh-CN"/>
              </w:rPr>
              <w:t>2、学员分别模拟企业总裁、营销总监、大客户销售、渠道销售、终端销售、运营总监、财务总监7个角色组成企业核心团队，分别承担市场、直销、批发、零售、运营、财务等工作，以项目式大客户直销、分销渠道批发和终端零售三种销售方式进行产品销售，能够满足市场营销专业学生模拟市场分析、目标市场定位分析、组合营销、盈亏分析等专业技能的训练：</w:t>
            </w:r>
            <w:r>
              <w:rPr>
                <w:rFonts w:hint="eastAsia"/>
                <w:lang w:val="en-US" w:eastAsia="zh-CN"/>
              </w:rPr>
              <w:br w:type="textWrapping"/>
            </w:r>
            <w:r>
              <w:rPr>
                <w:rFonts w:hint="eastAsia"/>
                <w:lang w:val="en-US" w:eastAsia="zh-CN"/>
              </w:rPr>
              <w:t>3、支持3年12个季度模拟教学，能够模拟项目式大客户直销、分销渠道批发、终端零售三种销售方式；</w:t>
            </w:r>
            <w:r>
              <w:rPr>
                <w:rFonts w:hint="eastAsia"/>
                <w:lang w:val="en-US" w:eastAsia="zh-CN"/>
              </w:rPr>
              <w:br w:type="textWrapping"/>
            </w:r>
            <w:r>
              <w:rPr>
                <w:rFonts w:hint="eastAsia"/>
                <w:lang w:val="en-US" w:eastAsia="zh-CN"/>
              </w:rPr>
              <w:t>4、模拟项目式大客户直销流程：开发客户、投标报名、资格预审、购买标书、投标、中标公示；</w:t>
            </w:r>
            <w:r>
              <w:rPr>
                <w:rFonts w:hint="eastAsia"/>
                <w:lang w:val="en-US" w:eastAsia="zh-CN"/>
              </w:rPr>
              <w:br w:type="textWrapping"/>
            </w:r>
            <w:r>
              <w:rPr>
                <w:rFonts w:hint="eastAsia"/>
                <w:lang w:val="en-US" w:eastAsia="zh-CN"/>
              </w:rPr>
              <w:t>5、模拟分销渠道批发流程：投放招商广告、选择批发订单；</w:t>
            </w:r>
            <w:r>
              <w:rPr>
                <w:rFonts w:hint="eastAsia"/>
                <w:lang w:val="en-US" w:eastAsia="zh-CN"/>
              </w:rPr>
              <w:br w:type="textWrapping"/>
            </w:r>
            <w:r>
              <w:rPr>
                <w:rFonts w:hint="eastAsia"/>
                <w:lang w:val="en-US" w:eastAsia="zh-CN"/>
              </w:rPr>
              <w:t>6、模拟终端零售流程：签约零售商、货物配送、制定价格、上架、促销、广告；</w:t>
            </w:r>
            <w:r>
              <w:rPr>
                <w:rFonts w:hint="eastAsia"/>
                <w:lang w:val="en-US" w:eastAsia="zh-CN"/>
              </w:rPr>
              <w:br w:type="textWrapping"/>
            </w:r>
            <w:r>
              <w:rPr>
                <w:rFonts w:hint="eastAsia"/>
                <w:lang w:val="en-US" w:eastAsia="zh-CN"/>
              </w:rPr>
              <w:t>7、终端零售能够支持模拟习惯型、理智型、冲动型、经济型、情感型、不定型6种不同消费人群。</w:t>
            </w:r>
            <w:r>
              <w:rPr>
                <w:rFonts w:hint="eastAsia"/>
                <w:lang w:val="en-US" w:eastAsia="zh-CN"/>
              </w:rPr>
              <w:br w:type="textWrapping"/>
            </w:r>
            <w:r>
              <w:rPr>
                <w:rFonts w:hint="eastAsia"/>
                <w:lang w:val="en-US" w:eastAsia="zh-CN"/>
              </w:rPr>
              <w:t>8、针对冲动型消费人群，每个产品可增加F1-F5五种流行功能。</w:t>
            </w:r>
            <w:r>
              <w:rPr>
                <w:rFonts w:hint="eastAsia"/>
                <w:lang w:val="en-US" w:eastAsia="zh-CN"/>
              </w:rPr>
              <w:br w:type="textWrapping"/>
            </w:r>
            <w:r>
              <w:rPr>
                <w:rFonts w:hint="eastAsia"/>
                <w:lang w:val="en-US" w:eastAsia="zh-CN"/>
              </w:rPr>
              <w:t>9、软件模拟操作界面由经营状态和任务导航两部分组成。经营状态能够形象直观的显示企业的基本运营状态。任务导航采用典型工作任务驱动的方式模拟教学，而不是使用复杂的参数表、层层定义来实现各功能的模拟。</w:t>
            </w:r>
            <w:r>
              <w:rPr>
                <w:rFonts w:hint="eastAsia"/>
                <w:lang w:val="en-US" w:eastAsia="zh-CN"/>
              </w:rPr>
              <w:br w:type="textWrapping"/>
            </w:r>
            <w:r>
              <w:rPr>
                <w:rFonts w:hint="eastAsia"/>
                <w:lang w:val="en-US" w:eastAsia="zh-CN"/>
              </w:rPr>
              <w:t>10、能够支持对习惯型、理智型、冲动型、经济型、情感型、不定型6种不同终端人群的市场调研、市场分析。</w:t>
            </w:r>
            <w:r>
              <w:rPr>
                <w:rFonts w:hint="eastAsia"/>
                <w:lang w:val="en-US" w:eastAsia="zh-CN"/>
              </w:rPr>
              <w:br w:type="textWrapping"/>
            </w:r>
            <w:r>
              <w:rPr>
                <w:rFonts w:hint="eastAsia"/>
                <w:lang w:val="en-US" w:eastAsia="zh-CN"/>
              </w:rPr>
              <w:t>11、软件采用规则提醒机制，鼠标点击相应工作名称，即可自动显示规则。针对每一步重要的操作采用确认提醒机制，避免不必要失误。</w:t>
            </w:r>
            <w:r>
              <w:rPr>
                <w:rFonts w:hint="eastAsia"/>
                <w:lang w:val="en-US" w:eastAsia="zh-CN"/>
              </w:rPr>
              <w:br w:type="textWrapping"/>
            </w:r>
            <w:r>
              <w:rPr>
                <w:rFonts w:hint="eastAsia"/>
                <w:lang w:val="en-US" w:eastAsia="zh-CN"/>
              </w:rPr>
              <w:t>12、教师指导点评分析平台能够进行直销订单招标、批发订单竞标、媒体广告招标的控制。</w:t>
            </w:r>
            <w:r>
              <w:rPr>
                <w:rFonts w:hint="eastAsia"/>
                <w:lang w:val="en-US" w:eastAsia="zh-CN"/>
              </w:rPr>
              <w:br w:type="textWrapping"/>
            </w:r>
            <w:r>
              <w:rPr>
                <w:rFonts w:hint="eastAsia"/>
                <w:lang w:val="en-US" w:eastAsia="zh-CN"/>
              </w:rPr>
              <w:t>13、具有多家企业的实时经营数据分析功能，有杜邦分析等23种分析模型，方便教师分析问题，解决问题。</w:t>
            </w:r>
            <w:r>
              <w:rPr>
                <w:rFonts w:hint="eastAsia"/>
                <w:lang w:val="en-US" w:eastAsia="zh-CN"/>
              </w:rPr>
              <w:br w:type="textWrapping"/>
            </w:r>
            <w:r>
              <w:rPr>
                <w:rFonts w:hint="eastAsia"/>
                <w:lang w:val="en-US" w:eastAsia="zh-CN"/>
              </w:rPr>
              <w:t>14、具有进度监控功能，方便教师掌握各组的经营状态。</w:t>
            </w:r>
            <w:r>
              <w:rPr>
                <w:rFonts w:hint="eastAsia"/>
                <w:lang w:val="en-US" w:eastAsia="zh-CN"/>
              </w:rPr>
              <w:br w:type="textWrapping"/>
            </w:r>
            <w:r>
              <w:rPr>
                <w:rFonts w:hint="eastAsia"/>
                <w:lang w:val="en-US" w:eastAsia="zh-CN"/>
              </w:rPr>
              <w:t>15、能够灵活进行市场模型参数设置；能够灵活进行各项成本、产品、生产线、产品功能、厂房、零售商、直销大客户等运营模型参数设置功能。</w:t>
            </w:r>
            <w:r>
              <w:rPr>
                <w:rFonts w:hint="eastAsia"/>
                <w:lang w:val="en-US" w:eastAsia="zh-CN"/>
              </w:rPr>
              <w:br w:type="textWrapping"/>
            </w:r>
            <w:r>
              <w:rPr>
                <w:rFonts w:hint="eastAsia"/>
                <w:lang w:val="en-US" w:eastAsia="zh-CN"/>
              </w:rPr>
              <w:t>16、可以对项目式大客户直销、分销渠道批发、终端零售商（包含习惯型、理智型、冲动型、经济型、情感型、不定型六类人群）进行市场占有率分析。</w:t>
            </w:r>
            <w:r>
              <w:rPr>
                <w:rFonts w:hint="eastAsia"/>
                <w:lang w:val="en-US" w:eastAsia="zh-CN"/>
              </w:rPr>
              <w:br w:type="textWrapping"/>
            </w:r>
            <w:r>
              <w:rPr>
                <w:rFonts w:hint="eastAsia"/>
                <w:lang w:val="en-US" w:eastAsia="zh-CN"/>
              </w:rPr>
              <w:t>17、用户管理，可以添加或者批量添加用户，方便组织大规模的比赛和实训。</w:t>
            </w:r>
            <w:r>
              <w:rPr>
                <w:rFonts w:hint="eastAsia"/>
                <w:lang w:val="en-US" w:eastAsia="zh-CN"/>
              </w:rPr>
              <w:br w:type="textWrapping"/>
            </w:r>
            <w:r>
              <w:rPr>
                <w:rFonts w:hint="eastAsia"/>
                <w:lang w:val="en-US" w:eastAsia="zh-CN"/>
              </w:rPr>
              <w:t>18、数据备份功能帮助教师进行实验过程和实验结果的保存，促进实验教学的管理。</w:t>
            </w:r>
            <w:r>
              <w:rPr>
                <w:rFonts w:hint="eastAsia"/>
                <w:lang w:val="en-US" w:eastAsia="zh-CN"/>
              </w:rPr>
              <w:br w:type="textWrapping"/>
            </w:r>
            <w:r>
              <w:rPr>
                <w:rFonts w:hint="eastAsia"/>
                <w:lang w:val="en-US" w:eastAsia="zh-CN"/>
              </w:rPr>
              <w:t>19、数据还原功能便于教师复盘讲解，方便不同班级不同时间实验安排。</w:t>
            </w:r>
            <w:r>
              <w:rPr>
                <w:rFonts w:hint="eastAsia"/>
                <w:lang w:val="en-US" w:eastAsia="zh-CN"/>
              </w:rPr>
              <w:br w:type="textWrapping"/>
            </w:r>
            <w:r>
              <w:rPr>
                <w:rFonts w:hint="eastAsia"/>
                <w:lang w:val="en-US" w:eastAsia="zh-CN"/>
              </w:rPr>
              <w:t>20、支持在线升级及自动升级，无需进行下载升级包等繁琐的操作，一键升级。</w:t>
            </w:r>
          </w:p>
          <w:p>
            <w:pPr>
              <w:pStyle w:val="2"/>
              <w:rPr>
                <w:rFonts w:hint="default"/>
                <w:lang w:val="en-US"/>
              </w:rPr>
            </w:pPr>
            <w:r>
              <w:rPr>
                <w:rFonts w:hint="eastAsia" w:hAnsi="宋体" w:cs="宋体"/>
                <w:i w:val="0"/>
                <w:color w:val="000000"/>
                <w:kern w:val="0"/>
                <w:sz w:val="20"/>
                <w:szCs w:val="20"/>
                <w:u w:val="none"/>
                <w:lang w:val="en-US" w:eastAsia="zh-CN" w:bidi="ar"/>
              </w:rPr>
              <w:t>21、</w:t>
            </w:r>
            <w:r>
              <w:rPr>
                <w:rFonts w:hint="eastAsia" w:hAnsi="宋体" w:cs="宋体"/>
                <w:b/>
                <w:bCs/>
                <w:i w:val="0"/>
                <w:color w:val="FF0000"/>
                <w:kern w:val="0"/>
                <w:sz w:val="20"/>
                <w:szCs w:val="20"/>
                <w:u w:val="none"/>
                <w:lang w:val="en-US" w:eastAsia="zh-CN" w:bidi="ar"/>
              </w:rPr>
              <w:t>终身</w:t>
            </w:r>
            <w:r>
              <w:rPr>
                <w:rFonts w:hint="eastAsia" w:ascii="宋体" w:hAnsi="宋体" w:cs="宋体"/>
                <w:b/>
                <w:bCs/>
                <w:i w:val="0"/>
                <w:color w:val="FF0000"/>
                <w:kern w:val="0"/>
                <w:sz w:val="20"/>
                <w:szCs w:val="20"/>
                <w:u w:val="none"/>
                <w:lang w:val="en-US" w:eastAsia="zh-CN" w:bidi="ar"/>
              </w:rPr>
              <w:t>免费升级。</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1、市场营销专业《综合实训》课程使用；2、市级、省级和国家级市场营销技能大赛使用软件。</w:t>
            </w:r>
          </w:p>
        </w:tc>
      </w:tr>
      <w:tr>
        <w:tblPrEx>
          <w:tblCellMar>
            <w:top w:w="0" w:type="dxa"/>
            <w:left w:w="0" w:type="dxa"/>
            <w:bottom w:w="0" w:type="dxa"/>
            <w:right w:w="0" w:type="dxa"/>
          </w:tblCellMar>
        </w:tblPrEx>
        <w:trPr>
          <w:trHeight w:val="1492" w:hRule="atLeast"/>
        </w:trPr>
        <w:tc>
          <w:tcPr>
            <w:tcW w:w="148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8"/>
                <w:szCs w:val="28"/>
                <w:u w:val="none"/>
                <w:lang w:val="en-US" w:eastAsia="zh-CN" w:bidi="ar"/>
              </w:rPr>
              <w:t>备注：1、提供培训教材和培训计划；2、投标企业有软件开发企业的销售授权（复印件加盖公章制作于标书内）或本身即软件开发企业。</w:t>
            </w:r>
          </w:p>
        </w:tc>
      </w:tr>
    </w:tbl>
    <w:p>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pPr>
        <w:pStyle w:val="2"/>
        <w:rPr>
          <w:rFonts w:hint="eastAsia" w:ascii="宋体" w:hAnsi="宋体" w:eastAsia="宋体" w:cs="宋体"/>
          <w:b/>
          <w:i w:val="0"/>
          <w:color w:val="000000"/>
          <w:kern w:val="0"/>
          <w:sz w:val="36"/>
          <w:szCs w:val="36"/>
          <w:u w:val="none"/>
          <w:lang w:val="en-US" w:eastAsia="zh-CN" w:bidi="ar"/>
        </w:rPr>
      </w:pPr>
    </w:p>
    <w:p>
      <w:pPr>
        <w:rPr>
          <w:rFonts w:hint="eastAsia" w:ascii="宋体" w:hAnsi="宋体" w:eastAsia="宋体" w:cs="宋体"/>
          <w:b/>
          <w:i w:val="0"/>
          <w:color w:val="000000"/>
          <w:kern w:val="0"/>
          <w:sz w:val="36"/>
          <w:szCs w:val="36"/>
          <w:u w:val="none"/>
          <w:lang w:val="en-US" w:eastAsia="zh-CN" w:bidi="ar"/>
        </w:rPr>
      </w:pPr>
    </w:p>
    <w:p>
      <w:pPr>
        <w:pStyle w:val="2"/>
        <w:rPr>
          <w:rFonts w:hint="eastAsia"/>
          <w:lang w:val="en-US" w:eastAsia="zh-CN"/>
        </w:rPr>
      </w:pPr>
    </w:p>
    <w:p>
      <w:pPr>
        <w:keepNext w:val="0"/>
        <w:keepLines w:val="0"/>
        <w:widowControl/>
        <w:suppressLineNumbers w:val="0"/>
        <w:jc w:val="both"/>
        <w:textAlignment w:val="center"/>
        <w:rPr>
          <w:rFonts w:hint="eastAsia" w:ascii="宋体" w:hAnsi="宋体" w:eastAsia="宋体" w:cs="宋体"/>
          <w:b/>
          <w:i w:val="0"/>
          <w:color w:val="000000"/>
          <w:kern w:val="0"/>
          <w:sz w:val="36"/>
          <w:szCs w:val="36"/>
          <w:u w:val="none"/>
          <w:lang w:val="en-US" w:eastAsia="zh-CN" w:bidi="ar"/>
        </w:rPr>
      </w:pPr>
    </w:p>
    <w:p>
      <w:pPr>
        <w:keepNext w:val="0"/>
        <w:keepLines w:val="0"/>
        <w:widowControl/>
        <w:suppressLineNumbers w:val="0"/>
        <w:jc w:val="center"/>
        <w:textAlignment w:val="center"/>
        <w:rPr>
          <w:rFonts w:hint="default" w:ascii="宋体" w:hAnsi="宋体" w:eastAsia="宋体" w:cs="宋体"/>
          <w:b/>
          <w:i w:val="0"/>
          <w:color w:val="000000"/>
          <w:kern w:val="0"/>
          <w:sz w:val="36"/>
          <w:szCs w:val="36"/>
          <w:u w:val="none"/>
          <w:lang w:val="en-US" w:eastAsia="zh-CN" w:bidi="ar"/>
        </w:rPr>
      </w:pPr>
      <w:r>
        <w:rPr>
          <w:rFonts w:hint="eastAsia" w:ascii="宋体" w:hAnsi="宋体" w:cs="宋体"/>
          <w:b/>
          <w:i w:val="0"/>
          <w:color w:val="000000"/>
          <w:kern w:val="0"/>
          <w:sz w:val="36"/>
          <w:szCs w:val="36"/>
          <w:u w:val="none"/>
          <w:lang w:val="en-US" w:eastAsia="zh-CN" w:bidi="ar"/>
        </w:rPr>
        <w:t>2包：</w:t>
      </w:r>
      <w:r>
        <w:rPr>
          <w:rFonts w:hint="eastAsia" w:ascii="宋体" w:hAnsi="宋体" w:eastAsia="宋体" w:cs="宋体"/>
          <w:b/>
          <w:i w:val="0"/>
          <w:color w:val="000000"/>
          <w:kern w:val="0"/>
          <w:sz w:val="36"/>
          <w:szCs w:val="36"/>
          <w:u w:val="none"/>
          <w:lang w:val="en-US" w:eastAsia="zh-CN" w:bidi="ar"/>
        </w:rPr>
        <w:t>农学院软件</w:t>
      </w:r>
      <w:r>
        <w:rPr>
          <w:rFonts w:hint="eastAsia" w:ascii="宋体" w:hAnsi="宋体" w:cs="宋体"/>
          <w:b/>
          <w:i w:val="0"/>
          <w:color w:val="000000"/>
          <w:kern w:val="0"/>
          <w:sz w:val="36"/>
          <w:szCs w:val="36"/>
          <w:u w:val="none"/>
          <w:lang w:val="en-US" w:eastAsia="zh-CN" w:bidi="ar"/>
        </w:rPr>
        <w:t>采购，预算：218000元</w:t>
      </w:r>
    </w:p>
    <w:tbl>
      <w:tblPr>
        <w:tblStyle w:val="17"/>
        <w:tblW w:w="15156" w:type="dxa"/>
        <w:tblInd w:w="-1186" w:type="dxa"/>
        <w:shd w:val="clear" w:color="auto" w:fill="auto"/>
        <w:tblLayout w:type="fixed"/>
        <w:tblCellMar>
          <w:top w:w="0" w:type="dxa"/>
          <w:left w:w="0" w:type="dxa"/>
          <w:bottom w:w="0" w:type="dxa"/>
          <w:right w:w="0" w:type="dxa"/>
        </w:tblCellMar>
      </w:tblPr>
      <w:tblGrid>
        <w:gridCol w:w="756"/>
        <w:gridCol w:w="780"/>
        <w:gridCol w:w="915"/>
        <w:gridCol w:w="1140"/>
        <w:gridCol w:w="7830"/>
        <w:gridCol w:w="1815"/>
        <w:gridCol w:w="600"/>
        <w:gridCol w:w="615"/>
        <w:gridCol w:w="705"/>
      </w:tblGrid>
      <w:tr>
        <w:tblPrEx>
          <w:shd w:val="clear" w:color="auto" w:fill="auto"/>
          <w:tblCellMar>
            <w:top w:w="0" w:type="dxa"/>
            <w:left w:w="0" w:type="dxa"/>
            <w:bottom w:w="0" w:type="dxa"/>
            <w:right w:w="0" w:type="dxa"/>
          </w:tblCellMar>
        </w:tblPrEx>
        <w:trPr>
          <w:trHeight w:val="68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设备名称</w:t>
            </w:r>
          </w:p>
        </w:tc>
        <w:tc>
          <w:tcPr>
            <w:tcW w:w="11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设备参数</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用途</w:t>
            </w:r>
          </w:p>
        </w:tc>
      </w:tr>
      <w:tr>
        <w:tblPrEx>
          <w:tblCellMar>
            <w:top w:w="0" w:type="dxa"/>
            <w:left w:w="0" w:type="dxa"/>
            <w:bottom w:w="0" w:type="dxa"/>
            <w:right w:w="0" w:type="dxa"/>
          </w:tblCellMar>
        </w:tblPrEx>
        <w:trPr>
          <w:trHeight w:val="51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园林工程虚拟仿真实训软件</w:t>
            </w:r>
          </w:p>
        </w:tc>
        <w:tc>
          <w:tcPr>
            <w:tcW w:w="11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1.系统采用中国传统的园林环境为案例，通过虚拟三维仿真技术研发，真实再现了国内传统园林仿古工程的施工技术与流程。</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2.系统实现了集法规了解、工艺视频体验、操作流程剖析、现场布置认知等一系列教学点归纳，简化传统教学授课过程，使学生在游戏式体验中掌握知识、提高学习的积极性和效率</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3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3.软件采用教学和实操相结合的教学方式、围绕“课本、图纸与实际相结合”的教学思路，设计“课堂概述—施工准备—要点问答—任务提示——视频展示——课堂回顾”的六步教学方式</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55"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4.软件具备工具仓库，题目库、资料库、视频库、课堂任务、任务进度等六大知识板块，其中仓库中包括本堂任务所需要的建筑材料、建筑工具、机械设备等机具的简介。</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5.软件具备地图导航功能，方便用户了解整个园林的完整面貌，如亭台、回廊、庙堂、湖泊、拱桥、植被等元素，</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5"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6.软件采用常见的三维技术建模，通过游戏方式研发，人物可与通过W、A、S、D键实现前后左右随意漫游在场景中，了解整个园林的设计思路</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25"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7.软件施工流程可以随意跳转，方便用户选择性教学</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5"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8.软件在任务开始前，须包括园林工程所涉及到的技术交底、安全交底、资源准备等专业表格；在任务过程中，针对专业知识，软件可以提出技术解析和规范指引。</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9.软件具备语音提示和动画视频解析等功能</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0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软件模块架构</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5"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分部工程</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分项工程</w:t>
            </w:r>
          </w:p>
        </w:tc>
        <w:tc>
          <w:tcPr>
            <w:tcW w:w="7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施工流程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常用环境</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园林工程</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木花架施工</w:t>
            </w:r>
          </w:p>
        </w:tc>
        <w:tc>
          <w:tcPr>
            <w:tcW w:w="7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熟悉图纸→施工准备→放样→基槽开挖与地基处理→立柱加工制作→横梁、木架条加工制作→基础施工→安装立柱→安装横梁、木架条→防腐处理</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景观园艺</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4"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座椅组装</w:t>
            </w:r>
          </w:p>
        </w:tc>
        <w:tc>
          <w:tcPr>
            <w:tcW w:w="7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组装准备→板件归类→靠背部件组装→门字型部件组装→座椅组装→座面组装→安装检查→座椅结构设计</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室内座椅</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79"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衣柜组装</w:t>
            </w:r>
          </w:p>
        </w:tc>
        <w:tc>
          <w:tcPr>
            <w:tcW w:w="7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组装准备→板件归类→衣柜组装→抽屉组装→安装五金件→安装检查→系统相关知识→结构设计</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室内衣柜</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84"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自然驳岸施工</w:t>
            </w:r>
          </w:p>
        </w:tc>
        <w:tc>
          <w:tcPr>
            <w:tcW w:w="7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施工准备→定位放样→挖槽→夯实基础→支模板→砌筑岸墙→压防水毯→挡枪砖面装饰→湖石假山压顶→植物装饰</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景观园艺</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36"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木长廊施工</w:t>
            </w:r>
          </w:p>
        </w:tc>
        <w:tc>
          <w:tcPr>
            <w:tcW w:w="7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熟悉图纸→基础项目施工→铺装项目施工→大木加工→大木构架安装→台基及石活→坐凳、挂落制作安装→屋面工程→地仗、油饰→彩画工程</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古建筑木质廊道</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排水施工</w:t>
            </w:r>
          </w:p>
        </w:tc>
        <w:tc>
          <w:tcPr>
            <w:tcW w:w="7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施工准备→沟槽开挖与验收→管道基础→管道安装→检查井施工→排水密封试验→沟槽回填→质量验收</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PE排水管施工</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3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石拱桥施工</w:t>
            </w:r>
          </w:p>
        </w:tc>
        <w:tc>
          <w:tcPr>
            <w:tcW w:w="7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施工准备→定位放线→基坑开挖→基础施工→搭设拱架及模板→拱圈砌筑→混凝土挡墙浇筑→灰土回填夯实→砌筑砖墙→桥面铺装→栏杆及栏板安装→卸落拱架</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景观园艺</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塑山施工</w:t>
            </w:r>
          </w:p>
        </w:tc>
        <w:tc>
          <w:tcPr>
            <w:tcW w:w="7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施工准备→场地放线→挖槽→基础施工→焊接钢骨架→铺设钢丝网→双面混凝土打底→水泥底塑型→塑面→设色→养护成型</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景观园艺</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86"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现代亭</w:t>
            </w:r>
          </w:p>
        </w:tc>
        <w:tc>
          <w:tcPr>
            <w:tcW w:w="7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施工准备→定位放线</w:t>
            </w:r>
            <w:r>
              <w:rPr>
                <w:rStyle w:val="41"/>
                <w:lang w:val="en-US" w:eastAsia="zh-CN" w:bidi="ar"/>
              </w:rPr>
              <w:t>→土方开挖→垫层施工→钢筋混凝土独立基础→柱身（一）施工→地基回填、夯实→地基梁施工→柱身（二）施工→亭顶施工（一）→亭顶施工（二）→亭顶瓦铺设→地坪施工→坐凳施工→立面装饰</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景观园艺</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园林入口</w:t>
            </w:r>
          </w:p>
        </w:tc>
        <w:tc>
          <w:tcPr>
            <w:tcW w:w="7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施工准备→场地平整→基槽定位放线→基槽开挖→基坑清理→垫层浇筑→砖基础砌筑→墙体砌筑→墙体饰面→筒瓦施工</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景观园艺</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6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刚性水池施工</w:t>
            </w:r>
          </w:p>
        </w:tc>
        <w:tc>
          <w:tcPr>
            <w:tcW w:w="7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准备工作→定位放线→池基开挖→池底施工→池壁施工→试水→池壁贴面→池岸压顶→混凝土抹灰处理→水池装饰→试水→验收</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园林施工</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49"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柔性水池施工</w:t>
            </w:r>
          </w:p>
        </w:tc>
        <w:tc>
          <w:tcPr>
            <w:tcW w:w="7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施工准备→定位放线→池基开挖→池低施工→池壁施工→池岸压顶→混凝土抹灰处理→试水→水池装饰</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园林施工</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4"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园林道路施工</w:t>
            </w:r>
          </w:p>
        </w:tc>
        <w:tc>
          <w:tcPr>
            <w:tcW w:w="7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准备工作→定位放线→准备路槽→素土夯实→铺筑基层→铺筑结合层→面层的铺筑→砌筑道牙→验收</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园林施工</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4"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园林给水管施工</w:t>
            </w:r>
          </w:p>
        </w:tc>
        <w:tc>
          <w:tcPr>
            <w:tcW w:w="7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准备工作→定点放线→开挖沟槽→设置阀门井→管道安装→管道加固→水压试验→泄水试验→回填土方→验收</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园林施工</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09"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园林土方施工</w:t>
            </w:r>
          </w:p>
        </w:tc>
        <w:tc>
          <w:tcPr>
            <w:tcW w:w="7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准备工作→放线→开挖湖池→山体放线→运送土方→填压土方→验收</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园林施工</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自然山石假山施工</w:t>
            </w:r>
          </w:p>
        </w:tc>
        <w:tc>
          <w:tcPr>
            <w:tcW w:w="7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准备工作→放线→确定挖槽范围及深度→基槽开挖→基础施工→山体施工→装饰→验收</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景观园艺</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27"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信息化开放平台</w:t>
            </w:r>
          </w:p>
        </w:tc>
        <w:tc>
          <w:tcPr>
            <w:tcW w:w="11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互联网+仿真软件：软件以网页模式打开，用户可以随时随地通过在网页上输入账户和密码启动软件，软件使用对象能够以第一人称或第三人称的视角体验全三维仿真环境，体验过程中可以自主操作，自由行走，画面流畅。用户数在 50节点以上。</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8"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二、丰富的教学模式:软件必须具备“教学模式”、“学习模式”、“考核模式”三种操作模式。</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35"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三、软件界面必须包含且不局限于工具库、题目库、资料库、视频库、课堂任务等内容。</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四、软件交互设计须构筑整个节点知识的完整表达，符合循序渐进的教学理念。</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3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五、软件的后台功能应满足下列功能：</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5"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1.互动管理：对新闻、通知公告、在线咨询进行管理，具备新增、修改和删除的功能；</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2.课程管理：对系统中的课程、教师、班级之间的关系进行管理；</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2"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3.题库管理：对题目、题目类型、题目分类和难度等级进行管理；</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4.测验管理：对测验、试卷、测验类型进行管理，并提供教师试卷批阅功能；</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5.测验统计：可分专业、分班级对测验信息（参加人数、成绩、平均成绩、错误率等）进行统计分析；</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1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6.资源管理：对公共资源进行审核、删除，以及对公共资源目录进行维护，并对资源信息（资源总量、增长状况、待审资源等）进行统计；</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59"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仿真模式管理：对仿真模块的教学、学习、考核三种模式的流程节点针对的内容（课程概述、技术要点、课堂习题、实训任务、视频动画、文档资料、工具材料图片等）进行配置。资源来自公共资源和题库系统；</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34"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4"/>
              </w:numPr>
              <w:suppressLineNumbers w:val="0"/>
              <w:jc w:val="left"/>
              <w:textAlignment w:val="center"/>
              <w:rPr>
                <w:rFonts w:hint="eastAsia"/>
                <w:lang w:val="en-US" w:eastAsia="zh-CN"/>
              </w:rPr>
            </w:pPr>
            <w:r>
              <w:rPr>
                <w:rFonts w:hint="eastAsia"/>
                <w:lang w:val="en-US" w:eastAsia="zh-CN"/>
              </w:rPr>
              <w:t>系统管理：包括机构管理、人员管理、权限管理、日志管理。</w:t>
            </w:r>
          </w:p>
          <w:p>
            <w:pPr>
              <w:pStyle w:val="2"/>
              <w:rPr>
                <w:rFonts w:hint="eastAsia"/>
                <w:lang w:val="en-US" w:eastAsia="zh-CN"/>
              </w:rPr>
            </w:pPr>
          </w:p>
          <w:p>
            <w:pPr>
              <w:pStyle w:val="2"/>
              <w:numPr>
                <w:ilvl w:val="0"/>
                <w:numId w:val="0"/>
              </w:numPr>
              <w:rPr>
                <w:rFonts w:hint="eastAsia"/>
              </w:rPr>
            </w:pPr>
            <w:r>
              <w:rPr>
                <w:rFonts w:hint="eastAsia"/>
                <w:lang w:val="en-US" w:eastAsia="zh-CN"/>
              </w:rPr>
              <w:t>9、</w:t>
            </w:r>
            <w:r>
              <w:rPr>
                <w:rFonts w:hint="eastAsia"/>
                <w:lang w:eastAsia="zh-CN"/>
              </w:rPr>
              <w:t>终身提供免费软件维护升级。</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34" w:hRule="atLeast"/>
        </w:trPr>
        <w:tc>
          <w:tcPr>
            <w:tcW w:w="1515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3755"/>
              </w:tabs>
              <w:jc w:val="left"/>
              <w:rPr>
                <w:rFonts w:hint="eastAsia" w:ascii="宋体" w:hAnsi="宋体" w:eastAsia="宋体" w:cs="宋体"/>
                <w:i w:val="0"/>
                <w:color w:val="000000"/>
                <w:sz w:val="18"/>
                <w:szCs w:val="18"/>
                <w:u w:val="none"/>
                <w:lang w:eastAsia="zh-CN"/>
              </w:rPr>
            </w:pPr>
            <w:r>
              <w:rPr>
                <w:rFonts w:hint="eastAsia" w:ascii="宋体" w:hAnsi="宋体" w:cs="宋体"/>
                <w:i w:val="0"/>
                <w:color w:val="000000"/>
                <w:kern w:val="0"/>
                <w:sz w:val="28"/>
                <w:szCs w:val="28"/>
                <w:u w:val="none"/>
                <w:lang w:val="en-US" w:eastAsia="zh-CN" w:bidi="ar"/>
              </w:rPr>
              <w:t>备注：1、提供培训教材和培训计划；2、投标企业有软件开发企业的销售授权（复印件加盖公章制作于标书内）或本身即软件开发企业。</w:t>
            </w:r>
          </w:p>
        </w:tc>
      </w:tr>
    </w:tbl>
    <w:p/>
    <w:p>
      <w:pPr>
        <w:pStyle w:val="2"/>
        <w:ind w:left="0" w:leftChars="0" w:firstLine="0" w:firstLineChars="0"/>
      </w:pPr>
    </w:p>
    <w:p>
      <w:pPr>
        <w:jc w:val="center"/>
        <w:rPr>
          <w:rFonts w:hint="default" w:eastAsia="宋体"/>
          <w:b/>
          <w:bCs/>
          <w:sz w:val="36"/>
          <w:szCs w:val="36"/>
          <w:lang w:val="en-US" w:eastAsia="zh-CN"/>
        </w:rPr>
      </w:pPr>
      <w:r>
        <w:rPr>
          <w:rFonts w:hint="eastAsia"/>
          <w:b/>
          <w:bCs/>
          <w:sz w:val="36"/>
          <w:szCs w:val="36"/>
          <w:lang w:val="en-US" w:eastAsia="zh-CN"/>
        </w:rPr>
        <w:t>3包：</w:t>
      </w:r>
      <w:r>
        <w:rPr>
          <w:rFonts w:hint="eastAsia"/>
          <w:b/>
          <w:bCs/>
          <w:sz w:val="36"/>
          <w:szCs w:val="36"/>
        </w:rPr>
        <w:t>信息工程学院</w:t>
      </w:r>
      <w:r>
        <w:rPr>
          <w:rFonts w:hint="eastAsia"/>
          <w:b/>
          <w:bCs/>
          <w:sz w:val="36"/>
          <w:szCs w:val="36"/>
          <w:lang w:eastAsia="zh-CN"/>
        </w:rPr>
        <w:t>软件采购，预算：</w:t>
      </w:r>
      <w:r>
        <w:rPr>
          <w:rFonts w:hint="eastAsia"/>
          <w:b/>
          <w:bCs/>
          <w:sz w:val="36"/>
          <w:szCs w:val="36"/>
          <w:lang w:val="en-US" w:eastAsia="zh-CN"/>
        </w:rPr>
        <w:t>122000元</w:t>
      </w:r>
    </w:p>
    <w:tbl>
      <w:tblPr>
        <w:tblStyle w:val="18"/>
        <w:tblW w:w="14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1710"/>
        <w:gridCol w:w="7631"/>
        <w:gridCol w:w="1245"/>
        <w:gridCol w:w="840"/>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7" w:type="dxa"/>
            <w:vAlign w:val="center"/>
          </w:tcPr>
          <w:p>
            <w:pPr>
              <w:jc w:val="center"/>
              <w:rPr>
                <w:b/>
                <w:bCs/>
                <w:sz w:val="28"/>
                <w:szCs w:val="28"/>
              </w:rPr>
            </w:pPr>
            <w:r>
              <w:rPr>
                <w:rFonts w:hint="eastAsia"/>
                <w:b/>
                <w:bCs/>
                <w:sz w:val="28"/>
                <w:szCs w:val="28"/>
              </w:rPr>
              <w:t>序号</w:t>
            </w:r>
          </w:p>
        </w:tc>
        <w:tc>
          <w:tcPr>
            <w:tcW w:w="1710" w:type="dxa"/>
            <w:vAlign w:val="center"/>
          </w:tcPr>
          <w:p>
            <w:pPr>
              <w:jc w:val="center"/>
              <w:rPr>
                <w:b/>
                <w:bCs/>
                <w:sz w:val="28"/>
                <w:szCs w:val="28"/>
              </w:rPr>
            </w:pPr>
            <w:r>
              <w:rPr>
                <w:rFonts w:hint="eastAsia"/>
                <w:b/>
                <w:bCs/>
                <w:sz w:val="28"/>
                <w:szCs w:val="28"/>
              </w:rPr>
              <w:t>设备名称</w:t>
            </w:r>
          </w:p>
        </w:tc>
        <w:tc>
          <w:tcPr>
            <w:tcW w:w="7631" w:type="dxa"/>
            <w:vAlign w:val="center"/>
          </w:tcPr>
          <w:p>
            <w:pPr>
              <w:jc w:val="center"/>
              <w:rPr>
                <w:b/>
                <w:bCs/>
                <w:sz w:val="28"/>
                <w:szCs w:val="28"/>
              </w:rPr>
            </w:pPr>
            <w:r>
              <w:rPr>
                <w:rFonts w:hint="eastAsia"/>
                <w:b/>
                <w:bCs/>
                <w:sz w:val="28"/>
                <w:szCs w:val="28"/>
              </w:rPr>
              <w:t>产品参数</w:t>
            </w:r>
          </w:p>
        </w:tc>
        <w:tc>
          <w:tcPr>
            <w:tcW w:w="1245" w:type="dxa"/>
            <w:vAlign w:val="center"/>
          </w:tcPr>
          <w:p>
            <w:pPr>
              <w:jc w:val="center"/>
              <w:rPr>
                <w:b/>
                <w:bCs/>
                <w:sz w:val="28"/>
                <w:szCs w:val="28"/>
              </w:rPr>
            </w:pPr>
            <w:r>
              <w:rPr>
                <w:rFonts w:hint="eastAsia"/>
                <w:b/>
                <w:bCs/>
                <w:sz w:val="28"/>
                <w:szCs w:val="28"/>
              </w:rPr>
              <w:t>单位</w:t>
            </w:r>
          </w:p>
        </w:tc>
        <w:tc>
          <w:tcPr>
            <w:tcW w:w="840" w:type="dxa"/>
            <w:vAlign w:val="center"/>
          </w:tcPr>
          <w:p>
            <w:pPr>
              <w:jc w:val="center"/>
              <w:rPr>
                <w:b/>
                <w:bCs/>
                <w:sz w:val="28"/>
                <w:szCs w:val="28"/>
              </w:rPr>
            </w:pPr>
            <w:r>
              <w:rPr>
                <w:rFonts w:hint="eastAsia"/>
                <w:b/>
                <w:bCs/>
                <w:sz w:val="28"/>
                <w:szCs w:val="28"/>
              </w:rPr>
              <w:t>数量</w:t>
            </w:r>
          </w:p>
        </w:tc>
        <w:tc>
          <w:tcPr>
            <w:tcW w:w="1845" w:type="dxa"/>
            <w:vAlign w:val="center"/>
          </w:tcPr>
          <w:p>
            <w:pPr>
              <w:jc w:val="center"/>
              <w:rPr>
                <w:b/>
                <w:bCs/>
                <w:sz w:val="28"/>
                <w:szCs w:val="28"/>
              </w:rPr>
            </w:pPr>
            <w:r>
              <w:rPr>
                <w:rFonts w:hint="eastAsia"/>
                <w:b/>
                <w:bCs/>
                <w:sz w:val="28"/>
                <w:szCs w:val="28"/>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837" w:type="dxa"/>
            <w:vAlign w:val="center"/>
          </w:tcPr>
          <w:p>
            <w:pPr>
              <w:jc w:val="center"/>
              <w:rPr>
                <w:rFonts w:ascii="宋体" w:hAnsi="宋体" w:eastAsia="宋体"/>
                <w:sz w:val="24"/>
                <w:szCs w:val="24"/>
              </w:rPr>
            </w:pPr>
            <w:r>
              <w:rPr>
                <w:rFonts w:hint="eastAsia" w:ascii="宋体" w:hAnsi="宋体" w:eastAsia="宋体"/>
                <w:sz w:val="24"/>
                <w:szCs w:val="24"/>
              </w:rPr>
              <w:t>1</w:t>
            </w:r>
          </w:p>
        </w:tc>
        <w:tc>
          <w:tcPr>
            <w:tcW w:w="1710" w:type="dxa"/>
            <w:vAlign w:val="center"/>
          </w:tcPr>
          <w:p>
            <w:pPr>
              <w:jc w:val="center"/>
              <w:rPr>
                <w:rFonts w:ascii="宋体" w:hAnsi="宋体" w:eastAsia="宋体"/>
                <w:sz w:val="24"/>
                <w:szCs w:val="24"/>
              </w:rPr>
            </w:pPr>
            <w:r>
              <w:rPr>
                <w:rFonts w:hint="eastAsia" w:ascii="宋体" w:hAnsi="宋体" w:eastAsia="宋体"/>
                <w:sz w:val="24"/>
                <w:szCs w:val="24"/>
              </w:rPr>
              <w:t>物联网综合应用实训系统</w:t>
            </w:r>
          </w:p>
        </w:tc>
        <w:tc>
          <w:tcPr>
            <w:tcW w:w="7631" w:type="dxa"/>
            <w:vAlign w:val="center"/>
          </w:tcPr>
          <w:p>
            <w:pPr>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包括</w:t>
            </w:r>
            <w:r>
              <w:rPr>
                <w:rFonts w:ascii="宋体" w:hAnsi="宋体" w:eastAsia="宋体"/>
                <w:sz w:val="24"/>
                <w:szCs w:val="24"/>
              </w:rPr>
              <w:t xml:space="preserve">智能门店、智能环境及智能生产 </w:t>
            </w:r>
            <w:r>
              <w:rPr>
                <w:rFonts w:hint="eastAsia" w:ascii="宋体" w:hAnsi="宋体" w:eastAsia="宋体"/>
                <w:sz w:val="24"/>
                <w:szCs w:val="24"/>
              </w:rPr>
              <w:t>三个项目案例；</w:t>
            </w:r>
          </w:p>
          <w:p>
            <w:pPr>
              <w:rPr>
                <w:rFonts w:ascii="宋体" w:hAnsi="宋体" w:eastAsia="宋体"/>
                <w:sz w:val="24"/>
                <w:szCs w:val="24"/>
              </w:rPr>
            </w:pPr>
            <w:r>
              <w:rPr>
                <w:rFonts w:ascii="宋体" w:hAnsi="宋体" w:eastAsia="宋体"/>
                <w:sz w:val="24"/>
                <w:szCs w:val="24"/>
              </w:rPr>
              <w:t>2.开发环境</w:t>
            </w:r>
            <w:r>
              <w:rPr>
                <w:rFonts w:hint="eastAsia" w:ascii="宋体" w:hAnsi="宋体" w:eastAsia="宋体"/>
                <w:sz w:val="24"/>
                <w:szCs w:val="24"/>
              </w:rPr>
              <w:t>包括</w:t>
            </w:r>
            <w:r>
              <w:rPr>
                <w:rFonts w:ascii="宋体" w:hAnsi="宋体" w:eastAsia="宋体"/>
                <w:sz w:val="24"/>
                <w:szCs w:val="24"/>
              </w:rPr>
              <w:t>Android应用开发、.NET应用开发、嵌入式应用开发</w:t>
            </w:r>
            <w:r>
              <w:rPr>
                <w:rFonts w:hint="eastAsia" w:ascii="宋体" w:hAnsi="宋体" w:eastAsia="宋体"/>
                <w:sz w:val="24"/>
                <w:szCs w:val="24"/>
              </w:rPr>
              <w:t>；</w:t>
            </w:r>
          </w:p>
          <w:p>
            <w:pPr>
              <w:rPr>
                <w:rFonts w:hint="eastAsia"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具体实训项目包括</w:t>
            </w:r>
            <w:r>
              <w:rPr>
                <w:rFonts w:ascii="宋体" w:hAnsi="宋体" w:eastAsia="宋体"/>
                <w:sz w:val="24"/>
                <w:szCs w:val="24"/>
              </w:rPr>
              <w:t>灯光控制模块、数据采集模块、基于云平台的设备数据获取、基于云平台的设备控制、LED显示模块、人体传感数据采集、LED灯闪烁程序、无线控制灯泡</w:t>
            </w:r>
            <w:r>
              <w:rPr>
                <w:rFonts w:hint="eastAsia" w:ascii="宋体" w:hAnsi="宋体" w:eastAsia="宋体"/>
                <w:sz w:val="24"/>
                <w:szCs w:val="24"/>
              </w:rPr>
              <w:t>等。</w:t>
            </w:r>
          </w:p>
          <w:p>
            <w:pPr>
              <w:rPr>
                <w:rFonts w:hint="default" w:ascii="宋体" w:hAnsi="宋体" w:eastAsia="宋体"/>
                <w:sz w:val="24"/>
                <w:szCs w:val="24"/>
                <w:lang w:val="en-US" w:eastAsia="zh-CN"/>
              </w:rPr>
            </w:pPr>
            <w:r>
              <w:rPr>
                <w:rFonts w:hint="eastAsia"/>
                <w:sz w:val="28"/>
                <w:szCs w:val="32"/>
                <w:lang w:val="en-US" w:eastAsia="zh-CN"/>
              </w:rPr>
              <w:t>4、</w:t>
            </w:r>
            <w:r>
              <w:rPr>
                <w:rFonts w:hint="eastAsia"/>
                <w:sz w:val="28"/>
                <w:szCs w:val="32"/>
                <w:lang w:eastAsia="zh-CN"/>
              </w:rPr>
              <w:t>软件提供终身免费维护升级。</w:t>
            </w:r>
          </w:p>
        </w:tc>
        <w:tc>
          <w:tcPr>
            <w:tcW w:w="1245" w:type="dxa"/>
            <w:vAlign w:val="center"/>
          </w:tcPr>
          <w:p>
            <w:pPr>
              <w:jc w:val="center"/>
            </w:pPr>
            <w:r>
              <w:rPr>
                <w:rFonts w:hint="eastAsia"/>
              </w:rPr>
              <w:t>套</w:t>
            </w:r>
          </w:p>
        </w:tc>
        <w:tc>
          <w:tcPr>
            <w:tcW w:w="840" w:type="dxa"/>
            <w:vAlign w:val="center"/>
          </w:tcPr>
          <w:p>
            <w:pPr>
              <w:jc w:val="center"/>
            </w:pPr>
            <w:r>
              <w:rPr>
                <w:rFonts w:hint="eastAsia"/>
              </w:rPr>
              <w:t>1</w:t>
            </w:r>
          </w:p>
        </w:tc>
        <w:tc>
          <w:tcPr>
            <w:tcW w:w="1845" w:type="dxa"/>
            <w:vAlign w:val="center"/>
          </w:tcPr>
          <w:p>
            <w:pPr>
              <w:jc w:val="center"/>
            </w:pPr>
            <w:r>
              <w:rPr>
                <w:rFonts w:hint="eastAsia"/>
              </w:rPr>
              <w:t>物联网技能竞赛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7" w:type="dxa"/>
            <w:vAlign w:val="center"/>
          </w:tcPr>
          <w:p>
            <w:pPr>
              <w:jc w:val="center"/>
              <w:rPr>
                <w:rFonts w:ascii="宋体" w:hAnsi="宋体" w:eastAsia="宋体"/>
                <w:sz w:val="24"/>
                <w:szCs w:val="24"/>
              </w:rPr>
            </w:pPr>
            <w:r>
              <w:rPr>
                <w:rFonts w:hint="eastAsia" w:ascii="宋体" w:hAnsi="宋体" w:eastAsia="宋体"/>
                <w:sz w:val="24"/>
                <w:szCs w:val="24"/>
              </w:rPr>
              <w:t>2</w:t>
            </w:r>
          </w:p>
        </w:tc>
        <w:tc>
          <w:tcPr>
            <w:tcW w:w="1710" w:type="dxa"/>
            <w:vAlign w:val="center"/>
          </w:tcPr>
          <w:p>
            <w:pPr>
              <w:jc w:val="center"/>
              <w:rPr>
                <w:rFonts w:ascii="宋体" w:hAnsi="宋体" w:eastAsia="宋体"/>
                <w:sz w:val="24"/>
                <w:szCs w:val="24"/>
              </w:rPr>
            </w:pPr>
            <w:r>
              <w:rPr>
                <w:rFonts w:ascii="宋体" w:hAnsi="宋体" w:eastAsia="宋体" w:cs="宋体"/>
                <w:kern w:val="0"/>
                <w:szCs w:val="21"/>
              </w:rPr>
              <w:t>5G</w:t>
            </w:r>
            <w:r>
              <w:rPr>
                <w:rFonts w:hint="eastAsia" w:ascii="宋体" w:hAnsi="宋体" w:eastAsia="宋体" w:cs="宋体"/>
                <w:kern w:val="0"/>
                <w:szCs w:val="21"/>
              </w:rPr>
              <w:t>全网综合建设与优化</w:t>
            </w:r>
          </w:p>
        </w:tc>
        <w:tc>
          <w:tcPr>
            <w:tcW w:w="7631" w:type="dxa"/>
            <w:vAlign w:val="center"/>
          </w:tcPr>
          <w:p>
            <w:r>
              <w:rPr>
                <w:rFonts w:hint="eastAsia"/>
              </w:rPr>
              <w:t>系统功能</w:t>
            </w:r>
          </w:p>
          <w:p>
            <w:r>
              <w:rPr>
                <w:rFonts w:hint="eastAsia"/>
              </w:rPr>
              <w:t>采用C</w:t>
            </w:r>
            <w:r>
              <w:t>/S</w:t>
            </w:r>
            <w:r>
              <w:rPr>
                <w:rFonts w:hint="eastAsia"/>
              </w:rPr>
              <w:t>架构设计，可兼容X</w:t>
            </w:r>
            <w:r>
              <w:t>P</w:t>
            </w:r>
            <w:r>
              <w:rPr>
                <w:rFonts w:hint="eastAsia"/>
              </w:rPr>
              <w:t>及以上操作系统，可实现实训、竞技2种学习模式。</w:t>
            </w:r>
          </w:p>
          <w:p>
            <w:r>
              <w:rPr>
                <w:rFonts w:hint="eastAsia"/>
              </w:rPr>
              <w:t>软件支持竞技模式下在线团队合作与实训测评，支持两人及以上组队同时实训或竞技，队员之间数据实时同步。</w:t>
            </w:r>
          </w:p>
          <w:p>
            <w:r>
              <w:rPr>
                <w:rFonts w:hint="eastAsia"/>
              </w:rPr>
              <w:t>支持</w:t>
            </w:r>
            <w:r>
              <w:t>定制化</w:t>
            </w:r>
            <w:r>
              <w:rPr>
                <w:rFonts w:hint="eastAsia"/>
              </w:rPr>
              <w:t>编辑</w:t>
            </w:r>
            <w:r>
              <w:t>实训任务</w:t>
            </w:r>
            <w:r>
              <w:rPr>
                <w:rFonts w:hint="eastAsia"/>
              </w:rPr>
              <w:t>或实训案例，并在线下发至多个客户端</w:t>
            </w:r>
            <w:r>
              <w:t>。包括组建网络，规划网络，部署网络，配置网络及</w:t>
            </w:r>
            <w:r>
              <w:rPr>
                <w:rFonts w:hint="eastAsia"/>
              </w:rPr>
              <w:t>优化</w:t>
            </w:r>
            <w:r>
              <w:t>调试网络等单元。</w:t>
            </w:r>
          </w:p>
          <w:p>
            <w:r>
              <w:rPr>
                <w:rFonts w:hint="eastAsia"/>
              </w:rPr>
              <w:t>软件功能</w:t>
            </w:r>
          </w:p>
          <w:p>
            <w:r>
              <w:rPr>
                <w:rFonts w:hint="eastAsia"/>
              </w:rPr>
              <w:t>系统平台要以5</w:t>
            </w:r>
            <w:r>
              <w:t>G</w:t>
            </w:r>
            <w:r>
              <w:rPr>
                <w:rFonts w:hint="eastAsia"/>
              </w:rPr>
              <w:t>真实网络为原型进行设计，包含无线网络（N</w:t>
            </w:r>
            <w:r>
              <w:t>R</w:t>
            </w:r>
            <w:r>
              <w:rPr>
                <w:rFonts w:hint="eastAsia"/>
              </w:rPr>
              <w:t>）、无线网络（E</w:t>
            </w:r>
            <w:r>
              <w:t>UTRAN</w:t>
            </w:r>
            <w:r>
              <w:rPr>
                <w:rFonts w:hint="eastAsia"/>
              </w:rPr>
              <w:t>）、</w:t>
            </w:r>
            <w:r>
              <w:t>5G</w:t>
            </w:r>
            <w:r>
              <w:rPr>
                <w:rFonts w:hint="eastAsia"/>
              </w:rPr>
              <w:t>核心网络（5</w:t>
            </w:r>
            <w:r>
              <w:t>GC/NGC</w:t>
            </w:r>
            <w:r>
              <w:rPr>
                <w:rFonts w:hint="eastAsia"/>
              </w:rPr>
              <w:t>）</w:t>
            </w:r>
          </w:p>
          <w:p>
            <w:pPr>
              <w:rPr>
                <w:rFonts w:hint="eastAsia"/>
              </w:rPr>
            </w:pPr>
            <w:r>
              <w:rPr>
                <w:rFonts w:hint="eastAsia"/>
              </w:rPr>
              <w:t>、核心网络（E</w:t>
            </w:r>
            <w:r>
              <w:t>PC</w:t>
            </w:r>
            <w:r>
              <w:rPr>
                <w:rFonts w:hint="eastAsia"/>
              </w:rPr>
              <w:t>）、5</w:t>
            </w:r>
            <w:r>
              <w:t>G</w:t>
            </w:r>
            <w:r>
              <w:rPr>
                <w:rFonts w:hint="eastAsia"/>
              </w:rPr>
              <w:t>数据通信网络及光传输网络的5</w:t>
            </w:r>
            <w:r>
              <w:t>G</w:t>
            </w:r>
            <w:r>
              <w:rPr>
                <w:rFonts w:hint="eastAsia"/>
              </w:rPr>
              <w:t>端到端全网对接及联调。</w:t>
            </w:r>
          </w:p>
          <w:p>
            <w:r>
              <w:rPr>
                <w:rFonts w:hint="eastAsia"/>
              </w:rPr>
              <w:t>1</w:t>
            </w:r>
            <w:r>
              <w:t>.1</w:t>
            </w:r>
            <w:r>
              <w:rPr>
                <w:rFonts w:hint="eastAsia"/>
              </w:rPr>
              <w:t>支持S</w:t>
            </w:r>
            <w:r>
              <w:t>A</w:t>
            </w:r>
            <w:r>
              <w:rPr>
                <w:rFonts w:hint="eastAsia"/>
              </w:rPr>
              <w:t>与N</w:t>
            </w:r>
            <w:r>
              <w:t>SA</w:t>
            </w:r>
            <w:r>
              <w:rPr>
                <w:rFonts w:hint="eastAsia"/>
              </w:rPr>
              <w:t>两种组网模式，涵盖O</w:t>
            </w:r>
            <w:r>
              <w:t>ption3x</w:t>
            </w:r>
            <w:r>
              <w:rPr>
                <w:rFonts w:hint="eastAsia"/>
              </w:rPr>
              <w:t>、O</w:t>
            </w:r>
            <w:r>
              <w:t>ption2</w:t>
            </w:r>
            <w:r>
              <w:rPr>
                <w:rFonts w:hint="eastAsia"/>
              </w:rPr>
              <w:t>、O</w:t>
            </w:r>
            <w:r>
              <w:t>ption4a</w:t>
            </w:r>
            <w:r>
              <w:rPr>
                <w:rFonts w:hint="eastAsia"/>
              </w:rPr>
              <w:t>三种协议规定组网模型。用户可灵活进行网络选择，并根据选择完成S</w:t>
            </w:r>
            <w:r>
              <w:t>A</w:t>
            </w:r>
            <w:r>
              <w:rPr>
                <w:rFonts w:hint="eastAsia"/>
              </w:rPr>
              <w:t>或N</w:t>
            </w:r>
            <w:r>
              <w:t>SA</w:t>
            </w:r>
            <w:r>
              <w:rPr>
                <w:rFonts w:hint="eastAsia"/>
              </w:rPr>
              <w:t>端到端网络部署。</w:t>
            </w:r>
          </w:p>
          <w:p>
            <w:r>
              <w:rPr>
                <w:rFonts w:hint="eastAsia"/>
              </w:rPr>
              <w:t>1</w:t>
            </w:r>
            <w:r>
              <w:t>.2 5G NR</w:t>
            </w:r>
            <w:r>
              <w:rPr>
                <w:rFonts w:hint="eastAsia"/>
              </w:rPr>
              <w:t>部分支持C</w:t>
            </w:r>
            <w:r>
              <w:t>UDU</w:t>
            </w:r>
            <w:r>
              <w:rPr>
                <w:rFonts w:hint="eastAsia"/>
              </w:rPr>
              <w:t>分离与合设两种部署模式，</w:t>
            </w:r>
            <w:r>
              <w:t xml:space="preserve"> CU</w:t>
            </w:r>
            <w:r>
              <w:rPr>
                <w:rFonts w:hint="eastAsia"/>
              </w:rPr>
              <w:t>、D</w:t>
            </w:r>
            <w:r>
              <w:t>U</w:t>
            </w:r>
            <w:r>
              <w:rPr>
                <w:rFonts w:hint="eastAsia"/>
              </w:rPr>
              <w:t>均</w:t>
            </w:r>
            <w:r>
              <w:t>采用云化架构</w:t>
            </w:r>
            <w:r>
              <w:rPr>
                <w:rFonts w:hint="eastAsia"/>
              </w:rPr>
              <w:t>。支持C</w:t>
            </w:r>
            <w:r>
              <w:t>loud RAN</w:t>
            </w:r>
            <w:r>
              <w:rPr>
                <w:rFonts w:hint="eastAsia"/>
              </w:rPr>
              <w:t>与分布式机房两种接入机房策略，D</w:t>
            </w:r>
            <w:r>
              <w:t>U</w:t>
            </w:r>
            <w:r>
              <w:rPr>
                <w:rFonts w:hint="eastAsia"/>
              </w:rPr>
              <w:t>可进行集中化和分布式部署，无线网络支持网络切片，并支持站间X</w:t>
            </w:r>
            <w:r>
              <w:t>n</w:t>
            </w:r>
            <w:r>
              <w:rPr>
                <w:rFonts w:hint="eastAsia"/>
              </w:rPr>
              <w:t>。</w:t>
            </w:r>
          </w:p>
          <w:p>
            <w:r>
              <w:t>1.3 5G</w:t>
            </w:r>
            <w:r>
              <w:rPr>
                <w:rFonts w:hint="eastAsia"/>
              </w:rPr>
              <w:t>C核心网采用S</w:t>
            </w:r>
            <w:r>
              <w:t>BA</w:t>
            </w:r>
            <w:r>
              <w:rPr>
                <w:rFonts w:hint="eastAsia"/>
              </w:rPr>
              <w:t>服务架构，并采用N</w:t>
            </w:r>
            <w:r>
              <w:t>FV</w:t>
            </w:r>
            <w:r>
              <w:rPr>
                <w:rFonts w:hint="eastAsia"/>
              </w:rPr>
              <w:t>方式部署。支持</w:t>
            </w:r>
            <w:r>
              <w:t>AMF、SMF、UPF、UDM、AUSF、PCF、NSSF、NRF等8类基础网元功能，</w:t>
            </w:r>
            <w:r>
              <w:rPr>
                <w:rFonts w:hint="eastAsia"/>
              </w:rPr>
              <w:t>支持网络切片。</w:t>
            </w:r>
          </w:p>
          <w:p>
            <w:r>
              <w:rPr>
                <w:rFonts w:hint="eastAsia"/>
              </w:rPr>
              <w:t>1</w:t>
            </w:r>
            <w:r>
              <w:t xml:space="preserve">.4 </w:t>
            </w:r>
            <w:r>
              <w:rPr>
                <w:rFonts w:hint="eastAsia"/>
              </w:rPr>
              <w:t>E</w:t>
            </w:r>
            <w:r>
              <w:t>PC</w:t>
            </w:r>
            <w:r>
              <w:rPr>
                <w:rFonts w:hint="eastAsia"/>
              </w:rPr>
              <w:t>核心网包括M</w:t>
            </w:r>
            <w:r>
              <w:t>ME</w:t>
            </w:r>
            <w:r>
              <w:rPr>
                <w:rFonts w:hint="eastAsia"/>
              </w:rPr>
              <w:t>、S</w:t>
            </w:r>
            <w:r>
              <w:t>GW</w:t>
            </w:r>
            <w:r>
              <w:rPr>
                <w:rFonts w:hint="eastAsia"/>
              </w:rPr>
              <w:t>、P</w:t>
            </w:r>
            <w:r>
              <w:t>GW</w:t>
            </w:r>
            <w:r>
              <w:rPr>
                <w:rFonts w:hint="eastAsia"/>
              </w:rPr>
              <w:t>、H</w:t>
            </w:r>
            <w:r>
              <w:t>SS</w:t>
            </w:r>
            <w:r>
              <w:rPr>
                <w:rFonts w:hint="eastAsia"/>
              </w:rPr>
              <w:t>、S</w:t>
            </w:r>
            <w:r>
              <w:t>W</w:t>
            </w:r>
            <w:r>
              <w:rPr>
                <w:rFonts w:hint="eastAsia"/>
              </w:rPr>
              <w:t>，E</w:t>
            </w:r>
            <w:r>
              <w:t>UTRAN</w:t>
            </w:r>
            <w:r>
              <w:rPr>
                <w:rFonts w:hint="eastAsia"/>
              </w:rPr>
              <w:t>无线部分包括</w:t>
            </w:r>
            <w:r>
              <w:t>BBU</w:t>
            </w:r>
            <w:r>
              <w:rPr>
                <w:rFonts w:hint="eastAsia"/>
              </w:rPr>
              <w:t>、R</w:t>
            </w:r>
            <w:r>
              <w:t>RU</w:t>
            </w:r>
            <w:r>
              <w:rPr>
                <w:rFonts w:hint="eastAsia"/>
              </w:rPr>
              <w:t>、A</w:t>
            </w:r>
            <w:r>
              <w:t>NT</w:t>
            </w:r>
            <w:r>
              <w:rPr>
                <w:rFonts w:hint="eastAsia"/>
              </w:rPr>
              <w:t>、G</w:t>
            </w:r>
            <w:r>
              <w:t>PS</w:t>
            </w:r>
            <w:r>
              <w:rPr>
                <w:rFonts w:hint="eastAsia"/>
              </w:rPr>
              <w:t>，可采用B</w:t>
            </w:r>
            <w:r>
              <w:t>BU</w:t>
            </w:r>
            <w:r>
              <w:rPr>
                <w:rFonts w:hint="eastAsia"/>
              </w:rPr>
              <w:t>池集中配置。</w:t>
            </w:r>
          </w:p>
          <w:p>
            <w:r>
              <w:rPr>
                <w:rFonts w:hint="eastAsia"/>
              </w:rPr>
              <w:t>1</w:t>
            </w:r>
            <w:r>
              <w:t>.5</w:t>
            </w:r>
            <w:r>
              <w:rPr>
                <w:rFonts w:hint="eastAsia"/>
              </w:rPr>
              <w:t>支持双连接，包含E</w:t>
            </w:r>
            <w:r>
              <w:t>N-DC</w:t>
            </w:r>
            <w:r>
              <w:rPr>
                <w:rFonts w:hint="eastAsia"/>
              </w:rPr>
              <w:t>、N</w:t>
            </w:r>
            <w:r>
              <w:t>E-DC</w:t>
            </w:r>
            <w:r>
              <w:rPr>
                <w:rFonts w:hint="eastAsia"/>
              </w:rPr>
              <w:t>两种双连接测量，支持无线站点X</w:t>
            </w:r>
            <w:r>
              <w:t>2</w:t>
            </w:r>
            <w:r>
              <w:rPr>
                <w:rFonts w:hint="eastAsia"/>
              </w:rPr>
              <w:t>连接。</w:t>
            </w:r>
          </w:p>
          <w:p>
            <w:pPr>
              <w:rPr>
                <w:rFonts w:hint="eastAsia"/>
              </w:rPr>
            </w:pPr>
          </w:p>
          <w:p>
            <w:r>
              <w:t xml:space="preserve">1.6 </w:t>
            </w:r>
            <w:r>
              <w:rPr>
                <w:rFonts w:hint="eastAsia"/>
              </w:rPr>
              <w:t>承载网包含IP承载网及光传输网络。IP承载网包括SPN、三层交换机、路由器等设备，最大系统吞吐量</w:t>
            </w:r>
            <w:r>
              <w:t>16Tbps</w:t>
            </w:r>
            <w:r>
              <w:rPr>
                <w:rFonts w:hint="eastAsia"/>
              </w:rPr>
              <w:t>，最多支持</w:t>
            </w:r>
            <w:r>
              <w:t>16</w:t>
            </w:r>
            <w:r>
              <w:rPr>
                <w:rFonts w:hint="eastAsia"/>
              </w:rPr>
              <w:t>块高速线卡，支持4</w:t>
            </w:r>
            <w:r>
              <w:t>00GE/10</w:t>
            </w:r>
            <w:r>
              <w:rPr>
                <w:rFonts w:hint="eastAsia"/>
              </w:rPr>
              <w:t>0</w:t>
            </w:r>
            <w:r>
              <w:t>GE/</w:t>
            </w:r>
            <w:r>
              <w:rPr>
                <w:rFonts w:hint="eastAsia"/>
              </w:rPr>
              <w:t>25GE等5G主流速率接口，支持网络切片。光传输网络包含</w:t>
            </w:r>
            <w:r>
              <w:t>OTN</w:t>
            </w:r>
            <w:r>
              <w:rPr>
                <w:rFonts w:hint="eastAsia"/>
              </w:rPr>
              <w:t>网元。</w:t>
            </w:r>
            <w:r>
              <w:t>OTN</w:t>
            </w:r>
            <w:r>
              <w:rPr>
                <w:rFonts w:hint="eastAsia"/>
              </w:rPr>
              <w:t>支持</w:t>
            </w:r>
            <w:r>
              <w:t>4</w:t>
            </w:r>
            <w:r>
              <w:rPr>
                <w:rFonts w:hint="eastAsia"/>
              </w:rPr>
              <w:t>组合波分波系统，支持400G/100</w:t>
            </w:r>
            <w:r>
              <w:t>G/</w:t>
            </w:r>
            <w:r>
              <w:rPr>
                <w:rFonts w:hint="eastAsia"/>
              </w:rPr>
              <w:t>4</w:t>
            </w:r>
            <w:r>
              <w:t>0G</w:t>
            </w:r>
            <w:r>
              <w:rPr>
                <w:rFonts w:hint="eastAsia"/>
              </w:rPr>
              <w:t>/10G OTN帧复用与解复用。同时接入侧支持多种前传网络技术。</w:t>
            </w:r>
          </w:p>
          <w:p>
            <w:r>
              <w:t>2</w:t>
            </w:r>
            <w:r>
              <w:rPr>
                <w:rFonts w:hint="eastAsia"/>
              </w:rPr>
              <w:t>、支持</w:t>
            </w:r>
            <w:r>
              <w:t>GUI</w:t>
            </w:r>
            <w:r>
              <w:rPr>
                <w:rFonts w:hint="eastAsia"/>
              </w:rPr>
              <w:t>图形化操作界面，支持实训和竞技功能，人机界面友好，便于教学、自学。</w:t>
            </w:r>
          </w:p>
          <w:p>
            <w:r>
              <w:t xml:space="preserve">2.1 </w:t>
            </w:r>
            <w:r>
              <w:rPr>
                <w:rFonts w:hint="eastAsia"/>
              </w:rPr>
              <w:t>系统设计参照</w:t>
            </w:r>
            <w:r>
              <w:t>5G</w:t>
            </w:r>
            <w:r>
              <w:rPr>
                <w:rFonts w:hint="eastAsia"/>
              </w:rPr>
              <w:t>网络设计，任务过程需与实际情形一致。</w:t>
            </w:r>
          </w:p>
          <w:p>
            <w:r>
              <w:t xml:space="preserve">2.2 </w:t>
            </w:r>
            <w:r>
              <w:rPr>
                <w:rFonts w:hint="eastAsia"/>
              </w:rPr>
              <w:t>界面以真实工作场景为原型，便于教学、自学。</w:t>
            </w:r>
          </w:p>
          <w:p>
            <w:r>
              <w:t>3</w:t>
            </w:r>
            <w:r>
              <w:rPr>
                <w:rFonts w:hint="eastAsia"/>
              </w:rPr>
              <w:t>、支持网络拓扑规划功能：可根据任务描述，进行5</w:t>
            </w:r>
            <w:r>
              <w:t xml:space="preserve">G </w:t>
            </w:r>
            <w:r>
              <w:rPr>
                <w:rFonts w:hint="eastAsia"/>
              </w:rPr>
              <w:t>S</w:t>
            </w:r>
            <w:r>
              <w:t>A</w:t>
            </w:r>
            <w:r>
              <w:rPr>
                <w:rFonts w:hint="eastAsia"/>
              </w:rPr>
              <w:t>或N</w:t>
            </w:r>
            <w:r>
              <w:t>SA</w:t>
            </w:r>
            <w:r>
              <w:rPr>
                <w:rFonts w:hint="eastAsia"/>
              </w:rPr>
              <w:t>网络拓扑规划。</w:t>
            </w:r>
          </w:p>
          <w:p>
            <w:r>
              <w:t xml:space="preserve">3.1 </w:t>
            </w:r>
            <w:r>
              <w:rPr>
                <w:rFonts w:hint="eastAsia"/>
              </w:rPr>
              <w:t>能通过网元部署及连线完成5</w:t>
            </w:r>
            <w:r>
              <w:t>G</w:t>
            </w:r>
            <w:r>
              <w:rPr>
                <w:rFonts w:hint="eastAsia"/>
              </w:rPr>
              <w:t>核心网8种网元功能及承载网规划拓扑设计。</w:t>
            </w:r>
          </w:p>
          <w:p>
            <w:r>
              <w:t>4</w:t>
            </w:r>
            <w:r>
              <w:rPr>
                <w:rFonts w:hint="eastAsia"/>
              </w:rPr>
              <w:t>、支持网络规划功能。用户可在网络规划阶段选择N</w:t>
            </w:r>
            <w:r>
              <w:t>SA</w:t>
            </w:r>
            <w:r>
              <w:rPr>
                <w:rFonts w:hint="eastAsia"/>
              </w:rPr>
              <w:t>或S</w:t>
            </w:r>
            <w:r>
              <w:t>A</w:t>
            </w:r>
            <w:r>
              <w:rPr>
                <w:rFonts w:hint="eastAsia"/>
              </w:rPr>
              <w:t>组网。</w:t>
            </w:r>
          </w:p>
          <w:p>
            <w:r>
              <w:rPr>
                <w:rFonts w:hint="eastAsia"/>
                <w:lang w:val="zh-CN"/>
              </w:rPr>
              <w:t>4</w:t>
            </w:r>
            <w:r>
              <w:rPr>
                <w:lang w:val="zh-CN"/>
              </w:rPr>
              <w:t>.1</w:t>
            </w:r>
            <w:r>
              <w:rPr>
                <w:rFonts w:hint="eastAsia"/>
              </w:rPr>
              <w:t>无线网络规划包含三种城市三个场景模型，分别为郊区、核心城区、住宅区，计算需包括覆盖链路预算、5</w:t>
            </w:r>
            <w:r>
              <w:t>G</w:t>
            </w:r>
            <w:r>
              <w:rPr>
                <w:rFonts w:hint="eastAsia"/>
              </w:rPr>
              <w:t>速率计算、无线综合规划、站点选址以及输出报告等操作步骤与内容。</w:t>
            </w:r>
          </w:p>
          <w:p>
            <w:r>
              <w:t>4.2</w:t>
            </w:r>
            <w:r>
              <w:rPr>
                <w:rFonts w:hint="eastAsia"/>
              </w:rPr>
              <w:t>承载网规划包括承载接入环带宽与设备数量计算、汇聚环带宽与设备数量计算、骨干汇聚点带宽与设备数量计算、核心层带宽与设备数量计算。</w:t>
            </w:r>
          </w:p>
          <w:p>
            <w:r>
              <w:t>4.3</w:t>
            </w:r>
            <w:r>
              <w:rPr>
                <w:rFonts w:hint="eastAsia"/>
              </w:rPr>
              <w:t>核心网容量规划包含控制面接口容量计算与用户面接口容量计算。</w:t>
            </w:r>
          </w:p>
          <w:p>
            <w:r>
              <w:rPr>
                <w:rFonts w:hint="eastAsia"/>
              </w:rPr>
              <w:t>4</w:t>
            </w:r>
            <w:r>
              <w:t>.4</w:t>
            </w:r>
            <w:r>
              <w:rPr>
                <w:rFonts w:hint="eastAsia"/>
              </w:rPr>
              <w:t>站点选址包括三个城市三类典型场景，提供美化树、楼顶铁塔、管塔等多种站型选择，并可完成站点扇区方位角、下倾角、站高等工程参数配置。</w:t>
            </w:r>
          </w:p>
          <w:p>
            <w:r>
              <w:t>5</w:t>
            </w:r>
            <w:r>
              <w:rPr>
                <w:rFonts w:hint="eastAsia"/>
              </w:rPr>
              <w:t>、支持硬件配置功能：可根据任务描述，完成设备的型号选择、布放、线缆连线等任务。</w:t>
            </w:r>
          </w:p>
          <w:p>
            <w:r>
              <w:t xml:space="preserve">5.1 </w:t>
            </w:r>
            <w:r>
              <w:rPr>
                <w:rFonts w:hint="eastAsia"/>
              </w:rPr>
              <w:t>无线接入网机房包括接入站点机房、C</w:t>
            </w:r>
            <w:r>
              <w:t>U</w:t>
            </w:r>
            <w:r>
              <w:rPr>
                <w:rFonts w:hint="eastAsia"/>
              </w:rPr>
              <w:t>机房，可完成机房内C</w:t>
            </w:r>
            <w:r>
              <w:t>U</w:t>
            </w:r>
            <w:r>
              <w:rPr>
                <w:rFonts w:hint="eastAsia"/>
              </w:rPr>
              <w:t>、D</w:t>
            </w:r>
            <w:r>
              <w:t>U</w:t>
            </w:r>
            <w:r>
              <w:rPr>
                <w:rFonts w:hint="eastAsia"/>
              </w:rPr>
              <w:t>、（I</w:t>
            </w:r>
            <w:r>
              <w:t>T</w:t>
            </w:r>
            <w:r>
              <w:rPr>
                <w:rFonts w:hint="eastAsia"/>
              </w:rPr>
              <w:t>）B</w:t>
            </w:r>
            <w:r>
              <w:t>BU</w:t>
            </w:r>
            <w:r>
              <w:rPr>
                <w:rFonts w:hint="eastAsia"/>
              </w:rPr>
              <w:t>部署，塔顶A</w:t>
            </w:r>
            <w:r>
              <w:t>AU</w:t>
            </w:r>
            <w:r>
              <w:rPr>
                <w:rFonts w:hint="eastAsia"/>
              </w:rPr>
              <w:t>、天线、R</w:t>
            </w:r>
            <w:r>
              <w:t>RU</w:t>
            </w:r>
            <w:r>
              <w:rPr>
                <w:rFonts w:hint="eastAsia"/>
              </w:rPr>
              <w:t>布局，机房外G</w:t>
            </w:r>
            <w:r>
              <w:t>PS</w:t>
            </w:r>
            <w:r>
              <w:rPr>
                <w:rFonts w:hint="eastAsia"/>
              </w:rPr>
              <w:t>部署以及网元线缆连接等步骤。C</w:t>
            </w:r>
            <w:r>
              <w:t>U</w:t>
            </w:r>
            <w:r>
              <w:rPr>
                <w:rFonts w:hint="eastAsia"/>
              </w:rPr>
              <w:t>与D</w:t>
            </w:r>
            <w:r>
              <w:t>U</w:t>
            </w:r>
            <w:r>
              <w:rPr>
                <w:rFonts w:hint="eastAsia"/>
              </w:rPr>
              <w:t>采用通用虚拟化设备。支持A</w:t>
            </w:r>
            <w:r>
              <w:t>AU</w:t>
            </w:r>
            <w:r>
              <w:rPr>
                <w:rFonts w:hint="eastAsia"/>
              </w:rPr>
              <w:t>、R</w:t>
            </w:r>
            <w:r>
              <w:t>RU</w:t>
            </w:r>
            <w:r>
              <w:rPr>
                <w:rFonts w:hint="eastAsia"/>
              </w:rPr>
              <w:t>拉远配置，支持C</w:t>
            </w:r>
            <w:r>
              <w:t>RAN</w:t>
            </w:r>
            <w:r>
              <w:rPr>
                <w:rFonts w:hint="eastAsia"/>
              </w:rPr>
              <w:t>模式</w:t>
            </w:r>
            <w:r>
              <w:t>DU</w:t>
            </w:r>
            <w:r>
              <w:rPr>
                <w:rFonts w:hint="eastAsia"/>
              </w:rPr>
              <w:t>或B</w:t>
            </w:r>
            <w:r>
              <w:t>BU</w:t>
            </w:r>
            <w:r>
              <w:rPr>
                <w:rFonts w:hint="eastAsia"/>
              </w:rPr>
              <w:t>集中化部署。线缆包括</w:t>
            </w:r>
            <w:r>
              <w:t>LC-LC</w:t>
            </w:r>
            <w:r>
              <w:rPr>
                <w:rFonts w:hint="eastAsia"/>
              </w:rPr>
              <w:t>光纤、</w:t>
            </w:r>
            <w:r>
              <w:t>LC-FC</w:t>
            </w:r>
            <w:r>
              <w:rPr>
                <w:rFonts w:hint="eastAsia"/>
              </w:rPr>
              <w:t>光纤、以太网线、天线跳线及</w:t>
            </w:r>
            <w:r>
              <w:t>GPS</w:t>
            </w:r>
            <w:r>
              <w:rPr>
                <w:rFonts w:hint="eastAsia"/>
              </w:rPr>
              <w:t>馈线。</w:t>
            </w:r>
          </w:p>
          <w:p>
            <w:r>
              <w:t xml:space="preserve">5.2 </w:t>
            </w:r>
            <w:r>
              <w:rPr>
                <w:rFonts w:hint="eastAsia"/>
              </w:rPr>
              <w:t>承载网机房硬件配置，可完成</w:t>
            </w:r>
            <w:r>
              <w:t>IP</w:t>
            </w:r>
            <w:r>
              <w:rPr>
                <w:rFonts w:hint="eastAsia"/>
              </w:rPr>
              <w:t>承载设备和光传输设备在机房内部署，同时可完成设备之间、设备与</w:t>
            </w:r>
            <w:r>
              <w:t>ODF</w:t>
            </w:r>
            <w:r>
              <w:rPr>
                <w:rFonts w:hint="eastAsia"/>
              </w:rPr>
              <w:t>架之间的连线操作。承载设备包括S</w:t>
            </w:r>
            <w:r>
              <w:t>W</w:t>
            </w:r>
            <w:r>
              <w:rPr>
                <w:rFonts w:hint="eastAsia"/>
              </w:rPr>
              <w:t>、S</w:t>
            </w:r>
            <w:r>
              <w:t>PN</w:t>
            </w:r>
            <w:r>
              <w:rPr>
                <w:rFonts w:hint="eastAsia"/>
              </w:rPr>
              <w:t>、O</w:t>
            </w:r>
            <w:r>
              <w:t>TN</w:t>
            </w:r>
            <w:r>
              <w:rPr>
                <w:rFonts w:hint="eastAsia"/>
              </w:rPr>
              <w:t>、R</w:t>
            </w:r>
            <w:r>
              <w:t>T</w:t>
            </w:r>
            <w:r>
              <w:rPr>
                <w:rFonts w:hint="eastAsia"/>
              </w:rPr>
              <w:t>，线缆类型包括</w:t>
            </w:r>
            <w:r>
              <w:t>LC-LC</w:t>
            </w:r>
            <w:r>
              <w:rPr>
                <w:rFonts w:hint="eastAsia"/>
              </w:rPr>
              <w:t>光纤、</w:t>
            </w:r>
            <w:r>
              <w:t>LC-FC</w:t>
            </w:r>
            <w:r>
              <w:rPr>
                <w:rFonts w:hint="eastAsia"/>
              </w:rPr>
              <w:t>光纤及以太网线。</w:t>
            </w:r>
          </w:p>
          <w:p>
            <w:r>
              <w:t xml:space="preserve">5.3 </w:t>
            </w:r>
            <w:r>
              <w:rPr>
                <w:rFonts w:hint="eastAsia"/>
              </w:rPr>
              <w:t>核心网机房硬件配置，可完成设备部署以及核心网设备的线缆连接。核心网设备支持EPC设备和通用虚拟化服务器，线缆类型包括</w:t>
            </w:r>
            <w:r>
              <w:t>LC-LC</w:t>
            </w:r>
            <w:r>
              <w:rPr>
                <w:rFonts w:hint="eastAsia"/>
              </w:rPr>
              <w:t>光纤、</w:t>
            </w:r>
            <w:r>
              <w:t>LC-FC</w:t>
            </w:r>
            <w:r>
              <w:rPr>
                <w:rFonts w:hint="eastAsia"/>
              </w:rPr>
              <w:t>光纤及以太网线。</w:t>
            </w:r>
          </w:p>
          <w:p>
            <w:r>
              <w:t>6</w:t>
            </w:r>
            <w:r>
              <w:rPr>
                <w:rFonts w:hint="eastAsia"/>
              </w:rPr>
              <w:t>、支持数据配置功能：在虚拟平台上完成数据调试及业务开通操作。</w:t>
            </w:r>
          </w:p>
          <w:p>
            <w:r>
              <w:t>6.1</w:t>
            </w:r>
            <w:r>
              <w:rPr>
                <w:rFonts w:hint="eastAsia"/>
              </w:rPr>
              <w:t>无线接入网能够完成包括传输网络配置、</w:t>
            </w:r>
            <w:r>
              <w:t>gNB功能配置</w:t>
            </w:r>
            <w:r>
              <w:rPr>
                <w:rFonts w:hint="eastAsia"/>
              </w:rPr>
              <w:t>、C</w:t>
            </w:r>
            <w:r>
              <w:t>U</w:t>
            </w:r>
            <w:r>
              <w:rPr>
                <w:rFonts w:hint="eastAsia"/>
              </w:rPr>
              <w:t>小区配置、D</w:t>
            </w:r>
            <w:r>
              <w:t>U</w:t>
            </w:r>
            <w:r>
              <w:rPr>
                <w:rFonts w:hint="eastAsia"/>
              </w:rPr>
              <w:t>小区配置、邻区配置、测量配置、重选配置、移动性管理配置、N</w:t>
            </w:r>
            <w:r>
              <w:t>R-EUTRAN</w:t>
            </w:r>
            <w:r>
              <w:rPr>
                <w:rFonts w:hint="eastAsia"/>
              </w:rPr>
              <w:t>双连接配置、M</w:t>
            </w:r>
            <w:r>
              <w:t>IMO</w:t>
            </w:r>
            <w:r>
              <w:rPr>
                <w:rFonts w:hint="eastAsia"/>
              </w:rPr>
              <w:t>配置、负载均衡配置、C</w:t>
            </w:r>
            <w:r>
              <w:t>A</w:t>
            </w:r>
            <w:r>
              <w:rPr>
                <w:rFonts w:hint="eastAsia"/>
              </w:rPr>
              <w:t>配置、S</w:t>
            </w:r>
            <w:r>
              <w:t>SB</w:t>
            </w:r>
            <w:r>
              <w:rPr>
                <w:rFonts w:hint="eastAsia"/>
              </w:rPr>
              <w:t>波束配置、动态波束权值配置、定时器配置、网络切片配置等。</w:t>
            </w:r>
          </w:p>
          <w:p>
            <w:r>
              <w:t xml:space="preserve">6.2 </w:t>
            </w:r>
            <w:r>
              <w:rPr>
                <w:rFonts w:hint="eastAsia"/>
              </w:rPr>
              <w:t>承载网业务开通需包括</w:t>
            </w:r>
            <w:r>
              <w:t>IP</w:t>
            </w:r>
            <w:r>
              <w:rPr>
                <w:rFonts w:hint="eastAsia"/>
              </w:rPr>
              <w:t>承载和光传输两部分。</w:t>
            </w:r>
            <w:r>
              <w:t>IP</w:t>
            </w:r>
            <w:r>
              <w:rPr>
                <w:rFonts w:hint="eastAsia"/>
              </w:rPr>
              <w:t>承载设备需支持</w:t>
            </w:r>
            <w:r>
              <w:t>IP</w:t>
            </w:r>
            <w:r>
              <w:rPr>
                <w:rFonts w:hint="eastAsia"/>
              </w:rPr>
              <w:t>地址、路由等规划配置、F</w:t>
            </w:r>
            <w:r>
              <w:t>lexE切片</w:t>
            </w:r>
            <w:r>
              <w:rPr>
                <w:rFonts w:hint="eastAsia"/>
              </w:rPr>
              <w:t>/</w:t>
            </w:r>
            <w:r>
              <w:t>聚合</w:t>
            </w:r>
            <w:r>
              <w:rPr>
                <w:rFonts w:hint="eastAsia"/>
              </w:rPr>
              <w:t>/交叉配置、前传网络配置，光传输设备需支持电交叉、频率等规划与配置。</w:t>
            </w:r>
            <w:r>
              <w:t xml:space="preserve">               </w:t>
            </w:r>
          </w:p>
          <w:p>
            <w:pPr>
              <w:rPr>
                <w:rFonts w:hint="eastAsia"/>
              </w:rPr>
            </w:pPr>
            <w:r>
              <w:t>6.3</w:t>
            </w:r>
            <w:r>
              <w:rPr>
                <w:rFonts w:hint="eastAsia"/>
              </w:rPr>
              <w:t>支持5</w:t>
            </w:r>
            <w:r>
              <w:t>GC</w:t>
            </w:r>
            <w:r>
              <w:rPr>
                <w:rFonts w:hint="eastAsia"/>
              </w:rPr>
              <w:t>核心网NF包括AMF、SMF、AUSF、UPF、PCF、NSSF、UDM、NRF数据配置和业务开通操作，需包括基本配置、对接配置、业务配置、放号配置。支持E</w:t>
            </w:r>
            <w:r>
              <w:t>PC</w:t>
            </w:r>
            <w:r>
              <w:rPr>
                <w:rFonts w:hint="eastAsia"/>
              </w:rPr>
              <w:t>核心网网元包括M</w:t>
            </w:r>
            <w:r>
              <w:t>ME</w:t>
            </w:r>
            <w:r>
              <w:rPr>
                <w:rFonts w:hint="eastAsia"/>
              </w:rPr>
              <w:t>、S</w:t>
            </w:r>
            <w:r>
              <w:t>GW</w:t>
            </w:r>
            <w:r>
              <w:rPr>
                <w:rFonts w:hint="eastAsia"/>
              </w:rPr>
              <w:t>、P</w:t>
            </w:r>
            <w:r>
              <w:t>GW</w:t>
            </w:r>
            <w:r>
              <w:rPr>
                <w:rFonts w:hint="eastAsia"/>
              </w:rPr>
              <w:t>、H</w:t>
            </w:r>
            <w:r>
              <w:t>SS</w:t>
            </w:r>
            <w:r>
              <w:rPr>
                <w:rFonts w:hint="eastAsia"/>
              </w:rPr>
              <w:t>数据配置和业务开通，包括各网元的I</w:t>
            </w:r>
            <w:r>
              <w:t>P</w:t>
            </w:r>
            <w:r>
              <w:rPr>
                <w:rFonts w:hint="eastAsia"/>
              </w:rPr>
              <w:t>对接配置、业务配置、放号配置等。</w:t>
            </w:r>
          </w:p>
          <w:p>
            <w:r>
              <w:t xml:space="preserve"> 7</w:t>
            </w:r>
            <w:r>
              <w:rPr>
                <w:rFonts w:hint="eastAsia"/>
              </w:rPr>
              <w:t>、支持业务调试功能，可根据任务需求，在虚拟平台上完成I</w:t>
            </w:r>
            <w:r>
              <w:t>P</w:t>
            </w:r>
            <w:r>
              <w:rPr>
                <w:rFonts w:hint="eastAsia"/>
              </w:rPr>
              <w:t>链路调试及网络优化，以保证网络的正常运行。</w:t>
            </w:r>
          </w:p>
          <w:p>
            <w:r>
              <w:t xml:space="preserve">7.1 </w:t>
            </w:r>
            <w:r>
              <w:rPr>
                <w:rFonts w:hint="eastAsia"/>
              </w:rPr>
              <w:t>可通过告警、P</w:t>
            </w:r>
            <w:r>
              <w:t>ing</w:t>
            </w:r>
            <w:r>
              <w:rPr>
                <w:rFonts w:hint="eastAsia"/>
              </w:rPr>
              <w:t>、T</w:t>
            </w:r>
            <w:r>
              <w:t>race</w:t>
            </w:r>
            <w:r>
              <w:rPr>
                <w:rFonts w:hint="eastAsia"/>
              </w:rPr>
              <w:t>、光路检测、路由表等链路工具，完成基本承载链路调试及故障处理。</w:t>
            </w:r>
          </w:p>
          <w:p>
            <w:r>
              <w:rPr>
                <w:rFonts w:hint="eastAsia"/>
              </w:rPr>
              <w:t>7</w:t>
            </w:r>
            <w:r>
              <w:t>.4</w:t>
            </w:r>
            <w:r>
              <w:rPr>
                <w:rFonts w:hint="eastAsia"/>
              </w:rPr>
              <w:t>网络优化部分按难度递进包含基础优化、进阶优化、5</w:t>
            </w:r>
            <w:r>
              <w:t>G</w:t>
            </w:r>
            <w:r>
              <w:rPr>
                <w:rFonts w:hint="eastAsia"/>
              </w:rPr>
              <w:t>新技术三个层级的优化内容。涵盖了语音、数据两大业务类型，可分为空载、V</w:t>
            </w:r>
            <w:r>
              <w:t>oNR</w:t>
            </w:r>
            <w:r>
              <w:rPr>
                <w:rFonts w:hint="eastAsia"/>
              </w:rPr>
              <w:t>、F</w:t>
            </w:r>
            <w:r>
              <w:t>TP</w:t>
            </w:r>
            <w:r>
              <w:rPr>
                <w:rFonts w:hint="eastAsia"/>
              </w:rPr>
              <w:t>上传下载、H</w:t>
            </w:r>
            <w:r>
              <w:t>TTP</w:t>
            </w:r>
            <w:r>
              <w:rPr>
                <w:rFonts w:hint="eastAsia"/>
              </w:rPr>
              <w:t>、视频等业务。所有业务均支持定点C</w:t>
            </w:r>
            <w:r>
              <w:t>QT</w:t>
            </w:r>
            <w:r>
              <w:rPr>
                <w:rFonts w:hint="eastAsia"/>
              </w:rPr>
              <w:t>测试、D</w:t>
            </w:r>
            <w:r>
              <w:t>T</w:t>
            </w:r>
            <w:r>
              <w:rPr>
                <w:rFonts w:hint="eastAsia"/>
              </w:rPr>
              <w:t>测试，测试过程中支持R</w:t>
            </w:r>
            <w:r>
              <w:t>SRP</w:t>
            </w:r>
            <w:r>
              <w:rPr>
                <w:rFonts w:hint="eastAsia"/>
              </w:rPr>
              <w:t>、S</w:t>
            </w:r>
            <w:r>
              <w:t>INR</w:t>
            </w:r>
            <w:r>
              <w:rPr>
                <w:rFonts w:hint="eastAsia"/>
              </w:rPr>
              <w:t>、速率、时延、丢包、M</w:t>
            </w:r>
            <w:r>
              <w:t>OS</w:t>
            </w:r>
            <w:r>
              <w:rPr>
                <w:rFonts w:hint="eastAsia"/>
              </w:rPr>
              <w:t>等参数实时反馈。网络优化D</w:t>
            </w:r>
            <w:r>
              <w:t>T</w:t>
            </w:r>
            <w:r>
              <w:rPr>
                <w:rFonts w:hint="eastAsia"/>
              </w:rPr>
              <w:t>测试下业务验证支持切换、重选、漫游测试。5</w:t>
            </w:r>
            <w:r>
              <w:t>G</w:t>
            </w:r>
            <w:r>
              <w:rPr>
                <w:rFonts w:hint="eastAsia"/>
              </w:rPr>
              <w:t>新技术包含M</w:t>
            </w:r>
            <w:r>
              <w:t>IMO</w:t>
            </w:r>
            <w:r>
              <w:rPr>
                <w:rFonts w:hint="eastAsia"/>
              </w:rPr>
              <w:t>、C</w:t>
            </w:r>
            <w:r>
              <w:t>A</w:t>
            </w:r>
            <w:r>
              <w:rPr>
                <w:rFonts w:hint="eastAsia"/>
              </w:rPr>
              <w:t>、动态波束权值等，通过新技术应用可提升网络质量，解决优化问题。</w:t>
            </w:r>
          </w:p>
          <w:p>
            <w:r>
              <w:rPr>
                <w:rFonts w:hint="eastAsia"/>
              </w:rPr>
              <w:t>7</w:t>
            </w:r>
            <w:r>
              <w:t>.5</w:t>
            </w:r>
            <w:r>
              <w:rPr>
                <w:rFonts w:hint="eastAsia"/>
              </w:rPr>
              <w:t>支持K</w:t>
            </w:r>
            <w:r>
              <w:t>PI</w:t>
            </w:r>
            <w:r>
              <w:rPr>
                <w:rFonts w:hint="eastAsia"/>
              </w:rPr>
              <w:t>统计功能，可根据K</w:t>
            </w:r>
            <w:r>
              <w:t>PI</w:t>
            </w:r>
            <w:r>
              <w:rPr>
                <w:rFonts w:hint="eastAsia"/>
              </w:rPr>
              <w:t>指标快速定位优化问题</w:t>
            </w:r>
          </w:p>
          <w:p>
            <w:r>
              <w:t>7.6</w:t>
            </w:r>
            <w:r>
              <w:rPr>
                <w:rFonts w:hint="eastAsia"/>
              </w:rPr>
              <w:t>支持信令跟踪，信令内容与参数配置联动。用户可根据所选测试内容、测试位置完成指定信令跟踪，每条信令支持详细内容展示。可通过信令跟踪中信令流程与具体参数内容定位网络故障原因</w:t>
            </w:r>
          </w:p>
          <w:p>
            <w:r>
              <w:rPr>
                <w:rFonts w:hint="eastAsia"/>
              </w:rPr>
              <w:t>7</w:t>
            </w:r>
            <w:r>
              <w:t>.7</w:t>
            </w:r>
            <w:r>
              <w:rPr>
                <w:rFonts w:hint="eastAsia"/>
              </w:rPr>
              <w:t>支持工程模式/实验模式两种学习模式，工程模式包含无线、核心网、承载网配置与调试，实验模式不含承载网配置与调试。</w:t>
            </w:r>
            <w:r>
              <w:t xml:space="preserve"> </w:t>
            </w:r>
          </w:p>
          <w:p>
            <w:pPr>
              <w:pStyle w:val="2"/>
              <w:widowControl w:val="0"/>
              <w:ind w:left="0" w:leftChars="0" w:firstLine="0" w:firstLineChars="0"/>
            </w:pPr>
            <w:r>
              <w:rPr>
                <w:rFonts w:hint="eastAsia"/>
                <w:sz w:val="32"/>
                <w:szCs w:val="28"/>
                <w:lang w:val="en-US" w:eastAsia="zh-CN"/>
              </w:rPr>
              <w:t>8、</w:t>
            </w:r>
            <w:r>
              <w:rPr>
                <w:rFonts w:hint="eastAsia"/>
                <w:sz w:val="32"/>
                <w:szCs w:val="28"/>
                <w:lang w:eastAsia="zh-CN"/>
              </w:rPr>
              <w:t>软件提供终身免费维护升级。</w:t>
            </w:r>
          </w:p>
        </w:tc>
        <w:tc>
          <w:tcPr>
            <w:tcW w:w="1245" w:type="dxa"/>
            <w:vAlign w:val="center"/>
          </w:tcPr>
          <w:p>
            <w:pPr>
              <w:jc w:val="center"/>
            </w:pPr>
            <w:r>
              <w:rPr>
                <w:rFonts w:hint="eastAsia"/>
              </w:rPr>
              <w:t>套</w:t>
            </w:r>
          </w:p>
        </w:tc>
        <w:tc>
          <w:tcPr>
            <w:tcW w:w="840" w:type="dxa"/>
            <w:vAlign w:val="center"/>
          </w:tcPr>
          <w:p>
            <w:pPr>
              <w:jc w:val="center"/>
            </w:pPr>
            <w:r>
              <w:rPr>
                <w:rFonts w:hint="eastAsia"/>
              </w:rPr>
              <w:t>3</w:t>
            </w:r>
          </w:p>
        </w:tc>
        <w:tc>
          <w:tcPr>
            <w:tcW w:w="1845" w:type="dxa"/>
            <w:vAlign w:val="center"/>
          </w:tcPr>
          <w:p>
            <w:pPr>
              <w:jc w:val="center"/>
            </w:pPr>
            <w:r>
              <w:rPr>
                <w:rFonts w:hint="eastAsia"/>
              </w:rPr>
              <w:t>5G通讯技能竞赛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08" w:type="dxa"/>
            <w:gridSpan w:val="6"/>
            <w:vAlign w:val="center"/>
          </w:tcPr>
          <w:p>
            <w:pPr>
              <w:jc w:val="center"/>
              <w:rPr>
                <w:rFonts w:hint="eastAsia"/>
              </w:rPr>
            </w:pPr>
            <w:r>
              <w:rPr>
                <w:rFonts w:hint="eastAsia" w:ascii="宋体" w:hAnsi="宋体" w:cs="宋体"/>
                <w:i w:val="0"/>
                <w:color w:val="000000"/>
                <w:kern w:val="0"/>
                <w:sz w:val="28"/>
                <w:szCs w:val="28"/>
                <w:u w:val="none"/>
                <w:lang w:val="en-US" w:eastAsia="zh-CN" w:bidi="ar"/>
              </w:rPr>
              <w:t>备注：1、提供培训教材和培训计划；2、投标企业有软件开发企业的销售授权（复印件加盖公章制作于标书内）或本身即软件开发企业。</w:t>
            </w:r>
          </w:p>
        </w:tc>
      </w:tr>
    </w:tbl>
    <w:p>
      <w:pPr>
        <w:pStyle w:val="2"/>
        <w:ind w:left="0" w:leftChars="0" w:firstLine="0" w:firstLineChars="0"/>
        <w:rPr>
          <w:rFonts w:hint="eastAsia"/>
          <w:lang w:val="en-US" w:eastAsia="zh-CN"/>
        </w:rPr>
      </w:pPr>
    </w:p>
    <w:p>
      <w:pPr>
        <w:jc w:val="both"/>
        <w:rPr>
          <w:rFonts w:hint="eastAsia" w:asciiTheme="majorEastAsia" w:hAnsiTheme="majorEastAsia" w:eastAsiaTheme="majorEastAsia" w:cstheme="majorEastAsia"/>
          <w:b/>
          <w:bCs/>
          <w:sz w:val="36"/>
          <w:szCs w:val="36"/>
          <w:lang w:val="en-US" w:eastAsia="zh-CN"/>
        </w:rPr>
      </w:pPr>
    </w:p>
    <w:p>
      <w:pPr>
        <w:ind w:firstLine="2530" w:firstLineChars="700"/>
        <w:jc w:val="center"/>
        <w:rPr>
          <w:rFonts w:hint="default" w:ascii="黑体" w:hAnsi="黑体" w:eastAsia="黑体" w:cs="黑体"/>
          <w:sz w:val="52"/>
          <w:szCs w:val="52"/>
          <w:lang w:val="en-US" w:eastAsia="zh-CN"/>
        </w:rPr>
      </w:pPr>
      <w:r>
        <w:rPr>
          <w:rFonts w:hint="eastAsia" w:asciiTheme="majorEastAsia" w:hAnsiTheme="majorEastAsia" w:eastAsiaTheme="majorEastAsia" w:cstheme="majorEastAsia"/>
          <w:b/>
          <w:bCs/>
          <w:sz w:val="36"/>
          <w:szCs w:val="36"/>
          <w:lang w:val="en-US" w:eastAsia="zh-CN"/>
        </w:rPr>
        <w:t>4包：药学院软件采购，预算：192799元</w:t>
      </w:r>
    </w:p>
    <w:tbl>
      <w:tblPr>
        <w:tblStyle w:val="17"/>
        <w:tblW w:w="14719" w:type="dxa"/>
        <w:tblInd w:w="9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15" w:type="dxa"/>
          <w:left w:w="15" w:type="dxa"/>
          <w:bottom w:w="15" w:type="dxa"/>
          <w:right w:w="15" w:type="dxa"/>
        </w:tblCellMar>
      </w:tblPr>
      <w:tblGrid>
        <w:gridCol w:w="521"/>
        <w:gridCol w:w="1200"/>
        <w:gridCol w:w="8708"/>
        <w:gridCol w:w="856"/>
        <w:gridCol w:w="840"/>
        <w:gridCol w:w="25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15" w:type="dxa"/>
            <w:left w:w="15" w:type="dxa"/>
            <w:bottom w:w="15" w:type="dxa"/>
            <w:right w:w="15" w:type="dxa"/>
          </w:tblCellMar>
        </w:tblPrEx>
        <w:trPr>
          <w:trHeight w:val="630" w:hRule="atLeast"/>
        </w:trPr>
        <w:tc>
          <w:tcPr>
            <w:tcW w:w="521" w:type="dxa"/>
            <w:shd w:val="clear" w:color="auto" w:fill="FFFFFF"/>
            <w:noWrap w:val="0"/>
            <w:tcMar>
              <w:top w:w="75" w:type="dxa"/>
              <w:left w:w="75" w:type="dxa"/>
              <w:bottom w:w="75" w:type="dxa"/>
              <w:right w:w="75" w:type="dxa"/>
            </w:tcMar>
            <w:vAlign w:val="center"/>
          </w:tcPr>
          <w:p>
            <w:pPr>
              <w:jc w:val="center"/>
            </w:pPr>
            <w:r>
              <w:rPr>
                <w:rFonts w:hint="eastAsia"/>
              </w:rPr>
              <w:t>序号</w:t>
            </w:r>
          </w:p>
        </w:tc>
        <w:tc>
          <w:tcPr>
            <w:tcW w:w="1200" w:type="dxa"/>
            <w:shd w:val="clear" w:color="auto" w:fill="FFFFFF"/>
            <w:noWrap w:val="0"/>
            <w:tcMar>
              <w:top w:w="75" w:type="dxa"/>
              <w:left w:w="75" w:type="dxa"/>
              <w:bottom w:w="75" w:type="dxa"/>
              <w:right w:w="75" w:type="dxa"/>
            </w:tcMar>
            <w:vAlign w:val="center"/>
          </w:tcPr>
          <w:p>
            <w:pPr>
              <w:jc w:val="center"/>
            </w:pPr>
            <w:r>
              <w:rPr>
                <w:rFonts w:hint="eastAsia"/>
              </w:rPr>
              <w:t>设备名称</w:t>
            </w:r>
          </w:p>
        </w:tc>
        <w:tc>
          <w:tcPr>
            <w:tcW w:w="8708" w:type="dxa"/>
            <w:shd w:val="clear" w:color="auto" w:fill="FFFFFF"/>
            <w:noWrap w:val="0"/>
            <w:tcMar>
              <w:top w:w="75" w:type="dxa"/>
              <w:left w:w="75" w:type="dxa"/>
              <w:bottom w:w="75" w:type="dxa"/>
              <w:right w:w="75" w:type="dxa"/>
            </w:tcMar>
            <w:vAlign w:val="center"/>
          </w:tcPr>
          <w:p>
            <w:pPr>
              <w:jc w:val="center"/>
            </w:pPr>
            <w:r>
              <w:rPr>
                <w:rFonts w:hint="eastAsia"/>
              </w:rPr>
              <w:t>产品参数</w:t>
            </w:r>
          </w:p>
        </w:tc>
        <w:tc>
          <w:tcPr>
            <w:tcW w:w="856" w:type="dxa"/>
            <w:shd w:val="clear" w:color="auto" w:fill="FFFFFF"/>
            <w:noWrap w:val="0"/>
            <w:tcMar>
              <w:top w:w="75" w:type="dxa"/>
              <w:left w:w="75" w:type="dxa"/>
              <w:bottom w:w="75" w:type="dxa"/>
              <w:right w:w="75" w:type="dxa"/>
            </w:tcMar>
            <w:vAlign w:val="center"/>
          </w:tcPr>
          <w:p>
            <w:pPr>
              <w:jc w:val="center"/>
            </w:pPr>
            <w:r>
              <w:rPr>
                <w:rFonts w:hint="eastAsia"/>
              </w:rPr>
              <w:t>单位</w:t>
            </w:r>
          </w:p>
        </w:tc>
        <w:tc>
          <w:tcPr>
            <w:tcW w:w="840" w:type="dxa"/>
            <w:shd w:val="clear" w:color="auto" w:fill="FFFFFF"/>
            <w:noWrap w:val="0"/>
            <w:tcMar>
              <w:top w:w="75" w:type="dxa"/>
              <w:left w:w="75" w:type="dxa"/>
              <w:bottom w:w="75" w:type="dxa"/>
              <w:right w:w="75" w:type="dxa"/>
            </w:tcMar>
            <w:vAlign w:val="center"/>
          </w:tcPr>
          <w:p>
            <w:pPr>
              <w:jc w:val="center"/>
            </w:pPr>
            <w:r>
              <w:rPr>
                <w:rFonts w:hint="eastAsia"/>
              </w:rPr>
              <w:t>数量</w:t>
            </w:r>
          </w:p>
        </w:tc>
        <w:tc>
          <w:tcPr>
            <w:tcW w:w="2594" w:type="dxa"/>
            <w:shd w:val="clear" w:color="auto" w:fill="FFFFFF"/>
            <w:noWrap w:val="0"/>
            <w:tcMar>
              <w:top w:w="75" w:type="dxa"/>
              <w:left w:w="75" w:type="dxa"/>
              <w:bottom w:w="75" w:type="dxa"/>
              <w:right w:w="75" w:type="dxa"/>
            </w:tcMar>
            <w:vAlign w:val="center"/>
          </w:tcPr>
          <w:p>
            <w:pPr>
              <w:jc w:val="center"/>
            </w:pPr>
            <w:r>
              <w:rPr>
                <w:rFonts w:hint="eastAsia"/>
              </w:rPr>
              <w:t>用途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15" w:type="dxa"/>
            <w:left w:w="15" w:type="dxa"/>
            <w:bottom w:w="15" w:type="dxa"/>
            <w:right w:w="15" w:type="dxa"/>
          </w:tblCellMar>
        </w:tblPrEx>
        <w:trPr>
          <w:trHeight w:val="630" w:hRule="atLeast"/>
        </w:trPr>
        <w:tc>
          <w:tcPr>
            <w:tcW w:w="521" w:type="dxa"/>
            <w:shd w:val="clear" w:color="auto" w:fill="FFFFFF"/>
            <w:noWrap w:val="0"/>
            <w:tcMar>
              <w:top w:w="75" w:type="dxa"/>
              <w:left w:w="75" w:type="dxa"/>
              <w:bottom w:w="75" w:type="dxa"/>
              <w:right w:w="75" w:type="dxa"/>
            </w:tcMar>
            <w:vAlign w:val="center"/>
          </w:tcPr>
          <w:p>
            <w:pPr>
              <w:jc w:val="center"/>
              <w:rPr>
                <w:rFonts w:hint="eastAsia" w:eastAsia="宋体"/>
                <w:lang w:eastAsia="zh-CN"/>
              </w:rPr>
            </w:pPr>
            <w:r>
              <w:rPr>
                <w:rFonts w:hint="eastAsia"/>
                <w:lang w:val="en-US" w:eastAsia="zh-CN"/>
              </w:rPr>
              <w:t>1</w:t>
            </w:r>
          </w:p>
        </w:tc>
        <w:tc>
          <w:tcPr>
            <w:tcW w:w="1200" w:type="dxa"/>
            <w:shd w:val="clear" w:color="auto" w:fill="FFFFFF"/>
            <w:noWrap w:val="0"/>
            <w:tcMar>
              <w:top w:w="75" w:type="dxa"/>
              <w:left w:w="75" w:type="dxa"/>
              <w:bottom w:w="75" w:type="dxa"/>
              <w:right w:w="75" w:type="dxa"/>
            </w:tcMar>
            <w:vAlign w:val="center"/>
          </w:tcPr>
          <w:p>
            <w:pPr>
              <w:widowControl/>
              <w:jc w:val="center"/>
              <w:rPr>
                <w:rFonts w:ascii="宋体" w:hAnsi="宋体"/>
                <w:kern w:val="0"/>
                <w:szCs w:val="21"/>
              </w:rPr>
            </w:pPr>
            <w:r>
              <w:rPr>
                <w:rFonts w:hint="eastAsia" w:ascii="宋体" w:hAnsi="宋体"/>
                <w:b/>
                <w:bCs/>
                <w:kern w:val="0"/>
                <w:szCs w:val="21"/>
              </w:rPr>
              <w:t>液相色谱-串联质谱联用仪虚拟操作系统</w:t>
            </w:r>
          </w:p>
        </w:tc>
        <w:tc>
          <w:tcPr>
            <w:tcW w:w="8708" w:type="dxa"/>
            <w:shd w:val="clear" w:color="auto" w:fill="FFFFFF"/>
            <w:noWrap w:val="0"/>
            <w:tcMar>
              <w:top w:w="75" w:type="dxa"/>
              <w:left w:w="75" w:type="dxa"/>
              <w:bottom w:w="75" w:type="dxa"/>
              <w:right w:w="75" w:type="dxa"/>
            </w:tcMar>
            <w:vAlign w:val="center"/>
          </w:tcPr>
          <w:p>
            <w:pPr>
              <w:jc w:val="left"/>
            </w:pPr>
            <w:r>
              <w:rPr>
                <w:rFonts w:hint="eastAsia"/>
              </w:rPr>
              <w:t>一、实验要求：</w:t>
            </w:r>
          </w:p>
          <w:p>
            <w:pPr>
              <w:jc w:val="left"/>
            </w:pPr>
            <w:r>
              <w:rPr>
                <w:rFonts w:hint="eastAsia"/>
              </w:rPr>
              <w:t>通过液相色谱-串联质谱联用仪对样品中的特定成分进行测定和样品分析</w:t>
            </w:r>
          </w:p>
          <w:p>
            <w:pPr>
              <w:jc w:val="left"/>
            </w:pPr>
            <w:r>
              <w:rPr>
                <w:rFonts w:hint="eastAsia"/>
              </w:rPr>
              <w:t>二、虚拟实验过程包含：</w:t>
            </w:r>
            <w:r>
              <w:rPr>
                <w:rFonts w:hint="eastAsia"/>
              </w:rPr>
              <w:br w:type="textWrapping"/>
            </w:r>
            <w:r>
              <w:rPr>
                <w:rFonts w:hint="eastAsia"/>
              </w:rPr>
              <w:t>1.样品提取</w:t>
            </w:r>
            <w:r>
              <w:rPr>
                <w:rFonts w:hint="eastAsia"/>
              </w:rPr>
              <w:br w:type="textWrapping"/>
            </w:r>
            <w:r>
              <w:rPr>
                <w:rFonts w:hint="eastAsia"/>
              </w:rPr>
              <w:t>2.质谱分析</w:t>
            </w:r>
            <w:r>
              <w:rPr>
                <w:rFonts w:hint="eastAsia"/>
              </w:rPr>
              <w:br w:type="textWrapping"/>
            </w:r>
            <w:r>
              <w:rPr>
                <w:rFonts w:hint="eastAsia"/>
              </w:rPr>
              <w:t>3.原理讲解</w:t>
            </w:r>
            <w:r>
              <w:rPr>
                <w:rFonts w:hint="eastAsia"/>
              </w:rPr>
              <w:br w:type="textWrapping"/>
            </w:r>
            <w:r>
              <w:rPr>
                <w:rFonts w:hint="eastAsia"/>
              </w:rPr>
              <w:t>4.开机</w:t>
            </w:r>
          </w:p>
          <w:p>
            <w:pPr>
              <w:jc w:val="left"/>
            </w:pPr>
            <w:r>
              <w:rPr>
                <w:rFonts w:hint="eastAsia"/>
              </w:rPr>
              <w:t>5.质谱条件优化</w:t>
            </w:r>
            <w:r>
              <w:rPr>
                <w:rFonts w:hint="eastAsia"/>
              </w:rPr>
              <w:br w:type="textWrapping"/>
            </w:r>
            <w:r>
              <w:rPr>
                <w:rFonts w:hint="eastAsia"/>
              </w:rPr>
              <w:t>6.液质联用方法的建立</w:t>
            </w:r>
          </w:p>
          <w:p>
            <w:pPr>
              <w:numPr>
                <w:ilvl w:val="0"/>
                <w:numId w:val="0"/>
              </w:numPr>
              <w:jc w:val="left"/>
            </w:pPr>
            <w:r>
              <w:rPr>
                <w:rFonts w:hint="eastAsia"/>
                <w:lang w:val="en-US" w:eastAsia="zh-CN"/>
              </w:rPr>
              <w:t>7.</w:t>
            </w:r>
            <w:r>
              <w:rPr>
                <w:rFonts w:hint="eastAsia"/>
              </w:rPr>
              <w:t>样品分析</w:t>
            </w:r>
          </w:p>
          <w:p>
            <w:pPr>
              <w:numPr>
                <w:ilvl w:val="0"/>
                <w:numId w:val="0"/>
              </w:numPr>
              <w:jc w:val="left"/>
            </w:pPr>
            <w:r>
              <w:rPr>
                <w:rFonts w:hint="eastAsia"/>
                <w:lang w:val="en-US" w:eastAsia="zh-CN"/>
              </w:rPr>
              <w:t>8.</w:t>
            </w:r>
            <w:r>
              <w:rPr>
                <w:rFonts w:hint="eastAsia"/>
              </w:rPr>
              <w:t>关机</w:t>
            </w:r>
          </w:p>
          <w:p>
            <w:pPr>
              <w:numPr>
                <w:ilvl w:val="0"/>
                <w:numId w:val="0"/>
              </w:numPr>
              <w:jc w:val="left"/>
            </w:pPr>
            <w:r>
              <w:rPr>
                <w:rFonts w:hint="eastAsia"/>
                <w:lang w:val="en-US" w:eastAsia="zh-CN"/>
              </w:rPr>
              <w:t>9.</w:t>
            </w:r>
            <w:r>
              <w:rPr>
                <w:rFonts w:hint="eastAsia"/>
              </w:rPr>
              <w:t>仪器维护</w:t>
            </w:r>
            <w:r>
              <w:rPr>
                <w:rFonts w:hint="eastAsia"/>
              </w:rPr>
              <w:br w:type="textWrapping"/>
            </w:r>
            <w:r>
              <w:rPr>
                <w:rFonts w:hint="eastAsia"/>
              </w:rPr>
              <w:t>三、虚拟实验内容：</w:t>
            </w:r>
            <w:r>
              <w:rPr>
                <w:rFonts w:hint="eastAsia"/>
              </w:rPr>
              <w:br w:type="textWrapping"/>
            </w:r>
            <w:r>
              <w:rPr>
                <w:rFonts w:hint="eastAsia"/>
              </w:rPr>
              <w:t>样品通过靶位酶解、相似相容、固相萃取选择性吸附和洗脱等步骤进行提取净化，然后进入液相色谱-串联质谱联用仪进行多种受体激动剂经液相色谱c18柱分离后，进入质谱仪通过多反映检测模式进行质朴检测。</w:t>
            </w:r>
            <w:r>
              <w:rPr>
                <w:rFonts w:hint="eastAsia"/>
              </w:rPr>
              <w:br w:type="textWrapping"/>
            </w:r>
            <w:r>
              <w:rPr>
                <w:rFonts w:hint="eastAsia"/>
              </w:rPr>
              <w:t>四、技术参数：</w:t>
            </w:r>
            <w:r>
              <w:rPr>
                <w:rFonts w:hint="eastAsia"/>
              </w:rPr>
              <w:br w:type="textWrapping"/>
            </w:r>
            <w:r>
              <w:rPr>
                <w:rFonts w:hint="eastAsia"/>
              </w:rPr>
              <w:t>1.要求包含虚拟实验场景、三维虚拟仪器、配套试剂和虚拟实验等内容。</w:t>
            </w:r>
            <w:r>
              <w:rPr>
                <w:rFonts w:hint="eastAsia"/>
              </w:rPr>
              <w:br w:type="textWrapping"/>
            </w:r>
            <w:r>
              <w:rPr>
                <w:rFonts w:hint="eastAsia"/>
              </w:rPr>
              <w:t>2.要求B/S架构，采用三维仿真技术开发，使用Photoshop\Maya\Unty3D开发软件。</w:t>
            </w:r>
          </w:p>
          <w:p>
            <w:pPr>
              <w:jc w:val="left"/>
            </w:pPr>
            <w:r>
              <w:rPr>
                <w:rFonts w:hint="eastAsia"/>
              </w:rPr>
              <w:t>3.在实验中列举常见样品提取方法，并学习当前实验的提取方法</w:t>
            </w:r>
          </w:p>
          <w:p>
            <w:pPr>
              <w:jc w:val="left"/>
            </w:pPr>
            <w:r>
              <w:rPr>
                <w:rFonts w:hint="eastAsia"/>
              </w:rPr>
              <w:t>4.实验中对SPE原理、SPE的步骤，液相色谱的分离原理，谱分析优势、色谱质谱联用的优势，液质联用分析中最常用的质谱扫描式，常用的定量方法，液相色谱系统排除气泡的目，标物选择的原则、内标物的作用，对仪器的开关机步骤，和仪器的保养等知识点以教学的和题目的方式进行详细讲解。</w:t>
            </w:r>
            <w:r>
              <w:rPr>
                <w:rFonts w:hint="eastAsia"/>
              </w:rPr>
              <w:br w:type="textWrapping"/>
            </w:r>
            <w:r>
              <w:rPr>
                <w:rFonts w:hint="eastAsia"/>
              </w:rPr>
              <w:t>5.在场景中每种虚拟仪器和试剂包含详细介绍。</w:t>
            </w:r>
            <w:r>
              <w:rPr>
                <w:rFonts w:hint="eastAsia"/>
              </w:rPr>
              <w:br w:type="textWrapping"/>
            </w:r>
            <w:r>
              <w:rPr>
                <w:rFonts w:hint="eastAsia"/>
              </w:rPr>
              <w:t>6.学生可以自由的在场景中进行漫游，在场景中可以现实视角，自由的查看仪器外观、结构及部件，并对需要介绍的相关仪器进行文字介绍，在场景中可以选择针对某个仪器或者实验进行特定的引导。</w:t>
            </w:r>
          </w:p>
          <w:p>
            <w:pPr>
              <w:jc w:val="left"/>
            </w:pPr>
            <w:r>
              <w:rPr>
                <w:rFonts w:hint="eastAsia"/>
              </w:rPr>
              <w:t>7.在引导中，学生按照编辑好的步骤进行操作，实验中以图文并茂的选择题，以及提示原理提示，图片讲解的形式对学生进行教学。实验中采用计分制度，并对引导进度进行提示，对于需要重复学习的步骤可以进行重复学习，引导完成后分数可以通过网络传输到后台。</w:t>
            </w:r>
          </w:p>
          <w:p>
            <w:pPr>
              <w:jc w:val="left"/>
            </w:pPr>
            <w:r>
              <w:rPr>
                <w:rFonts w:hint="eastAsia"/>
              </w:rPr>
              <w:t>8.实验涉及原理部分应有相应3D动画或者2D动画。</w:t>
            </w:r>
          </w:p>
          <w:p>
            <w:pPr>
              <w:jc w:val="left"/>
              <w:rPr>
                <w:rFonts w:hint="eastAsia"/>
              </w:rPr>
            </w:pPr>
            <w:r>
              <w:rPr>
                <w:rFonts w:hint="eastAsia"/>
              </w:rPr>
              <w:t>9. 要求具有过程形成性评价系统，软件能记录操作者实验操作完成度、实验设置每一步对错、最终成绩等数据，该数据能被医学检验虚拟资源共享平台监控、记录、统计。</w:t>
            </w:r>
          </w:p>
          <w:p>
            <w:pPr>
              <w:pStyle w:val="2"/>
              <w:rPr>
                <w:rFonts w:hint="eastAsia" w:eastAsia="宋体"/>
                <w:lang w:eastAsia="zh-CN"/>
              </w:rPr>
            </w:pPr>
            <w:r>
              <w:rPr>
                <w:rFonts w:hint="eastAsia" w:hAnsi="宋体" w:cs="Arial"/>
                <w:b/>
                <w:bCs/>
                <w:sz w:val="22"/>
                <w:szCs w:val="22"/>
                <w:lang w:eastAsia="zh-CN"/>
              </w:rPr>
              <w:t>五年免费维护升级</w:t>
            </w:r>
          </w:p>
        </w:tc>
        <w:tc>
          <w:tcPr>
            <w:tcW w:w="856" w:type="dxa"/>
            <w:shd w:val="clear" w:color="auto" w:fill="FFFFFF"/>
            <w:noWrap w:val="0"/>
            <w:tcMar>
              <w:top w:w="75" w:type="dxa"/>
              <w:left w:w="75" w:type="dxa"/>
              <w:bottom w:w="75" w:type="dxa"/>
              <w:right w:w="75" w:type="dxa"/>
            </w:tcMar>
            <w:vAlign w:val="center"/>
          </w:tcPr>
          <w:p>
            <w:pPr>
              <w:jc w:val="center"/>
              <w:rPr>
                <w:rFonts w:ascii="宋体" w:hAnsi="宋体"/>
                <w:szCs w:val="21"/>
              </w:rPr>
            </w:pPr>
            <w:r>
              <w:rPr>
                <w:rFonts w:hint="eastAsia" w:ascii="宋体" w:hAnsi="宋体"/>
                <w:szCs w:val="21"/>
              </w:rPr>
              <w:t>套</w:t>
            </w:r>
          </w:p>
        </w:tc>
        <w:tc>
          <w:tcPr>
            <w:tcW w:w="840" w:type="dxa"/>
            <w:shd w:val="clear" w:color="auto" w:fill="FFFFFF"/>
            <w:noWrap w:val="0"/>
            <w:tcMar>
              <w:top w:w="75" w:type="dxa"/>
              <w:left w:w="75" w:type="dxa"/>
              <w:bottom w:w="75" w:type="dxa"/>
              <w:right w:w="75" w:type="dxa"/>
            </w:tcMar>
            <w:vAlign w:val="center"/>
          </w:tcPr>
          <w:p>
            <w:pPr>
              <w:jc w:val="center"/>
            </w:pPr>
            <w:r>
              <w:rPr>
                <w:rFonts w:hint="eastAsia"/>
              </w:rPr>
              <w:t>1</w:t>
            </w:r>
          </w:p>
        </w:tc>
        <w:tc>
          <w:tcPr>
            <w:tcW w:w="2594" w:type="dxa"/>
            <w:shd w:val="clear" w:color="auto" w:fill="FFFFFF"/>
            <w:noWrap w:val="0"/>
            <w:tcMar>
              <w:top w:w="75" w:type="dxa"/>
              <w:left w:w="75" w:type="dxa"/>
              <w:bottom w:w="75" w:type="dxa"/>
              <w:right w:w="75" w:type="dxa"/>
            </w:tcMar>
            <w:vAlign w:val="center"/>
          </w:tcPr>
          <w:p>
            <w:pPr>
              <w:jc w:val="center"/>
              <w:rPr>
                <w:rFonts w:hint="eastAsia" w:eastAsiaTheme="minorEastAsia"/>
                <w:lang w:eastAsia="zh-CN"/>
              </w:rPr>
            </w:pPr>
            <w:r>
              <w:rPr>
                <w:rFonts w:hint="eastAsia" w:ascii="宋体" w:hAnsi="宋体"/>
                <w:kern w:val="0"/>
                <w:szCs w:val="21"/>
                <w:lang w:val="en-US" w:eastAsia="zh-CN"/>
              </w:rPr>
              <w:t>1.</w:t>
            </w:r>
            <w:r>
              <w:rPr>
                <w:rFonts w:hint="eastAsia" w:ascii="宋体" w:hAnsi="宋体"/>
                <w:kern w:val="0"/>
                <w:szCs w:val="21"/>
                <w:lang w:eastAsia="zh-CN"/>
              </w:rPr>
              <w:t>药物质量检测技术与仪器分析的实训教学。</w:t>
            </w:r>
            <w:r>
              <w:rPr>
                <w:rFonts w:hint="eastAsia" w:ascii="宋体" w:hAnsi="宋体"/>
                <w:kern w:val="0"/>
                <w:szCs w:val="21"/>
                <w:lang w:val="en-US" w:eastAsia="zh-CN"/>
              </w:rPr>
              <w:t>2.教师信息化教学比赛。3.</w:t>
            </w:r>
            <w:r>
              <w:rPr>
                <w:rFonts w:hint="eastAsia" w:ascii="宋体" w:hAnsi="宋体"/>
                <w:kern w:val="0"/>
                <w:szCs w:val="21"/>
              </w:rPr>
              <w:t>液相色谱-串联质谱联用仪</w:t>
            </w:r>
            <w:r>
              <w:t>检测流程的培训</w:t>
            </w:r>
            <w:r>
              <w:rPr>
                <w:rFonts w:hint="eastAsia"/>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15" w:type="dxa"/>
            <w:left w:w="15" w:type="dxa"/>
            <w:bottom w:w="15" w:type="dxa"/>
            <w:right w:w="15" w:type="dxa"/>
          </w:tblCellMar>
        </w:tblPrEx>
        <w:trPr>
          <w:trHeight w:val="630" w:hRule="atLeast"/>
        </w:trPr>
        <w:tc>
          <w:tcPr>
            <w:tcW w:w="521" w:type="dxa"/>
            <w:shd w:val="clear" w:color="auto" w:fill="FFFFFF"/>
            <w:noWrap w:val="0"/>
            <w:tcMar>
              <w:top w:w="75" w:type="dxa"/>
              <w:left w:w="75" w:type="dxa"/>
              <w:bottom w:w="75" w:type="dxa"/>
              <w:right w:w="75" w:type="dxa"/>
            </w:tcMar>
            <w:vAlign w:val="center"/>
          </w:tcPr>
          <w:p>
            <w:pPr>
              <w:jc w:val="center"/>
              <w:rPr>
                <w:rFonts w:hint="eastAsia" w:eastAsia="宋体"/>
                <w:lang w:eastAsia="zh-CN"/>
              </w:rPr>
            </w:pPr>
            <w:r>
              <w:rPr>
                <w:rFonts w:hint="eastAsia"/>
                <w:lang w:val="en-US" w:eastAsia="zh-CN"/>
              </w:rPr>
              <w:t>2</w:t>
            </w:r>
          </w:p>
        </w:tc>
        <w:tc>
          <w:tcPr>
            <w:tcW w:w="1200" w:type="dxa"/>
            <w:shd w:val="clear" w:color="auto" w:fill="FFFFFF"/>
            <w:noWrap w:val="0"/>
            <w:tcMar>
              <w:top w:w="75" w:type="dxa"/>
              <w:left w:w="75" w:type="dxa"/>
              <w:bottom w:w="75" w:type="dxa"/>
              <w:right w:w="75" w:type="dxa"/>
            </w:tcMar>
            <w:vAlign w:val="center"/>
          </w:tcPr>
          <w:p>
            <w:pPr>
              <w:jc w:val="center"/>
              <w:rPr>
                <w:rFonts w:ascii="宋体" w:hAnsi="宋体"/>
                <w:b/>
                <w:bCs/>
                <w:color w:val="000000"/>
                <w:szCs w:val="21"/>
              </w:rPr>
            </w:pPr>
            <w:r>
              <w:rPr>
                <w:rFonts w:hint="eastAsia" w:ascii="宋体" w:hAnsi="宋体" w:cs="Arial"/>
                <w:b/>
                <w:bCs/>
                <w:szCs w:val="21"/>
              </w:rPr>
              <w:t>高效液相色谱仪虚拟仿真操作系统</w:t>
            </w:r>
          </w:p>
        </w:tc>
        <w:tc>
          <w:tcPr>
            <w:tcW w:w="8708" w:type="dxa"/>
            <w:shd w:val="clear" w:color="auto" w:fill="FFFFFF"/>
            <w:noWrap w:val="0"/>
            <w:tcMar>
              <w:top w:w="75" w:type="dxa"/>
              <w:left w:w="75" w:type="dxa"/>
              <w:bottom w:w="75" w:type="dxa"/>
              <w:right w:w="75" w:type="dxa"/>
            </w:tcMar>
            <w:vAlign w:val="top"/>
          </w:tcPr>
          <w:p>
            <w:pPr>
              <w:ind w:firstLine="359" w:firstLineChars="171"/>
              <w:jc w:val="left"/>
            </w:pPr>
            <w:r>
              <w:rPr>
                <w:rFonts w:hint="eastAsia"/>
              </w:rPr>
              <w:t>手动和自动两种高效液相色谱仪，两种仪器虚拟实验均为独立运行，包含实验视频和虚拟实验等内容。</w:t>
            </w:r>
          </w:p>
          <w:p>
            <w:pPr>
              <w:ind w:firstLine="359" w:firstLineChars="171"/>
              <w:jc w:val="left"/>
              <w:rPr>
                <w:rFonts w:hint="eastAsia"/>
              </w:rPr>
            </w:pPr>
            <w:r>
              <w:rPr>
                <w:rFonts w:hint="eastAsia"/>
              </w:rPr>
              <w:t>虚拟实验场景要求配套齐全因完成虚拟实验而需要的虚拟工具、虚拟试剂等。虚拟实验具有考核功能，虚拟实验场景内设备、试剂都可自由操作，并自动将操作记录记入后台，但操作方法错误、操作不当或不按照后台设定的规范流程操作将自动扣分，实验结束后给出实验成绩。</w:t>
            </w:r>
          </w:p>
          <w:p>
            <w:pPr>
              <w:ind w:firstLine="359" w:firstLineChars="171"/>
              <w:jc w:val="left"/>
              <w:rPr>
                <w:rFonts w:hint="eastAsia"/>
              </w:rPr>
            </w:pPr>
            <w:r>
              <w:rPr>
                <w:rFonts w:hint="eastAsia"/>
              </w:rPr>
              <w:t>要求具有过程形成性评价系统，软件能记录操作者实验操作完成度、实验设置每一步对错、最终成绩等数据，该数据能被医学检验虚拟资源共享平台监控、记录、统计。</w:t>
            </w:r>
          </w:p>
          <w:p>
            <w:pPr>
              <w:pStyle w:val="2"/>
            </w:pPr>
            <w:r>
              <w:rPr>
                <w:rFonts w:hint="eastAsia" w:hAnsi="宋体" w:cs="Arial"/>
                <w:b/>
                <w:bCs/>
                <w:sz w:val="22"/>
                <w:szCs w:val="22"/>
                <w:lang w:eastAsia="zh-CN"/>
              </w:rPr>
              <w:t>五年免费维护升级</w:t>
            </w:r>
          </w:p>
        </w:tc>
        <w:tc>
          <w:tcPr>
            <w:tcW w:w="856" w:type="dxa"/>
            <w:shd w:val="clear" w:color="auto" w:fill="FFFFFF"/>
            <w:noWrap w:val="0"/>
            <w:tcMar>
              <w:top w:w="75" w:type="dxa"/>
              <w:left w:w="75" w:type="dxa"/>
              <w:bottom w:w="75" w:type="dxa"/>
              <w:right w:w="75" w:type="dxa"/>
            </w:tcMar>
            <w:vAlign w:val="center"/>
          </w:tcPr>
          <w:p>
            <w:pPr>
              <w:jc w:val="center"/>
            </w:pPr>
            <w:r>
              <w:rPr>
                <w:rFonts w:hint="eastAsia"/>
              </w:rPr>
              <w:t>套</w:t>
            </w:r>
          </w:p>
        </w:tc>
        <w:tc>
          <w:tcPr>
            <w:tcW w:w="840" w:type="dxa"/>
            <w:shd w:val="clear" w:color="auto" w:fill="FFFFFF"/>
            <w:noWrap w:val="0"/>
            <w:tcMar>
              <w:top w:w="75" w:type="dxa"/>
              <w:left w:w="75" w:type="dxa"/>
              <w:bottom w:w="75" w:type="dxa"/>
              <w:right w:w="75" w:type="dxa"/>
            </w:tcMar>
            <w:vAlign w:val="center"/>
          </w:tcPr>
          <w:p>
            <w:pPr>
              <w:jc w:val="center"/>
            </w:pPr>
            <w:r>
              <w:rPr>
                <w:rFonts w:hint="eastAsia"/>
              </w:rPr>
              <w:t>1</w:t>
            </w:r>
          </w:p>
        </w:tc>
        <w:tc>
          <w:tcPr>
            <w:tcW w:w="2594" w:type="dxa"/>
            <w:shd w:val="clear" w:color="auto" w:fill="FFFFFF"/>
            <w:noWrap w:val="0"/>
            <w:tcMar>
              <w:top w:w="75" w:type="dxa"/>
              <w:left w:w="75" w:type="dxa"/>
              <w:bottom w:w="75" w:type="dxa"/>
              <w:right w:w="75" w:type="dxa"/>
            </w:tcMar>
            <w:vAlign w:val="center"/>
          </w:tcPr>
          <w:p>
            <w:pPr>
              <w:jc w:val="center"/>
              <w:rPr>
                <w:rFonts w:hint="eastAsia" w:eastAsiaTheme="minorEastAsia"/>
                <w:lang w:eastAsia="zh-CN"/>
              </w:rPr>
            </w:pPr>
            <w:r>
              <w:rPr>
                <w:rFonts w:hint="eastAsia" w:ascii="宋体" w:hAnsi="宋体"/>
                <w:kern w:val="0"/>
                <w:szCs w:val="21"/>
                <w:lang w:val="en-US" w:eastAsia="zh-CN"/>
              </w:rPr>
              <w:t>1.</w:t>
            </w:r>
            <w:r>
              <w:rPr>
                <w:rFonts w:hint="eastAsia" w:ascii="宋体" w:hAnsi="宋体"/>
                <w:kern w:val="0"/>
                <w:szCs w:val="21"/>
                <w:lang w:eastAsia="zh-CN"/>
              </w:rPr>
              <w:t>药物质量检测技术与仪器分析的实训教学。</w:t>
            </w:r>
            <w:r>
              <w:rPr>
                <w:rFonts w:hint="eastAsia" w:ascii="宋体" w:hAnsi="宋体"/>
                <w:kern w:val="0"/>
                <w:szCs w:val="21"/>
                <w:lang w:val="en-US" w:eastAsia="zh-CN"/>
              </w:rPr>
              <w:t>2.教师信息化教学比赛。3.</w:t>
            </w:r>
            <w:r>
              <w:t>手动进样和自动进样两种高效液相色谱仪药检的培训</w:t>
            </w:r>
            <w:r>
              <w:rPr>
                <w:rFonts w:hint="eastAsia"/>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15" w:type="dxa"/>
            <w:left w:w="15" w:type="dxa"/>
            <w:bottom w:w="15" w:type="dxa"/>
            <w:right w:w="15" w:type="dxa"/>
          </w:tblCellMar>
        </w:tblPrEx>
        <w:trPr>
          <w:trHeight w:val="630" w:hRule="atLeast"/>
        </w:trPr>
        <w:tc>
          <w:tcPr>
            <w:tcW w:w="521" w:type="dxa"/>
            <w:shd w:val="clear" w:color="auto" w:fill="FFFFFF"/>
            <w:noWrap w:val="0"/>
            <w:tcMar>
              <w:top w:w="75" w:type="dxa"/>
              <w:left w:w="75" w:type="dxa"/>
              <w:bottom w:w="75" w:type="dxa"/>
              <w:right w:w="75" w:type="dxa"/>
            </w:tcMar>
            <w:vAlign w:val="center"/>
          </w:tcPr>
          <w:p>
            <w:pPr>
              <w:jc w:val="center"/>
              <w:rPr>
                <w:rFonts w:hint="eastAsia" w:eastAsia="宋体"/>
                <w:lang w:eastAsia="zh-CN"/>
              </w:rPr>
            </w:pPr>
            <w:r>
              <w:rPr>
                <w:rFonts w:hint="eastAsia"/>
                <w:lang w:val="en-US" w:eastAsia="zh-CN"/>
              </w:rPr>
              <w:t>3</w:t>
            </w:r>
          </w:p>
        </w:tc>
        <w:tc>
          <w:tcPr>
            <w:tcW w:w="1200" w:type="dxa"/>
            <w:shd w:val="clear" w:color="auto" w:fill="FFFFFF"/>
            <w:noWrap w:val="0"/>
            <w:tcMar>
              <w:top w:w="75" w:type="dxa"/>
              <w:left w:w="75" w:type="dxa"/>
              <w:bottom w:w="75" w:type="dxa"/>
              <w:right w:w="75" w:type="dxa"/>
            </w:tcMar>
            <w:vAlign w:val="center"/>
          </w:tcPr>
          <w:p>
            <w:pPr>
              <w:jc w:val="center"/>
              <w:rPr>
                <w:rFonts w:hint="eastAsia" w:ascii="宋体" w:hAnsi="宋体" w:cs="宋体"/>
                <w:kern w:val="0"/>
                <w:szCs w:val="21"/>
              </w:rPr>
            </w:pPr>
            <w:r>
              <w:rPr>
                <w:rFonts w:hint="eastAsia" w:ascii="宋体" w:hAnsi="宋体" w:cs="Arial"/>
                <w:b/>
                <w:bCs/>
                <w:szCs w:val="21"/>
              </w:rPr>
              <w:t>红外分光光度计虚拟仿真操作系统</w:t>
            </w:r>
          </w:p>
        </w:tc>
        <w:tc>
          <w:tcPr>
            <w:tcW w:w="8708" w:type="dxa"/>
            <w:shd w:val="clear" w:color="auto" w:fill="FFFFFF"/>
            <w:noWrap w:val="0"/>
            <w:tcMar>
              <w:top w:w="75" w:type="dxa"/>
              <w:left w:w="75" w:type="dxa"/>
              <w:bottom w:w="75" w:type="dxa"/>
              <w:right w:w="75" w:type="dxa"/>
            </w:tcMar>
            <w:vAlign w:val="top"/>
          </w:tcPr>
          <w:p>
            <w:pPr>
              <w:ind w:firstLine="359" w:firstLineChars="171"/>
              <w:jc w:val="left"/>
              <w:rPr>
                <w:rFonts w:hint="eastAsia"/>
              </w:rPr>
            </w:pPr>
            <w:r>
              <w:rPr>
                <w:rFonts w:hint="eastAsia"/>
              </w:rPr>
              <w:t>虚拟实验场景要求配套齐全因完成虚拟实验而需要的虚拟工具、虚拟试剂等。虚拟实验具有考核功能，虚拟实验场景内设备、试剂都可自由操作，并自动将操作记录记入后台，但操作方法错误、操作不当或不按照后台设定的规范流程操作将自动扣分，实验结束后给出实验成绩。</w:t>
            </w:r>
          </w:p>
          <w:p>
            <w:pPr>
              <w:pStyle w:val="2"/>
            </w:pPr>
            <w:r>
              <w:rPr>
                <w:rFonts w:hint="eastAsia" w:hAnsi="宋体" w:cs="Arial"/>
                <w:b/>
                <w:bCs/>
                <w:sz w:val="22"/>
                <w:szCs w:val="22"/>
                <w:lang w:eastAsia="zh-CN"/>
              </w:rPr>
              <w:t>五年免费维护升级</w:t>
            </w:r>
          </w:p>
        </w:tc>
        <w:tc>
          <w:tcPr>
            <w:tcW w:w="856" w:type="dxa"/>
            <w:shd w:val="clear" w:color="auto" w:fill="FFFFFF"/>
            <w:noWrap w:val="0"/>
            <w:tcMar>
              <w:top w:w="75" w:type="dxa"/>
              <w:left w:w="75" w:type="dxa"/>
              <w:bottom w:w="75" w:type="dxa"/>
              <w:right w:w="75" w:type="dxa"/>
            </w:tcMar>
            <w:vAlign w:val="center"/>
          </w:tcPr>
          <w:p>
            <w:pPr>
              <w:jc w:val="center"/>
            </w:pPr>
            <w:r>
              <w:rPr>
                <w:rFonts w:hint="eastAsia"/>
              </w:rPr>
              <w:t>套</w:t>
            </w:r>
          </w:p>
        </w:tc>
        <w:tc>
          <w:tcPr>
            <w:tcW w:w="840" w:type="dxa"/>
            <w:shd w:val="clear" w:color="auto" w:fill="FFFFFF"/>
            <w:noWrap w:val="0"/>
            <w:tcMar>
              <w:top w:w="75" w:type="dxa"/>
              <w:left w:w="75" w:type="dxa"/>
              <w:bottom w:w="75" w:type="dxa"/>
              <w:right w:w="75" w:type="dxa"/>
            </w:tcMar>
            <w:vAlign w:val="center"/>
          </w:tcPr>
          <w:p>
            <w:pPr>
              <w:jc w:val="center"/>
            </w:pPr>
            <w:r>
              <w:rPr>
                <w:rFonts w:hint="eastAsia"/>
              </w:rPr>
              <w:t>1</w:t>
            </w:r>
          </w:p>
        </w:tc>
        <w:tc>
          <w:tcPr>
            <w:tcW w:w="2594" w:type="dxa"/>
            <w:shd w:val="clear" w:color="auto" w:fill="FFFFFF"/>
            <w:noWrap w:val="0"/>
            <w:tcMar>
              <w:top w:w="75" w:type="dxa"/>
              <w:left w:w="75" w:type="dxa"/>
              <w:bottom w:w="75" w:type="dxa"/>
              <w:right w:w="75" w:type="dxa"/>
            </w:tcMar>
            <w:vAlign w:val="center"/>
          </w:tcPr>
          <w:p>
            <w:pPr>
              <w:jc w:val="center"/>
              <w:rPr>
                <w:rFonts w:hint="eastAsia" w:eastAsiaTheme="minorEastAsia"/>
                <w:lang w:eastAsia="zh-CN"/>
              </w:rPr>
            </w:pPr>
            <w:r>
              <w:rPr>
                <w:rFonts w:hint="eastAsia" w:ascii="宋体" w:hAnsi="宋体"/>
                <w:kern w:val="0"/>
                <w:szCs w:val="21"/>
                <w:lang w:val="en-US" w:eastAsia="zh-CN"/>
              </w:rPr>
              <w:t>1.</w:t>
            </w:r>
            <w:r>
              <w:rPr>
                <w:rFonts w:hint="eastAsia" w:ascii="宋体" w:hAnsi="宋体"/>
                <w:kern w:val="0"/>
                <w:szCs w:val="21"/>
                <w:lang w:eastAsia="zh-CN"/>
              </w:rPr>
              <w:t>药物质量检测技术与仪器分析的实训教学。</w:t>
            </w:r>
            <w:r>
              <w:rPr>
                <w:rFonts w:hint="eastAsia" w:ascii="宋体" w:hAnsi="宋体"/>
                <w:kern w:val="0"/>
                <w:szCs w:val="21"/>
                <w:lang w:val="en-US" w:eastAsia="zh-CN"/>
              </w:rPr>
              <w:t>2.教师信息化教学比赛。3.</w:t>
            </w:r>
            <w:r>
              <w:t>红外分光光度计的培训</w:t>
            </w:r>
            <w:r>
              <w:rPr>
                <w:rFonts w:hint="eastAsia"/>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15" w:type="dxa"/>
            <w:left w:w="15" w:type="dxa"/>
            <w:bottom w:w="15" w:type="dxa"/>
            <w:right w:w="15" w:type="dxa"/>
          </w:tblCellMar>
        </w:tblPrEx>
        <w:trPr>
          <w:trHeight w:val="630" w:hRule="atLeast"/>
        </w:trPr>
        <w:tc>
          <w:tcPr>
            <w:tcW w:w="521" w:type="dxa"/>
            <w:shd w:val="clear" w:color="auto" w:fill="FFFFFF"/>
            <w:noWrap w:val="0"/>
            <w:tcMar>
              <w:top w:w="75" w:type="dxa"/>
              <w:left w:w="75" w:type="dxa"/>
              <w:bottom w:w="75" w:type="dxa"/>
              <w:right w:w="75" w:type="dxa"/>
            </w:tcMar>
            <w:vAlign w:val="center"/>
          </w:tcPr>
          <w:p>
            <w:pPr>
              <w:jc w:val="center"/>
              <w:rPr>
                <w:rFonts w:hint="eastAsia" w:eastAsia="宋体"/>
                <w:lang w:eastAsia="zh-CN"/>
              </w:rPr>
            </w:pPr>
            <w:r>
              <w:rPr>
                <w:rFonts w:hint="eastAsia"/>
                <w:lang w:val="en-US" w:eastAsia="zh-CN"/>
              </w:rPr>
              <w:t>4</w:t>
            </w:r>
          </w:p>
        </w:tc>
        <w:tc>
          <w:tcPr>
            <w:tcW w:w="1200" w:type="dxa"/>
            <w:shd w:val="clear" w:color="auto" w:fill="FFFFFF"/>
            <w:noWrap w:val="0"/>
            <w:tcMar>
              <w:top w:w="75" w:type="dxa"/>
              <w:left w:w="75" w:type="dxa"/>
              <w:bottom w:w="75" w:type="dxa"/>
              <w:right w:w="75" w:type="dxa"/>
            </w:tcMar>
            <w:vAlign w:val="center"/>
          </w:tcPr>
          <w:p>
            <w:pPr>
              <w:jc w:val="center"/>
              <w:rPr>
                <w:rFonts w:hint="default" w:ascii="Calibri" w:hAnsi="Calibri" w:eastAsia="宋体" w:cs="Times New Roman"/>
                <w:kern w:val="2"/>
                <w:sz w:val="21"/>
                <w:szCs w:val="24"/>
                <w:lang w:val="en-US" w:eastAsia="zh-CN" w:bidi="ar-SA"/>
              </w:rPr>
            </w:pPr>
            <w:r>
              <w:rPr>
                <w:rFonts w:hint="eastAsia"/>
                <w:b/>
                <w:bCs/>
                <w:color w:val="000000"/>
              </w:rPr>
              <w:t>中药资源与鉴定虚拟仿真实验教学软件</w:t>
            </w:r>
          </w:p>
        </w:tc>
        <w:tc>
          <w:tcPr>
            <w:tcW w:w="8708" w:type="dxa"/>
            <w:shd w:val="clear" w:color="auto" w:fill="FFFFFF"/>
            <w:noWrap w:val="0"/>
            <w:tcMar>
              <w:top w:w="75" w:type="dxa"/>
              <w:left w:w="75" w:type="dxa"/>
              <w:bottom w:w="75" w:type="dxa"/>
              <w:right w:w="75" w:type="dxa"/>
            </w:tcMar>
            <w:vAlign w:val="center"/>
          </w:tcPr>
          <w:p>
            <w:pPr>
              <w:jc w:val="center"/>
              <w:rPr>
                <w:rFonts w:hint="eastAsia"/>
              </w:rPr>
            </w:pPr>
            <w:r>
              <w:rPr>
                <w:rFonts w:hint="eastAsia"/>
              </w:rPr>
              <w:t>1、</w:t>
            </w:r>
            <w:r>
              <w:t>支持3D模型的手动拆解，并可锁定视角对已拆解部分360°自由查看观察。</w:t>
            </w:r>
          </w:p>
          <w:p>
            <w:pPr>
              <w:jc w:val="center"/>
              <w:rPr>
                <w:rFonts w:hint="eastAsia"/>
              </w:rPr>
            </w:pPr>
            <w:r>
              <w:rPr>
                <w:rFonts w:hint="eastAsia"/>
              </w:rPr>
              <w:t>2、</w:t>
            </w:r>
            <w:r>
              <w:t>药材主要组成结构名称提示。</w:t>
            </w:r>
          </w:p>
          <w:p>
            <w:pPr>
              <w:jc w:val="center"/>
              <w:rPr>
                <w:rFonts w:hint="eastAsia"/>
              </w:rPr>
            </w:pPr>
            <w:r>
              <w:rPr>
                <w:rFonts w:hint="eastAsia"/>
              </w:rPr>
              <w:t>3</w:t>
            </w:r>
            <w:r>
              <w:t>软件包含药材资源库、实验操作及演示拆解交互模块。</w:t>
            </w:r>
          </w:p>
          <w:p>
            <w:pPr>
              <w:numPr>
                <w:ilvl w:val="0"/>
                <w:numId w:val="5"/>
              </w:numPr>
              <w:jc w:val="center"/>
              <w:rPr>
                <w:rFonts w:hint="eastAsia"/>
              </w:rPr>
            </w:pPr>
            <w:r>
              <w:rPr>
                <w:rFonts w:hint="eastAsia"/>
              </w:rPr>
              <w:t>硬件系统：数码显微镜系统、教师计算机工作站、学生电脑、网络系统(局域网)、数字视频网络加速系统；软件系统：系统控制软件(视频、语音、网络通讯控制)、教师端高级图像软件、学生端独立图像软件。</w:t>
            </w:r>
          </w:p>
          <w:p>
            <w:pPr>
              <w:pStyle w:val="2"/>
              <w:numPr>
                <w:ilvl w:val="0"/>
                <w:numId w:val="0"/>
              </w:numPr>
              <w:rPr>
                <w:rFonts w:hint="default"/>
                <w:lang w:val="en-US" w:eastAsia="zh-CN"/>
              </w:rPr>
            </w:pPr>
            <w:r>
              <w:rPr>
                <w:rFonts w:hint="eastAsia"/>
                <w:b/>
                <w:bCs/>
                <w:lang w:val="en-US" w:eastAsia="zh-CN"/>
              </w:rPr>
              <w:t>终身免费维护升级</w:t>
            </w:r>
          </w:p>
        </w:tc>
        <w:tc>
          <w:tcPr>
            <w:tcW w:w="856" w:type="dxa"/>
            <w:shd w:val="clear" w:color="auto" w:fill="FFFFFF"/>
            <w:noWrap w:val="0"/>
            <w:tcMar>
              <w:top w:w="75" w:type="dxa"/>
              <w:left w:w="75" w:type="dxa"/>
              <w:bottom w:w="75" w:type="dxa"/>
              <w:right w:w="75" w:type="dxa"/>
            </w:tcMar>
            <w:vAlign w:val="center"/>
          </w:tcPr>
          <w:p>
            <w:pPr>
              <w:jc w:val="center"/>
              <w:rPr>
                <w:rFonts w:hint="eastAsia" w:ascii="Calibri" w:hAnsi="Calibri" w:eastAsia="宋体" w:cs="Times New Roman"/>
                <w:kern w:val="2"/>
                <w:sz w:val="21"/>
                <w:szCs w:val="24"/>
                <w:lang w:val="en-US" w:eastAsia="zh-CN" w:bidi="ar-SA"/>
              </w:rPr>
            </w:pPr>
            <w:r>
              <w:rPr>
                <w:rFonts w:hint="eastAsia"/>
              </w:rPr>
              <w:t>套</w:t>
            </w:r>
          </w:p>
        </w:tc>
        <w:tc>
          <w:tcPr>
            <w:tcW w:w="840" w:type="dxa"/>
            <w:shd w:val="clear" w:color="auto" w:fill="FFFFFF"/>
            <w:noWrap w:val="0"/>
            <w:tcMar>
              <w:top w:w="75" w:type="dxa"/>
              <w:left w:w="75" w:type="dxa"/>
              <w:bottom w:w="75" w:type="dxa"/>
              <w:right w:w="75" w:type="dxa"/>
            </w:tcMar>
            <w:vAlign w:val="center"/>
          </w:tcPr>
          <w:p>
            <w:pPr>
              <w:jc w:val="center"/>
              <w:rPr>
                <w:rFonts w:hint="default" w:ascii="Calibri" w:hAnsi="Calibri" w:eastAsia="宋体" w:cs="Times New Roman"/>
                <w:kern w:val="2"/>
                <w:sz w:val="21"/>
                <w:szCs w:val="24"/>
                <w:lang w:val="en-US" w:eastAsia="zh-CN" w:bidi="ar-SA"/>
              </w:rPr>
            </w:pPr>
            <w:r>
              <w:rPr>
                <w:rFonts w:hint="eastAsia"/>
              </w:rPr>
              <w:t>3</w:t>
            </w:r>
          </w:p>
        </w:tc>
        <w:tc>
          <w:tcPr>
            <w:tcW w:w="2594" w:type="dxa"/>
            <w:shd w:val="clear" w:color="auto" w:fill="FFFFFF"/>
            <w:noWrap w:val="0"/>
            <w:tcMar>
              <w:top w:w="75" w:type="dxa"/>
              <w:left w:w="75" w:type="dxa"/>
              <w:bottom w:w="75" w:type="dxa"/>
              <w:right w:w="75" w:type="dxa"/>
            </w:tcMar>
            <w:vAlign w:val="center"/>
          </w:tcPr>
          <w:p>
            <w:pPr>
              <w:numPr>
                <w:ilvl w:val="0"/>
                <w:numId w:val="0"/>
              </w:numPr>
              <w:ind w:left="0" w:leftChars="0"/>
              <w:jc w:val="left"/>
              <w:rPr>
                <w:rFonts w:hint="eastAsia"/>
                <w:color w:val="000000"/>
                <w:w w:val="100"/>
                <w:sz w:val="18"/>
                <w:szCs w:val="18"/>
              </w:rPr>
            </w:pPr>
            <w:r>
              <w:rPr>
                <w:rFonts w:hint="eastAsia"/>
                <w:color w:val="000000"/>
                <w:w w:val="100"/>
                <w:sz w:val="18"/>
                <w:szCs w:val="18"/>
                <w:lang w:val="en-US" w:eastAsia="zh-CN"/>
              </w:rPr>
              <w:t>1、</w:t>
            </w:r>
            <w:r>
              <w:rPr>
                <w:rFonts w:hint="eastAsia"/>
                <w:color w:val="000000"/>
                <w:w w:val="100"/>
                <w:sz w:val="18"/>
                <w:szCs w:val="18"/>
              </w:rPr>
              <w:t>能承担药用植物学、生药学、中药鉴定学、中药炮制、中药商品学、中药学概论等6门课程的实验教学及传统中药技能竞赛</w:t>
            </w:r>
          </w:p>
          <w:p>
            <w:pPr>
              <w:numPr>
                <w:ilvl w:val="0"/>
                <w:numId w:val="0"/>
              </w:numPr>
              <w:ind w:left="0" w:leftChars="0"/>
              <w:jc w:val="left"/>
              <w:rPr>
                <w:rFonts w:hint="default" w:ascii="Calibri" w:hAnsi="Calibri" w:eastAsia="宋体" w:cs="Times New Roman"/>
                <w:kern w:val="2"/>
                <w:sz w:val="21"/>
                <w:szCs w:val="24"/>
                <w:lang w:val="en-US" w:eastAsia="zh-CN" w:bidi="ar-SA"/>
              </w:rPr>
            </w:pPr>
            <w:r>
              <w:rPr>
                <w:rFonts w:hint="eastAsia" w:ascii="Arial" w:hAnsi="Arial" w:cs="Arial"/>
                <w:color w:val="191919"/>
                <w:w w:val="100"/>
                <w:sz w:val="18"/>
                <w:szCs w:val="18"/>
                <w:shd w:val="clear" w:color="auto" w:fill="FFFFFF"/>
                <w:lang w:val="en-US" w:eastAsia="zh-CN"/>
              </w:rPr>
              <w:t>2、</w:t>
            </w:r>
            <w:r>
              <w:rPr>
                <w:rFonts w:ascii="Arial" w:hAnsi="Arial" w:cs="Arial"/>
                <w:color w:val="191919"/>
                <w:w w:val="100"/>
                <w:sz w:val="18"/>
                <w:szCs w:val="18"/>
                <w:shd w:val="clear" w:color="auto" w:fill="FFFFFF"/>
              </w:rPr>
              <w:t>面向学生实践实习的仿真实训，提供非交互式的漫游式场景视频，目的是使学生获得较为直观的、形象的中药材概况。二是面向专业设备与课程设计以及制药工艺学的教学要求，提供多视角、多层面、多参数模拟的360°自由查看，拆解等，并在具体的过程中实现交互，目的是使学生获得超越于平面教材的生动、形象、直观的方式服务于教学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15" w:type="dxa"/>
            <w:left w:w="15" w:type="dxa"/>
            <w:bottom w:w="15" w:type="dxa"/>
            <w:right w:w="15" w:type="dxa"/>
          </w:tblCellMar>
        </w:tblPrEx>
        <w:trPr>
          <w:trHeight w:val="630" w:hRule="atLeast"/>
        </w:trPr>
        <w:tc>
          <w:tcPr>
            <w:tcW w:w="521" w:type="dxa"/>
            <w:shd w:val="clear" w:color="auto" w:fill="FFFFFF"/>
            <w:noWrap w:val="0"/>
            <w:tcMar>
              <w:top w:w="75" w:type="dxa"/>
              <w:left w:w="75" w:type="dxa"/>
              <w:bottom w:w="75" w:type="dxa"/>
              <w:right w:w="75" w:type="dxa"/>
            </w:tcMar>
            <w:vAlign w:val="center"/>
          </w:tcPr>
          <w:p>
            <w:pPr>
              <w:jc w:val="center"/>
              <w:rPr>
                <w:rFonts w:hint="default"/>
                <w:lang w:val="en-US" w:eastAsia="zh-CN"/>
              </w:rPr>
            </w:pPr>
            <w:r>
              <w:rPr>
                <w:rFonts w:hint="eastAsia"/>
                <w:lang w:val="en-US" w:eastAsia="zh-CN"/>
              </w:rPr>
              <w:t>5</w:t>
            </w:r>
          </w:p>
        </w:tc>
        <w:tc>
          <w:tcPr>
            <w:tcW w:w="1200" w:type="dxa"/>
            <w:shd w:val="clear" w:color="auto" w:fill="FFFFFF"/>
            <w:noWrap w:val="0"/>
            <w:tcMar>
              <w:top w:w="75" w:type="dxa"/>
              <w:left w:w="75" w:type="dxa"/>
              <w:bottom w:w="75" w:type="dxa"/>
              <w:right w:w="75" w:type="dxa"/>
            </w:tcMar>
            <w:vAlign w:val="center"/>
          </w:tcPr>
          <w:p>
            <w:pPr>
              <w:jc w:val="center"/>
              <w:rPr>
                <w:rFonts w:hint="eastAsia" w:ascii="Calibri" w:hAnsi="Calibri" w:eastAsiaTheme="minorEastAsia" w:cstheme="minorBidi"/>
                <w:kern w:val="2"/>
                <w:sz w:val="18"/>
                <w:szCs w:val="18"/>
                <w:lang w:val="en-US" w:eastAsia="zh-CN" w:bidi="ar-SA"/>
              </w:rPr>
            </w:pPr>
            <w:r>
              <w:rPr>
                <w:rFonts w:hint="eastAsia"/>
                <w:b/>
                <w:bCs/>
                <w:sz w:val="18"/>
                <w:szCs w:val="18"/>
              </w:rPr>
              <w:t>考试系统</w:t>
            </w:r>
          </w:p>
        </w:tc>
        <w:tc>
          <w:tcPr>
            <w:tcW w:w="8708" w:type="dxa"/>
            <w:shd w:val="clear" w:color="auto" w:fill="FFFFFF"/>
            <w:noWrap w:val="0"/>
            <w:tcMar>
              <w:top w:w="75" w:type="dxa"/>
              <w:left w:w="75" w:type="dxa"/>
              <w:bottom w:w="75" w:type="dxa"/>
              <w:right w:w="75" w:type="dxa"/>
            </w:tcMar>
            <w:vAlign w:val="center"/>
          </w:tcPr>
          <w:p>
            <w:pPr>
              <w:jc w:val="center"/>
              <w:rPr>
                <w:rFonts w:hint="eastAsia"/>
                <w:lang w:val="en-US" w:eastAsia="zh-CN"/>
              </w:rPr>
            </w:pPr>
            <w:r>
              <w:t>持众多题型（单选、多选、填空、判断、简答、综合题、完形填空题、判断该错题、听力题、视频题、图片题等）</w:t>
            </w:r>
            <w:r>
              <w:rPr>
                <w:rFonts w:hint="eastAsia"/>
                <w:lang w:eastAsia="zh-CN"/>
              </w:rPr>
              <w:t>。</w:t>
            </w:r>
            <w:r>
              <w:rPr>
                <w:rFonts w:hint="eastAsia"/>
              </w:rPr>
              <w:t>oExam</w:t>
            </w:r>
            <w:r>
              <w:rPr>
                <w:rFonts w:hint="eastAsia"/>
                <w:lang w:eastAsia="zh-CN"/>
              </w:rPr>
              <w:t>考试系统涵盖了从批量导入试题，随机组卷、人工组卷、发布考试、导入</w:t>
            </w:r>
            <w:r>
              <w:rPr>
                <w:rFonts w:hint="eastAsia"/>
                <w:lang w:val="en-US" w:eastAsia="zh-CN"/>
              </w:rPr>
              <w:t>/选择考生、在线监考、自动评卷/人工评卷的整个考试流程。</w:t>
            </w:r>
          </w:p>
          <w:p>
            <w:pPr>
              <w:pStyle w:val="2"/>
              <w:rPr>
                <w:rFonts w:hint="eastAsia"/>
                <w:lang w:val="en-US" w:eastAsia="zh-CN"/>
              </w:rPr>
            </w:pPr>
            <w:r>
              <w:rPr>
                <w:rFonts w:hint="eastAsia"/>
                <w:b/>
                <w:bCs/>
                <w:lang w:val="en-US" w:eastAsia="zh-CN"/>
              </w:rPr>
              <w:t>终身免费维护升级</w:t>
            </w:r>
          </w:p>
        </w:tc>
        <w:tc>
          <w:tcPr>
            <w:tcW w:w="856" w:type="dxa"/>
            <w:shd w:val="clear" w:color="auto" w:fill="FFFFFF"/>
            <w:noWrap w:val="0"/>
            <w:tcMar>
              <w:top w:w="75" w:type="dxa"/>
              <w:left w:w="75" w:type="dxa"/>
              <w:bottom w:w="75" w:type="dxa"/>
              <w:right w:w="75" w:type="dxa"/>
            </w:tcMar>
            <w:vAlign w:val="center"/>
          </w:tcPr>
          <w:p>
            <w:pPr>
              <w:jc w:val="center"/>
              <w:rPr>
                <w:rFonts w:hint="eastAsia" w:ascii="Calibri" w:hAnsi="Calibri" w:eastAsiaTheme="minorEastAsia" w:cstheme="minorBidi"/>
                <w:kern w:val="2"/>
                <w:sz w:val="18"/>
                <w:szCs w:val="18"/>
                <w:lang w:val="en-US" w:eastAsia="zh-CN" w:bidi="ar-SA"/>
              </w:rPr>
            </w:pPr>
            <w:r>
              <w:rPr>
                <w:rFonts w:hint="eastAsia"/>
                <w:sz w:val="18"/>
                <w:szCs w:val="18"/>
              </w:rPr>
              <w:t>套</w:t>
            </w:r>
          </w:p>
        </w:tc>
        <w:tc>
          <w:tcPr>
            <w:tcW w:w="840" w:type="dxa"/>
            <w:shd w:val="clear" w:color="auto" w:fill="FFFFFF"/>
            <w:noWrap w:val="0"/>
            <w:tcMar>
              <w:top w:w="75" w:type="dxa"/>
              <w:left w:w="75" w:type="dxa"/>
              <w:bottom w:w="75" w:type="dxa"/>
              <w:right w:w="75" w:type="dxa"/>
            </w:tcMar>
            <w:vAlign w:val="center"/>
          </w:tcPr>
          <w:p>
            <w:pPr>
              <w:jc w:val="center"/>
              <w:rPr>
                <w:rFonts w:hint="eastAsia" w:ascii="Calibri" w:hAnsi="Calibri" w:eastAsiaTheme="minorEastAsia" w:cstheme="minorBidi"/>
                <w:kern w:val="2"/>
                <w:sz w:val="18"/>
                <w:szCs w:val="18"/>
                <w:lang w:val="en-US" w:eastAsia="zh-CN" w:bidi="ar-SA"/>
              </w:rPr>
            </w:pPr>
            <w:r>
              <w:rPr>
                <w:rFonts w:hint="eastAsia"/>
                <w:sz w:val="18"/>
                <w:szCs w:val="18"/>
              </w:rPr>
              <w:t>1</w:t>
            </w:r>
          </w:p>
        </w:tc>
        <w:tc>
          <w:tcPr>
            <w:tcW w:w="2594" w:type="dxa"/>
            <w:shd w:val="clear" w:color="auto" w:fill="FFFFFF"/>
            <w:noWrap w:val="0"/>
            <w:tcMar>
              <w:top w:w="75" w:type="dxa"/>
              <w:left w:w="75" w:type="dxa"/>
              <w:bottom w:w="75" w:type="dxa"/>
              <w:right w:w="75" w:type="dxa"/>
            </w:tcMar>
            <w:vAlign w:val="center"/>
          </w:tcPr>
          <w:p>
            <w:pPr>
              <w:jc w:val="center"/>
              <w:rPr>
                <w:rFonts w:hint="default" w:ascii="Calibri" w:hAnsi="Calibri" w:eastAsiaTheme="minorEastAsia" w:cstheme="minorBidi"/>
                <w:kern w:val="2"/>
                <w:sz w:val="18"/>
                <w:szCs w:val="18"/>
                <w:lang w:val="en-US" w:eastAsia="zh-CN" w:bidi="ar-SA"/>
              </w:rPr>
            </w:pPr>
            <w:r>
              <w:rPr>
                <w:rFonts w:hint="eastAsia"/>
                <w:sz w:val="18"/>
                <w:szCs w:val="18"/>
                <w:lang w:val="en-US" w:eastAsia="zh-CN"/>
              </w:rPr>
              <w:t>1.用于中药传统技能竞赛（国赛、行赛）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15" w:type="dxa"/>
            <w:left w:w="15" w:type="dxa"/>
            <w:bottom w:w="15" w:type="dxa"/>
            <w:right w:w="15" w:type="dxa"/>
          </w:tblCellMar>
        </w:tblPrEx>
        <w:trPr>
          <w:trHeight w:val="630" w:hRule="atLeast"/>
        </w:trPr>
        <w:tc>
          <w:tcPr>
            <w:tcW w:w="521" w:type="dxa"/>
            <w:shd w:val="clear" w:color="auto" w:fill="FFFFFF"/>
            <w:noWrap w:val="0"/>
            <w:tcMar>
              <w:top w:w="75" w:type="dxa"/>
              <w:left w:w="75" w:type="dxa"/>
              <w:bottom w:w="75" w:type="dxa"/>
              <w:right w:w="75" w:type="dxa"/>
            </w:tcMar>
            <w:vAlign w:val="center"/>
          </w:tcPr>
          <w:p>
            <w:pPr>
              <w:jc w:val="center"/>
              <w:rPr>
                <w:rFonts w:hint="eastAsia" w:eastAsia="宋体"/>
                <w:lang w:eastAsia="zh-CN"/>
              </w:rPr>
            </w:pPr>
            <w:r>
              <w:rPr>
                <w:rFonts w:hint="eastAsia"/>
                <w:lang w:val="en-US" w:eastAsia="zh-CN"/>
              </w:rPr>
              <w:t>6</w:t>
            </w:r>
          </w:p>
        </w:tc>
        <w:tc>
          <w:tcPr>
            <w:tcW w:w="1200" w:type="dxa"/>
            <w:shd w:val="clear" w:color="auto" w:fill="FFFFFF"/>
            <w:noWrap w:val="0"/>
            <w:tcMar>
              <w:top w:w="75" w:type="dxa"/>
              <w:left w:w="75" w:type="dxa"/>
              <w:bottom w:w="75" w:type="dxa"/>
              <w:right w:w="75" w:type="dxa"/>
            </w:tcMar>
            <w:vAlign w:val="center"/>
          </w:tcPr>
          <w:p>
            <w:pPr>
              <w:spacing w:line="360" w:lineRule="auto"/>
              <w:jc w:val="center"/>
              <w:rPr>
                <w:b/>
                <w:bCs w:val="0"/>
                <w:sz w:val="18"/>
                <w:szCs w:val="18"/>
              </w:rPr>
            </w:pPr>
            <w:r>
              <w:rPr>
                <w:b/>
                <w:bCs w:val="0"/>
                <w:sz w:val="18"/>
                <w:szCs w:val="18"/>
              </w:rPr>
              <w:t>药物压片技术（ZP35冲压片机）实训仿真系统软件V3.0</w:t>
            </w:r>
          </w:p>
          <w:p>
            <w:pPr>
              <w:jc w:val="center"/>
              <w:rPr>
                <w:rFonts w:hint="eastAsia" w:ascii="Calibri" w:hAnsi="Calibri"/>
                <w:kern w:val="2"/>
                <w:sz w:val="18"/>
                <w:szCs w:val="18"/>
                <w:lang w:val="en-US" w:eastAsia="zh-CN" w:bidi="ar-SA"/>
              </w:rPr>
            </w:pPr>
          </w:p>
        </w:tc>
        <w:tc>
          <w:tcPr>
            <w:tcW w:w="8708" w:type="dxa"/>
            <w:shd w:val="clear" w:color="auto" w:fill="FFFFFF"/>
            <w:noWrap w:val="0"/>
            <w:tcMar>
              <w:top w:w="75" w:type="dxa"/>
              <w:left w:w="75" w:type="dxa"/>
              <w:bottom w:w="75" w:type="dxa"/>
              <w:right w:w="75" w:type="dxa"/>
            </w:tcMar>
            <w:vAlign w:val="center"/>
          </w:tcPr>
          <w:p>
            <w:pPr>
              <w:numPr>
                <w:ilvl w:val="0"/>
                <w:numId w:val="6"/>
              </w:numPr>
              <w:spacing w:line="360" w:lineRule="auto"/>
              <w:rPr>
                <w:rFonts w:ascii="Times New Roman" w:hAnsi="Times New Roman" w:cs="Times New Roman"/>
                <w:b/>
                <w:sz w:val="18"/>
                <w:szCs w:val="18"/>
              </w:rPr>
            </w:pPr>
            <w:r>
              <w:rPr>
                <w:rFonts w:ascii="Times New Roman" w:hAnsi="Times New Roman" w:cs="Times New Roman"/>
                <w:b/>
                <w:sz w:val="18"/>
                <w:szCs w:val="18"/>
              </w:rPr>
              <w:t>软件技术与功能</w:t>
            </w:r>
          </w:p>
          <w:p>
            <w:pPr>
              <w:numPr>
                <w:ilvl w:val="0"/>
                <w:numId w:val="0"/>
              </w:numPr>
              <w:spacing w:line="360" w:lineRule="auto"/>
              <w:rPr>
                <w:rFonts w:ascii="Times New Roman" w:hAnsi="Times New Roman" w:cs="Times New Roman"/>
                <w:sz w:val="18"/>
                <w:szCs w:val="18"/>
              </w:rPr>
            </w:pPr>
            <w:r>
              <w:rPr>
                <w:rFonts w:ascii="Times New Roman" w:hAnsi="Times New Roman" w:cs="Times New Roman"/>
                <w:b/>
                <w:sz w:val="18"/>
                <w:szCs w:val="18"/>
              </w:rPr>
              <w:t>1、平台技术：</w:t>
            </w:r>
            <w:r>
              <w:rPr>
                <w:rFonts w:ascii="Times New Roman" w:hAnsi="Times New Roman" w:cs="Times New Roman"/>
                <w:sz w:val="18"/>
                <w:szCs w:val="18"/>
              </w:rPr>
              <w:t>服务器端通讯采用WPF技术。</w:t>
            </w:r>
          </w:p>
          <w:p>
            <w:pPr>
              <w:numPr>
                <w:ilvl w:val="0"/>
                <w:numId w:val="0"/>
              </w:numPr>
              <w:tabs>
                <w:tab w:val="left" w:pos="420"/>
              </w:tabs>
              <w:spacing w:line="360" w:lineRule="auto"/>
              <w:jc w:val="left"/>
              <w:rPr>
                <w:rFonts w:ascii="Times New Roman" w:hAnsi="Times New Roman" w:cs="Times New Roman"/>
                <w:sz w:val="18"/>
                <w:szCs w:val="18"/>
              </w:rPr>
            </w:pPr>
            <w:r>
              <w:rPr>
                <w:rFonts w:ascii="Times New Roman" w:hAnsi="Times New Roman" w:cs="Times New Roman"/>
                <w:sz w:val="18"/>
                <w:szCs w:val="18"/>
              </w:rPr>
              <w:t>客户端研发采用C#.net以 Framework 4.0框架开发。</w:t>
            </w:r>
          </w:p>
          <w:p>
            <w:pPr>
              <w:pStyle w:val="43"/>
              <w:spacing w:line="360" w:lineRule="auto"/>
              <w:ind w:left="420" w:firstLine="2" w:firstLineChars="1"/>
              <w:rPr>
                <w:rFonts w:ascii="Times New Roman" w:hAnsi="Times New Roman" w:cs="Times New Roman"/>
                <w:b/>
                <w:sz w:val="18"/>
                <w:szCs w:val="18"/>
              </w:rPr>
            </w:pPr>
            <w:r>
              <w:rPr>
                <w:rFonts w:ascii="Times New Roman" w:hAnsi="Times New Roman" w:cs="Times New Roman"/>
                <w:b/>
                <w:sz w:val="18"/>
                <w:szCs w:val="18"/>
              </w:rPr>
              <w:t>2、产品业务要求：</w:t>
            </w:r>
          </w:p>
          <w:p>
            <w:pPr>
              <w:numPr>
                <w:ilvl w:val="0"/>
                <w:numId w:val="0"/>
              </w:numPr>
              <w:tabs>
                <w:tab w:val="left" w:pos="420"/>
              </w:tabs>
              <w:spacing w:line="360" w:lineRule="auto"/>
              <w:jc w:val="left"/>
              <w:rPr>
                <w:rFonts w:ascii="Times New Roman" w:hAnsi="Times New Roman" w:cs="Times New Roman"/>
                <w:sz w:val="18"/>
                <w:szCs w:val="18"/>
              </w:rPr>
            </w:pPr>
            <w:r>
              <w:rPr>
                <w:rFonts w:ascii="Times New Roman" w:hAnsi="Times New Roman" w:cs="Times New Roman"/>
                <w:sz w:val="18"/>
                <w:szCs w:val="18"/>
              </w:rPr>
              <w:t>产品设计：依据</w:t>
            </w:r>
            <w:r>
              <w:rPr>
                <w:rFonts w:hint="eastAsia" w:ascii="Times New Roman" w:hAnsi="Times New Roman" w:cs="Times New Roman"/>
                <w:sz w:val="18"/>
                <w:szCs w:val="18"/>
              </w:rPr>
              <w:t>《药物</w:t>
            </w:r>
            <w:r>
              <w:rPr>
                <w:rFonts w:ascii="Times New Roman" w:hAnsi="Times New Roman" w:cs="Times New Roman"/>
                <w:sz w:val="18"/>
                <w:szCs w:val="18"/>
              </w:rPr>
              <w:t>制剂技术》</w:t>
            </w:r>
            <w:r>
              <w:rPr>
                <w:rFonts w:hint="eastAsia" w:ascii="Times New Roman" w:hAnsi="Times New Roman" w:cs="Times New Roman"/>
                <w:sz w:val="18"/>
                <w:szCs w:val="18"/>
              </w:rPr>
              <w:t>中</w:t>
            </w:r>
            <w:r>
              <w:rPr>
                <w:rFonts w:ascii="Times New Roman" w:hAnsi="Times New Roman" w:cs="Times New Roman"/>
                <w:sz w:val="18"/>
                <w:szCs w:val="18"/>
              </w:rPr>
              <w:t>的压片模块进行拆解和设计。</w:t>
            </w:r>
          </w:p>
          <w:p>
            <w:pPr>
              <w:numPr>
                <w:ilvl w:val="0"/>
                <w:numId w:val="0"/>
              </w:numPr>
              <w:tabs>
                <w:tab w:val="left" w:pos="420"/>
              </w:tabs>
              <w:spacing w:line="360" w:lineRule="auto"/>
              <w:jc w:val="left"/>
              <w:rPr>
                <w:rFonts w:ascii="Times New Roman" w:hAnsi="Times New Roman" w:cs="Times New Roman"/>
                <w:sz w:val="18"/>
                <w:szCs w:val="18"/>
              </w:rPr>
            </w:pPr>
            <w:r>
              <w:rPr>
                <w:rFonts w:ascii="Times New Roman" w:hAnsi="Times New Roman" w:cs="Times New Roman"/>
                <w:sz w:val="18"/>
                <w:szCs w:val="18"/>
              </w:rPr>
              <w:t>产品原型：依据实际</w:t>
            </w:r>
            <w:r>
              <w:rPr>
                <w:rFonts w:hint="eastAsia" w:ascii="Times New Roman" w:hAnsi="Times New Roman" w:cs="Times New Roman"/>
                <w:sz w:val="18"/>
                <w:szCs w:val="18"/>
              </w:rPr>
              <w:t>制药工厂</w:t>
            </w:r>
            <w:r>
              <w:rPr>
                <w:rFonts w:ascii="Times New Roman" w:hAnsi="Times New Roman" w:cs="Times New Roman"/>
                <w:sz w:val="18"/>
                <w:szCs w:val="18"/>
              </w:rPr>
              <w:t>的固体制剂车间构建虚拟实训</w:t>
            </w:r>
            <w:r>
              <w:rPr>
                <w:rFonts w:hint="eastAsia" w:ascii="Times New Roman" w:hAnsi="Times New Roman" w:cs="Times New Roman"/>
                <w:sz w:val="18"/>
                <w:szCs w:val="18"/>
              </w:rPr>
              <w:t>场景</w:t>
            </w:r>
            <w:r>
              <w:rPr>
                <w:rFonts w:ascii="Times New Roman" w:hAnsi="Times New Roman" w:cs="Times New Roman"/>
                <w:sz w:val="18"/>
                <w:szCs w:val="18"/>
              </w:rPr>
              <w:t>。</w:t>
            </w:r>
          </w:p>
          <w:p>
            <w:pPr>
              <w:pStyle w:val="43"/>
              <w:numPr>
                <w:ilvl w:val="0"/>
                <w:numId w:val="0"/>
              </w:numPr>
              <w:spacing w:line="360" w:lineRule="auto"/>
              <w:rPr>
                <w:rFonts w:ascii="Times New Roman" w:hAnsi="Times New Roman" w:cs="Times New Roman" w:eastAsiaTheme="minorEastAsia"/>
                <w:kern w:val="2"/>
                <w:sz w:val="18"/>
                <w:szCs w:val="18"/>
              </w:rPr>
            </w:pPr>
            <w:r>
              <w:rPr>
                <w:rFonts w:ascii="Times New Roman" w:hAnsi="Times New Roman" w:cs="Times New Roman" w:eastAsiaTheme="minorEastAsia"/>
                <w:kern w:val="2"/>
                <w:sz w:val="18"/>
                <w:szCs w:val="18"/>
              </w:rPr>
              <w:t>任务手册：依据</w:t>
            </w:r>
            <w:r>
              <w:rPr>
                <w:rFonts w:hint="eastAsia" w:ascii="Times New Roman" w:hAnsi="Times New Roman" w:cs="Times New Roman" w:eastAsiaTheme="minorEastAsia"/>
                <w:kern w:val="2"/>
                <w:sz w:val="18"/>
                <w:szCs w:val="18"/>
              </w:rPr>
              <w:t>压片模块</w:t>
            </w:r>
            <w:r>
              <w:rPr>
                <w:rFonts w:ascii="Times New Roman" w:hAnsi="Times New Roman" w:cs="Times New Roman" w:eastAsiaTheme="minorEastAsia"/>
                <w:kern w:val="2"/>
                <w:sz w:val="18"/>
                <w:szCs w:val="18"/>
              </w:rPr>
              <w:t>的操作流程</w:t>
            </w:r>
            <w:r>
              <w:rPr>
                <w:rFonts w:hint="eastAsia" w:ascii="Times New Roman" w:hAnsi="Times New Roman" w:cs="Times New Roman" w:eastAsiaTheme="minorEastAsia"/>
                <w:kern w:val="2"/>
                <w:sz w:val="18"/>
                <w:szCs w:val="18"/>
              </w:rPr>
              <w:t>和</w:t>
            </w:r>
            <w:r>
              <w:rPr>
                <w:rFonts w:ascii="Times New Roman" w:hAnsi="Times New Roman" w:cs="Times New Roman" w:eastAsiaTheme="minorEastAsia"/>
                <w:kern w:val="2"/>
                <w:sz w:val="18"/>
                <w:szCs w:val="18"/>
              </w:rPr>
              <w:t>课程得知识点学习，共设置</w:t>
            </w:r>
            <w:r>
              <w:rPr>
                <w:rFonts w:hint="eastAsia" w:ascii="Times New Roman" w:hAnsi="Times New Roman" w:cs="Times New Roman" w:eastAsiaTheme="minorEastAsia"/>
                <w:kern w:val="2"/>
                <w:sz w:val="18"/>
                <w:szCs w:val="18"/>
              </w:rPr>
              <w:t>“压片</w:t>
            </w:r>
            <w:r>
              <w:rPr>
                <w:rFonts w:ascii="Times New Roman" w:hAnsi="Times New Roman" w:cs="Times New Roman" w:eastAsiaTheme="minorEastAsia"/>
                <w:kern w:val="2"/>
                <w:sz w:val="18"/>
                <w:szCs w:val="18"/>
              </w:rPr>
              <w:t>岗位微课</w:t>
            </w:r>
            <w:r>
              <w:rPr>
                <w:rFonts w:hint="eastAsia" w:ascii="Times New Roman" w:hAnsi="Times New Roman" w:cs="Times New Roman" w:eastAsiaTheme="minorEastAsia"/>
                <w:kern w:val="2"/>
                <w:sz w:val="18"/>
                <w:szCs w:val="18"/>
              </w:rPr>
              <w:t>”</w:t>
            </w:r>
            <w:r>
              <w:rPr>
                <w:rFonts w:ascii="Times New Roman" w:hAnsi="Times New Roman" w:cs="Times New Roman" w:eastAsiaTheme="minorEastAsia"/>
                <w:kern w:val="2"/>
                <w:sz w:val="18"/>
                <w:szCs w:val="18"/>
              </w:rPr>
              <w:t>、</w:t>
            </w:r>
            <w:r>
              <w:rPr>
                <w:rFonts w:hint="eastAsia" w:ascii="Times New Roman" w:hAnsi="Times New Roman" w:cs="Times New Roman" w:eastAsiaTheme="minorEastAsia"/>
                <w:kern w:val="2"/>
                <w:sz w:val="18"/>
                <w:szCs w:val="18"/>
              </w:rPr>
              <w:t>“实训车间</w:t>
            </w:r>
            <w:r>
              <w:rPr>
                <w:rFonts w:ascii="Times New Roman" w:hAnsi="Times New Roman" w:cs="Times New Roman" w:eastAsiaTheme="minorEastAsia"/>
                <w:kern w:val="2"/>
                <w:sz w:val="18"/>
                <w:szCs w:val="18"/>
              </w:rPr>
              <w:t>漫游</w:t>
            </w:r>
            <w:r>
              <w:rPr>
                <w:rFonts w:hint="eastAsia" w:ascii="Times New Roman" w:hAnsi="Times New Roman" w:cs="Times New Roman" w:eastAsiaTheme="minorEastAsia"/>
                <w:kern w:val="2"/>
                <w:sz w:val="18"/>
                <w:szCs w:val="18"/>
              </w:rPr>
              <w:t>”</w:t>
            </w:r>
            <w:r>
              <w:rPr>
                <w:rFonts w:ascii="Times New Roman" w:hAnsi="Times New Roman" w:cs="Times New Roman" w:eastAsiaTheme="minorEastAsia"/>
                <w:kern w:val="2"/>
                <w:sz w:val="18"/>
                <w:szCs w:val="18"/>
              </w:rPr>
              <w:t>、</w:t>
            </w:r>
            <w:r>
              <w:rPr>
                <w:rFonts w:hint="eastAsia" w:ascii="Times New Roman" w:hAnsi="Times New Roman" w:cs="Times New Roman" w:eastAsiaTheme="minorEastAsia"/>
                <w:kern w:val="2"/>
                <w:sz w:val="18"/>
                <w:szCs w:val="18"/>
              </w:rPr>
              <w:t xml:space="preserve"> “更衣</w:t>
            </w:r>
            <w:r>
              <w:rPr>
                <w:rFonts w:ascii="Times New Roman" w:hAnsi="Times New Roman" w:cs="Times New Roman" w:eastAsiaTheme="minorEastAsia"/>
                <w:kern w:val="2"/>
                <w:sz w:val="18"/>
                <w:szCs w:val="18"/>
              </w:rPr>
              <w:t>模块”、</w:t>
            </w:r>
            <w:r>
              <w:rPr>
                <w:rFonts w:hint="eastAsia" w:ascii="Times New Roman" w:hAnsi="Times New Roman" w:cs="Times New Roman" w:eastAsiaTheme="minorEastAsia"/>
                <w:kern w:val="2"/>
                <w:sz w:val="18"/>
                <w:szCs w:val="18"/>
              </w:rPr>
              <w:t xml:space="preserve"> “生产准备</w:t>
            </w:r>
            <w:r>
              <w:rPr>
                <w:rFonts w:ascii="Times New Roman" w:hAnsi="Times New Roman" w:cs="Times New Roman" w:eastAsiaTheme="minorEastAsia"/>
                <w:kern w:val="2"/>
                <w:sz w:val="18"/>
                <w:szCs w:val="18"/>
              </w:rPr>
              <w:t>模块</w:t>
            </w:r>
            <w:r>
              <w:rPr>
                <w:rFonts w:hint="eastAsia" w:ascii="Times New Roman" w:hAnsi="Times New Roman" w:cs="Times New Roman" w:eastAsiaTheme="minorEastAsia"/>
                <w:kern w:val="2"/>
                <w:sz w:val="18"/>
                <w:szCs w:val="18"/>
              </w:rPr>
              <w:t>”</w:t>
            </w:r>
            <w:r>
              <w:rPr>
                <w:rFonts w:ascii="Times New Roman" w:hAnsi="Times New Roman" w:cs="Times New Roman" w:eastAsiaTheme="minorEastAsia"/>
                <w:kern w:val="2"/>
                <w:sz w:val="18"/>
                <w:szCs w:val="18"/>
              </w:rPr>
              <w:t>、</w:t>
            </w:r>
            <w:r>
              <w:rPr>
                <w:rFonts w:hint="eastAsia" w:ascii="Times New Roman" w:hAnsi="Times New Roman" w:cs="Times New Roman" w:eastAsiaTheme="minorEastAsia"/>
                <w:kern w:val="2"/>
                <w:sz w:val="18"/>
                <w:szCs w:val="18"/>
              </w:rPr>
              <w:t>“领料称量</w:t>
            </w:r>
            <w:r>
              <w:rPr>
                <w:rFonts w:ascii="Times New Roman" w:hAnsi="Times New Roman" w:cs="Times New Roman" w:eastAsiaTheme="minorEastAsia"/>
                <w:kern w:val="2"/>
                <w:sz w:val="18"/>
                <w:szCs w:val="18"/>
              </w:rPr>
              <w:t>模块</w:t>
            </w:r>
            <w:r>
              <w:rPr>
                <w:rFonts w:hint="eastAsia" w:ascii="Times New Roman" w:hAnsi="Times New Roman" w:cs="Times New Roman" w:eastAsiaTheme="minorEastAsia"/>
                <w:kern w:val="2"/>
                <w:sz w:val="18"/>
                <w:szCs w:val="18"/>
              </w:rPr>
              <w:t>”、“压片</w:t>
            </w:r>
            <w:r>
              <w:rPr>
                <w:rFonts w:ascii="Times New Roman" w:hAnsi="Times New Roman" w:cs="Times New Roman" w:eastAsiaTheme="minorEastAsia"/>
                <w:kern w:val="2"/>
                <w:sz w:val="18"/>
                <w:szCs w:val="18"/>
              </w:rPr>
              <w:t>生产模块</w:t>
            </w:r>
            <w:r>
              <w:rPr>
                <w:rFonts w:hint="eastAsia" w:ascii="Times New Roman" w:hAnsi="Times New Roman" w:cs="Times New Roman" w:eastAsiaTheme="minorEastAsia"/>
                <w:kern w:val="2"/>
                <w:sz w:val="18"/>
                <w:szCs w:val="18"/>
              </w:rPr>
              <w:t>”、“入库</w:t>
            </w:r>
            <w:r>
              <w:rPr>
                <w:rFonts w:ascii="Times New Roman" w:hAnsi="Times New Roman" w:cs="Times New Roman" w:eastAsiaTheme="minorEastAsia"/>
                <w:kern w:val="2"/>
                <w:sz w:val="18"/>
                <w:szCs w:val="18"/>
              </w:rPr>
              <w:t>称量模块</w:t>
            </w:r>
            <w:r>
              <w:rPr>
                <w:rFonts w:hint="eastAsia" w:ascii="Times New Roman" w:hAnsi="Times New Roman" w:cs="Times New Roman" w:eastAsiaTheme="minorEastAsia"/>
                <w:kern w:val="2"/>
                <w:sz w:val="18"/>
                <w:szCs w:val="18"/>
              </w:rPr>
              <w:t>”、“清场</w:t>
            </w:r>
            <w:r>
              <w:rPr>
                <w:rFonts w:ascii="Times New Roman" w:hAnsi="Times New Roman" w:cs="Times New Roman" w:eastAsiaTheme="minorEastAsia"/>
                <w:kern w:val="2"/>
                <w:sz w:val="18"/>
                <w:szCs w:val="18"/>
              </w:rPr>
              <w:t>模块”</w:t>
            </w:r>
            <w:r>
              <w:rPr>
                <w:rFonts w:hint="eastAsia" w:ascii="Times New Roman" w:hAnsi="Times New Roman" w:cs="Times New Roman" w:eastAsiaTheme="minorEastAsia"/>
                <w:kern w:val="2"/>
                <w:sz w:val="18"/>
                <w:szCs w:val="18"/>
              </w:rPr>
              <w:t>、</w:t>
            </w:r>
            <w:r>
              <w:rPr>
                <w:rFonts w:ascii="Times New Roman" w:hAnsi="Times New Roman" w:cs="Times New Roman" w:eastAsiaTheme="minorEastAsia"/>
                <w:kern w:val="2"/>
                <w:sz w:val="18"/>
                <w:szCs w:val="18"/>
              </w:rPr>
              <w:t>“模具安装模块”、“模具拆卸清洁”、“质量</w:t>
            </w:r>
            <w:r>
              <w:rPr>
                <w:rFonts w:hint="eastAsia" w:ascii="Times New Roman" w:hAnsi="Times New Roman" w:cs="Times New Roman" w:eastAsiaTheme="minorEastAsia"/>
                <w:kern w:val="2"/>
                <w:sz w:val="18"/>
                <w:szCs w:val="18"/>
              </w:rPr>
              <w:t>检测</w:t>
            </w:r>
            <w:r>
              <w:rPr>
                <w:rFonts w:ascii="Times New Roman" w:hAnsi="Times New Roman" w:cs="Times New Roman" w:eastAsiaTheme="minorEastAsia"/>
                <w:kern w:val="2"/>
                <w:sz w:val="18"/>
                <w:szCs w:val="18"/>
              </w:rPr>
              <w:t>（</w:t>
            </w:r>
            <w:r>
              <w:rPr>
                <w:rFonts w:hint="eastAsia" w:ascii="Times New Roman" w:hAnsi="Times New Roman" w:cs="Times New Roman" w:eastAsiaTheme="minorEastAsia"/>
                <w:kern w:val="2"/>
                <w:sz w:val="18"/>
                <w:szCs w:val="18"/>
              </w:rPr>
              <w:t>片重</w:t>
            </w:r>
            <w:r>
              <w:rPr>
                <w:rFonts w:ascii="Times New Roman" w:hAnsi="Times New Roman" w:cs="Times New Roman" w:eastAsiaTheme="minorEastAsia"/>
                <w:kern w:val="2"/>
                <w:sz w:val="18"/>
                <w:szCs w:val="18"/>
              </w:rPr>
              <w:t>）</w:t>
            </w:r>
            <w:r>
              <w:rPr>
                <w:rFonts w:hint="eastAsia" w:ascii="Times New Roman" w:hAnsi="Times New Roman" w:cs="Times New Roman" w:eastAsiaTheme="minorEastAsia"/>
                <w:kern w:val="2"/>
                <w:sz w:val="18"/>
                <w:szCs w:val="18"/>
              </w:rPr>
              <w:t>模块</w:t>
            </w:r>
            <w:r>
              <w:rPr>
                <w:rFonts w:ascii="Times New Roman" w:hAnsi="Times New Roman" w:cs="Times New Roman" w:eastAsiaTheme="minorEastAsia"/>
                <w:kern w:val="2"/>
                <w:sz w:val="18"/>
                <w:szCs w:val="18"/>
              </w:rPr>
              <w:t>”</w:t>
            </w:r>
            <w:r>
              <w:rPr>
                <w:rFonts w:hint="eastAsia" w:ascii="Times New Roman" w:hAnsi="Times New Roman" w:cs="Times New Roman" w:eastAsiaTheme="minorEastAsia"/>
                <w:kern w:val="2"/>
                <w:sz w:val="18"/>
                <w:szCs w:val="18"/>
              </w:rPr>
              <w:t>、</w:t>
            </w:r>
            <w:r>
              <w:rPr>
                <w:rFonts w:ascii="Times New Roman" w:hAnsi="Times New Roman" w:cs="Times New Roman" w:eastAsiaTheme="minorEastAsia"/>
                <w:kern w:val="2"/>
                <w:sz w:val="18"/>
                <w:szCs w:val="18"/>
              </w:rPr>
              <w:t>“</w:t>
            </w:r>
            <w:r>
              <w:rPr>
                <w:rFonts w:hint="eastAsia" w:ascii="Times New Roman" w:hAnsi="Times New Roman" w:cs="Times New Roman" w:eastAsiaTheme="minorEastAsia"/>
                <w:kern w:val="2"/>
                <w:sz w:val="18"/>
                <w:szCs w:val="18"/>
              </w:rPr>
              <w:t>质量</w:t>
            </w:r>
            <w:r>
              <w:rPr>
                <w:rFonts w:ascii="Times New Roman" w:hAnsi="Times New Roman" w:cs="Times New Roman" w:eastAsiaTheme="minorEastAsia"/>
                <w:kern w:val="2"/>
                <w:sz w:val="18"/>
                <w:szCs w:val="18"/>
              </w:rPr>
              <w:t>检测（</w:t>
            </w:r>
            <w:r>
              <w:rPr>
                <w:rFonts w:hint="eastAsia" w:ascii="Times New Roman" w:hAnsi="Times New Roman" w:cs="Times New Roman" w:eastAsiaTheme="minorEastAsia"/>
                <w:kern w:val="2"/>
                <w:sz w:val="18"/>
                <w:szCs w:val="18"/>
              </w:rPr>
              <w:t>硬度</w:t>
            </w:r>
            <w:r>
              <w:rPr>
                <w:rFonts w:ascii="Times New Roman" w:hAnsi="Times New Roman" w:cs="Times New Roman" w:eastAsiaTheme="minorEastAsia"/>
                <w:kern w:val="2"/>
                <w:sz w:val="18"/>
                <w:szCs w:val="18"/>
              </w:rPr>
              <w:t>）</w:t>
            </w:r>
            <w:r>
              <w:rPr>
                <w:rFonts w:hint="eastAsia" w:ascii="Times New Roman" w:hAnsi="Times New Roman" w:cs="Times New Roman" w:eastAsiaTheme="minorEastAsia"/>
                <w:kern w:val="2"/>
                <w:sz w:val="18"/>
                <w:szCs w:val="18"/>
              </w:rPr>
              <w:t>模块</w:t>
            </w:r>
            <w:r>
              <w:rPr>
                <w:rFonts w:ascii="Times New Roman" w:hAnsi="Times New Roman" w:cs="Times New Roman" w:eastAsiaTheme="minorEastAsia"/>
                <w:kern w:val="2"/>
                <w:sz w:val="18"/>
                <w:szCs w:val="18"/>
              </w:rPr>
              <w:t>”</w:t>
            </w:r>
            <w:r>
              <w:rPr>
                <w:rFonts w:hint="eastAsia" w:ascii="Times New Roman" w:hAnsi="Times New Roman" w:cs="Times New Roman" w:eastAsiaTheme="minorEastAsia"/>
                <w:kern w:val="2"/>
                <w:sz w:val="18"/>
                <w:szCs w:val="18"/>
              </w:rPr>
              <w:t>、</w:t>
            </w:r>
            <w:r>
              <w:rPr>
                <w:rFonts w:ascii="Times New Roman" w:hAnsi="Times New Roman" w:cs="Times New Roman" w:eastAsiaTheme="minorEastAsia"/>
                <w:kern w:val="2"/>
                <w:sz w:val="18"/>
                <w:szCs w:val="18"/>
              </w:rPr>
              <w:t>“</w:t>
            </w:r>
            <w:r>
              <w:rPr>
                <w:rFonts w:hint="eastAsia" w:ascii="Times New Roman" w:hAnsi="Times New Roman" w:cs="Times New Roman" w:eastAsiaTheme="minorEastAsia"/>
                <w:kern w:val="2"/>
                <w:sz w:val="18"/>
                <w:szCs w:val="18"/>
              </w:rPr>
              <w:t>质量</w:t>
            </w:r>
            <w:r>
              <w:rPr>
                <w:rFonts w:ascii="Times New Roman" w:hAnsi="Times New Roman" w:cs="Times New Roman" w:eastAsiaTheme="minorEastAsia"/>
                <w:kern w:val="2"/>
                <w:sz w:val="18"/>
                <w:szCs w:val="18"/>
              </w:rPr>
              <w:t>检测（</w:t>
            </w:r>
            <w:r>
              <w:rPr>
                <w:rFonts w:hint="eastAsia" w:ascii="Times New Roman" w:hAnsi="Times New Roman" w:cs="Times New Roman" w:eastAsiaTheme="minorEastAsia"/>
                <w:kern w:val="2"/>
                <w:sz w:val="18"/>
                <w:szCs w:val="18"/>
              </w:rPr>
              <w:t>脆碎度</w:t>
            </w:r>
            <w:r>
              <w:rPr>
                <w:rFonts w:ascii="Times New Roman" w:hAnsi="Times New Roman" w:cs="Times New Roman" w:eastAsiaTheme="minorEastAsia"/>
                <w:kern w:val="2"/>
                <w:sz w:val="18"/>
                <w:szCs w:val="18"/>
              </w:rPr>
              <w:t>）</w:t>
            </w:r>
            <w:r>
              <w:rPr>
                <w:rFonts w:hint="eastAsia" w:ascii="Times New Roman" w:hAnsi="Times New Roman" w:cs="Times New Roman" w:eastAsiaTheme="minorEastAsia"/>
                <w:kern w:val="2"/>
                <w:sz w:val="18"/>
                <w:szCs w:val="18"/>
              </w:rPr>
              <w:t>模块</w:t>
            </w:r>
            <w:r>
              <w:rPr>
                <w:rFonts w:ascii="Times New Roman" w:hAnsi="Times New Roman" w:cs="Times New Roman" w:eastAsiaTheme="minorEastAsia"/>
                <w:kern w:val="2"/>
                <w:sz w:val="18"/>
                <w:szCs w:val="18"/>
              </w:rPr>
              <w:t>”</w:t>
            </w:r>
            <w:r>
              <w:rPr>
                <w:rFonts w:hint="eastAsia" w:ascii="Times New Roman" w:hAnsi="Times New Roman" w:cs="Times New Roman" w:eastAsiaTheme="minorEastAsia"/>
                <w:kern w:val="2"/>
                <w:sz w:val="18"/>
                <w:szCs w:val="18"/>
              </w:rPr>
              <w:t>共计13个</w:t>
            </w:r>
            <w:r>
              <w:rPr>
                <w:rFonts w:ascii="Times New Roman" w:hAnsi="Times New Roman" w:cs="Times New Roman" w:eastAsiaTheme="minorEastAsia"/>
                <w:kern w:val="2"/>
                <w:sz w:val="18"/>
                <w:szCs w:val="18"/>
              </w:rPr>
              <w:t>教学与</w:t>
            </w:r>
            <w:r>
              <w:rPr>
                <w:rFonts w:hint="eastAsia" w:ascii="Times New Roman" w:hAnsi="Times New Roman" w:cs="Times New Roman" w:eastAsiaTheme="minorEastAsia"/>
                <w:kern w:val="2"/>
                <w:sz w:val="18"/>
                <w:szCs w:val="18"/>
              </w:rPr>
              <w:t>训练</w:t>
            </w:r>
            <w:r>
              <w:rPr>
                <w:rFonts w:ascii="Times New Roman" w:hAnsi="Times New Roman" w:cs="Times New Roman" w:eastAsiaTheme="minorEastAsia"/>
                <w:kern w:val="2"/>
                <w:sz w:val="18"/>
                <w:szCs w:val="18"/>
              </w:rPr>
              <w:t>模块。</w:t>
            </w:r>
          </w:p>
          <w:p>
            <w:pPr>
              <w:pStyle w:val="43"/>
              <w:spacing w:line="360" w:lineRule="auto"/>
              <w:ind w:left="420" w:firstLine="2" w:firstLineChars="1"/>
              <w:rPr>
                <w:rFonts w:ascii="Times New Roman" w:hAnsi="Times New Roman" w:cs="Times New Roman"/>
                <w:b/>
                <w:sz w:val="18"/>
                <w:szCs w:val="18"/>
              </w:rPr>
            </w:pPr>
            <w:r>
              <w:rPr>
                <w:rFonts w:ascii="Times New Roman" w:hAnsi="Times New Roman" w:cs="Times New Roman"/>
                <w:b/>
                <w:sz w:val="18"/>
                <w:szCs w:val="18"/>
              </w:rPr>
              <w:t>3、虚拟仿真实训技术：</w:t>
            </w:r>
          </w:p>
          <w:p>
            <w:pPr>
              <w:numPr>
                <w:ilvl w:val="0"/>
                <w:numId w:val="0"/>
              </w:numPr>
              <w:tabs>
                <w:tab w:val="left" w:pos="420"/>
              </w:tabs>
              <w:spacing w:line="360" w:lineRule="auto"/>
              <w:jc w:val="left"/>
              <w:rPr>
                <w:rFonts w:ascii="Times New Roman" w:hAnsi="Times New Roman" w:cs="Times New Roman"/>
                <w:sz w:val="18"/>
                <w:szCs w:val="18"/>
              </w:rPr>
            </w:pPr>
            <w:r>
              <w:rPr>
                <w:rFonts w:ascii="Times New Roman" w:hAnsi="Times New Roman" w:cs="Times New Roman"/>
                <w:sz w:val="18"/>
                <w:szCs w:val="18"/>
              </w:rPr>
              <w:t>模型制作：采用3dMax建模。</w:t>
            </w:r>
          </w:p>
          <w:p>
            <w:pPr>
              <w:numPr>
                <w:ilvl w:val="0"/>
                <w:numId w:val="0"/>
              </w:numPr>
              <w:tabs>
                <w:tab w:val="left" w:pos="420"/>
              </w:tabs>
              <w:spacing w:line="360" w:lineRule="auto"/>
              <w:jc w:val="left"/>
              <w:rPr>
                <w:rFonts w:ascii="Times New Roman" w:hAnsi="Times New Roman" w:cs="Times New Roman"/>
                <w:sz w:val="18"/>
                <w:szCs w:val="18"/>
              </w:rPr>
            </w:pPr>
            <w:r>
              <w:rPr>
                <w:rFonts w:ascii="Times New Roman" w:hAnsi="Times New Roman" w:cs="Times New Roman"/>
                <w:sz w:val="18"/>
                <w:szCs w:val="18"/>
              </w:rPr>
              <w:t>动画制作：采用Neuron动作捕捉技术。</w:t>
            </w:r>
          </w:p>
          <w:p>
            <w:pPr>
              <w:numPr>
                <w:ilvl w:val="0"/>
                <w:numId w:val="0"/>
              </w:numPr>
              <w:tabs>
                <w:tab w:val="left" w:pos="420"/>
              </w:tabs>
              <w:spacing w:line="360" w:lineRule="auto"/>
              <w:jc w:val="left"/>
              <w:rPr>
                <w:rFonts w:ascii="Times New Roman" w:hAnsi="Times New Roman" w:cs="Times New Roman"/>
                <w:sz w:val="18"/>
                <w:szCs w:val="18"/>
              </w:rPr>
            </w:pPr>
            <w:r>
              <w:rPr>
                <w:rFonts w:ascii="Times New Roman" w:hAnsi="Times New Roman" w:cs="Times New Roman"/>
                <w:sz w:val="18"/>
                <w:szCs w:val="18"/>
              </w:rPr>
              <w:t>场景构建：采用Unity3d 5.x游戏引擎。</w:t>
            </w:r>
          </w:p>
          <w:p>
            <w:pPr>
              <w:numPr>
                <w:ilvl w:val="0"/>
                <w:numId w:val="0"/>
              </w:numPr>
              <w:tabs>
                <w:tab w:val="left" w:pos="420"/>
              </w:tabs>
              <w:spacing w:line="360" w:lineRule="auto"/>
              <w:jc w:val="left"/>
              <w:rPr>
                <w:rFonts w:ascii="Times New Roman" w:hAnsi="Times New Roman" w:cs="Times New Roman"/>
                <w:sz w:val="18"/>
                <w:szCs w:val="18"/>
              </w:rPr>
            </w:pPr>
            <w:r>
              <w:rPr>
                <w:rFonts w:ascii="Times New Roman" w:hAnsi="Times New Roman" w:cs="Times New Roman"/>
                <w:sz w:val="18"/>
                <w:szCs w:val="18"/>
              </w:rPr>
              <w:t>角色控制：键盘↑、↓、←、→可分别控制虚拟人物前进、后退、左转、右转；</w:t>
            </w:r>
          </w:p>
          <w:p>
            <w:pPr>
              <w:numPr>
                <w:ilvl w:val="0"/>
                <w:numId w:val="0"/>
              </w:numPr>
              <w:tabs>
                <w:tab w:val="left" w:pos="420"/>
              </w:tabs>
              <w:spacing w:line="360" w:lineRule="auto"/>
              <w:jc w:val="left"/>
              <w:rPr>
                <w:rFonts w:ascii="Times New Roman" w:hAnsi="Times New Roman" w:cs="Times New Roman"/>
                <w:sz w:val="18"/>
                <w:szCs w:val="18"/>
              </w:rPr>
            </w:pPr>
            <w:r>
              <w:rPr>
                <w:rFonts w:ascii="Times New Roman" w:hAnsi="Times New Roman" w:cs="Times New Roman"/>
                <w:sz w:val="18"/>
                <w:szCs w:val="18"/>
              </w:rPr>
              <w:t>视角控制：鼠标左键长按，可以控制视角360°旋转移动；鼠标右键长按，可以控制角色与视角同时360°旋转移动；</w:t>
            </w:r>
          </w:p>
          <w:p>
            <w:pPr>
              <w:numPr>
                <w:ilvl w:val="0"/>
                <w:numId w:val="0"/>
              </w:numPr>
              <w:tabs>
                <w:tab w:val="left" w:pos="420"/>
              </w:tabs>
              <w:spacing w:line="360" w:lineRule="auto"/>
              <w:jc w:val="left"/>
              <w:rPr>
                <w:rFonts w:ascii="Times New Roman" w:hAnsi="Times New Roman" w:cs="Times New Roman"/>
                <w:sz w:val="18"/>
                <w:szCs w:val="18"/>
              </w:rPr>
            </w:pPr>
            <w:r>
              <w:rPr>
                <w:rFonts w:ascii="Times New Roman" w:hAnsi="Times New Roman" w:cs="Times New Roman"/>
                <w:sz w:val="18"/>
                <w:szCs w:val="18"/>
              </w:rPr>
              <w:t>场景帮助：</w:t>
            </w:r>
            <w:r>
              <w:rPr>
                <w:rFonts w:hint="eastAsia" w:ascii="Times New Roman" w:hAnsi="Times New Roman" w:cs="Times New Roman"/>
                <w:sz w:val="18"/>
                <w:szCs w:val="18"/>
              </w:rPr>
              <w:t>提供场景操作帮助，供使用者熟悉操作方法，完成整个实验</w:t>
            </w:r>
            <w:r>
              <w:rPr>
                <w:rFonts w:ascii="Times New Roman" w:hAnsi="Times New Roman" w:cs="Times New Roman"/>
                <w:sz w:val="18"/>
                <w:szCs w:val="18"/>
              </w:rPr>
              <w:t>。</w:t>
            </w:r>
          </w:p>
          <w:p>
            <w:pPr>
              <w:pStyle w:val="2"/>
              <w:rPr>
                <w:rFonts w:hint="eastAsia" w:eastAsia="宋体"/>
                <w:b/>
                <w:bCs/>
                <w:lang w:eastAsia="zh-CN"/>
              </w:rPr>
            </w:pPr>
            <w:r>
              <w:rPr>
                <w:rFonts w:hint="eastAsia"/>
                <w:b/>
                <w:bCs/>
                <w:lang w:eastAsia="zh-CN"/>
              </w:rPr>
              <w:t>五年免费维护升级</w:t>
            </w:r>
          </w:p>
          <w:p>
            <w:pPr>
              <w:spacing w:line="360" w:lineRule="auto"/>
              <w:ind w:left="-2" w:leftChars="-1" w:firstLine="22" w:firstLineChars="12"/>
              <w:rPr>
                <w:rFonts w:ascii="Times New Roman" w:hAnsi="Times New Roman" w:cs="Times New Roman"/>
                <w:b/>
                <w:sz w:val="18"/>
                <w:szCs w:val="18"/>
              </w:rPr>
            </w:pPr>
            <w:r>
              <w:rPr>
                <w:rFonts w:ascii="Times New Roman" w:hAnsi="Times New Roman" w:cs="Times New Roman"/>
                <w:b/>
                <w:sz w:val="18"/>
                <w:szCs w:val="18"/>
              </w:rPr>
              <w:t xml:space="preserve">二、软件模块： </w:t>
            </w:r>
          </w:p>
          <w:p>
            <w:pPr>
              <w:spacing w:line="360" w:lineRule="auto"/>
              <w:ind w:firstLine="420"/>
              <w:rPr>
                <w:rFonts w:ascii="宋体" w:hAnsi="宋体" w:cs="宋体"/>
                <w:sz w:val="18"/>
                <w:szCs w:val="18"/>
              </w:rPr>
            </w:pPr>
            <w:r>
              <w:rPr>
                <w:rFonts w:hint="eastAsia" w:ascii="宋体" w:hAnsi="宋体" w:cs="宋体"/>
                <w:sz w:val="18"/>
                <w:szCs w:val="18"/>
              </w:rPr>
              <w:t>将教学相关知识点文件糅合在一起，用于教师教学及学生自主学习。知识点须有下列6大模块：压片技能竞赛基础知识，压片技术基础知识，压片机学习知识，压片机学习，</w:t>
            </w:r>
            <w:bookmarkStart w:id="1" w:name="OLE_LINK9"/>
            <w:r>
              <w:rPr>
                <w:rFonts w:hint="eastAsia" w:ascii="宋体" w:hAnsi="宋体" w:cs="宋体"/>
                <w:sz w:val="18"/>
                <w:szCs w:val="18"/>
              </w:rPr>
              <w:t>生产相关SOP案例</w:t>
            </w:r>
            <w:bookmarkEnd w:id="1"/>
            <w:r>
              <w:rPr>
                <w:rFonts w:hint="eastAsia" w:ascii="宋体" w:hAnsi="宋体" w:cs="宋体"/>
                <w:sz w:val="18"/>
                <w:szCs w:val="18"/>
              </w:rPr>
              <w:t>，2010年版GMP知识。</w:t>
            </w:r>
          </w:p>
          <w:p>
            <w:pPr>
              <w:spacing w:line="360" w:lineRule="auto"/>
              <w:ind w:firstLine="420"/>
              <w:rPr>
                <w:rFonts w:ascii="宋体" w:hAnsi="宋体" w:cs="宋体"/>
                <w:sz w:val="18"/>
                <w:szCs w:val="18"/>
              </w:rPr>
            </w:pPr>
            <w:bookmarkStart w:id="2" w:name="OLE_LINK1"/>
            <w:r>
              <w:rPr>
                <w:rFonts w:hint="eastAsia" w:ascii="宋体" w:hAnsi="宋体" w:cs="宋体"/>
                <w:sz w:val="18"/>
                <w:szCs w:val="18"/>
              </w:rPr>
              <w:t>压片技能竞赛基础知识</w:t>
            </w:r>
            <w:bookmarkEnd w:id="2"/>
            <w:r>
              <w:rPr>
                <w:rFonts w:hint="eastAsia" w:ascii="宋体" w:hAnsi="宋体" w:cs="宋体"/>
                <w:sz w:val="18"/>
                <w:szCs w:val="18"/>
              </w:rPr>
              <w:t>须有：</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片剂制备技术</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生产现场管理</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洁净厂房设计与验证</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清洁卫生管理与验证</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制药企业文件体系</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设备验证</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讲变更控制</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物料的验证</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纠正与预防措施（CAPA）管理</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压片岗位操作规程</w:t>
            </w:r>
          </w:p>
          <w:p>
            <w:pPr>
              <w:spacing w:line="360" w:lineRule="auto"/>
              <w:ind w:firstLine="420"/>
              <w:rPr>
                <w:rFonts w:ascii="宋体" w:hAnsi="宋体" w:cs="宋体"/>
                <w:sz w:val="18"/>
                <w:szCs w:val="18"/>
              </w:rPr>
            </w:pPr>
            <w:bookmarkStart w:id="3" w:name="OLE_LINK2"/>
            <w:r>
              <w:rPr>
                <w:rFonts w:hint="eastAsia" w:ascii="宋体" w:hAnsi="宋体" w:cs="宋体"/>
                <w:sz w:val="18"/>
                <w:szCs w:val="18"/>
              </w:rPr>
              <w:t>压片技术基础知识点</w:t>
            </w:r>
            <w:bookmarkEnd w:id="3"/>
            <w:r>
              <w:rPr>
                <w:rFonts w:hint="eastAsia" w:ascii="宋体" w:hAnsi="宋体" w:cs="宋体"/>
                <w:sz w:val="18"/>
                <w:szCs w:val="18"/>
              </w:rPr>
              <w:t>须有：</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 xml:space="preserve">片剂的制备工艺 </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药品生产验证论述</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制药机械（设备）验证导则</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药品生产卫生管理</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制药企业的文件体系与管理</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ZP-35冲压片机验证方案</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泡腾片验证方案</w:t>
            </w:r>
          </w:p>
          <w:p>
            <w:pPr>
              <w:spacing w:line="360" w:lineRule="auto"/>
              <w:ind w:firstLine="420"/>
              <w:rPr>
                <w:rFonts w:ascii="宋体" w:hAnsi="宋体" w:cs="宋体"/>
                <w:sz w:val="18"/>
                <w:szCs w:val="18"/>
              </w:rPr>
            </w:pPr>
            <w:bookmarkStart w:id="4" w:name="OLE_LINK3"/>
            <w:r>
              <w:rPr>
                <w:rFonts w:hint="eastAsia" w:ascii="宋体" w:hAnsi="宋体" w:cs="宋体"/>
                <w:sz w:val="18"/>
                <w:szCs w:val="18"/>
              </w:rPr>
              <w:t>压片机学习</w:t>
            </w:r>
            <w:bookmarkEnd w:id="4"/>
            <w:r>
              <w:rPr>
                <w:rFonts w:hint="eastAsia" w:ascii="宋体" w:hAnsi="宋体" w:cs="宋体"/>
                <w:sz w:val="18"/>
                <w:szCs w:val="18"/>
              </w:rPr>
              <w:t>须有：</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压片机发展动态</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压片机工作原理</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ZP35B压片机操作维护与保养</w:t>
            </w:r>
          </w:p>
          <w:p>
            <w:pPr>
              <w:spacing w:line="360" w:lineRule="auto"/>
              <w:ind w:firstLine="420"/>
              <w:rPr>
                <w:rFonts w:ascii="宋体" w:hAnsi="宋体" w:cs="宋体"/>
                <w:sz w:val="18"/>
                <w:szCs w:val="18"/>
              </w:rPr>
            </w:pPr>
            <w:r>
              <w:rPr>
                <w:rFonts w:hint="eastAsia" w:ascii="宋体" w:hAnsi="宋体" w:cs="宋体"/>
                <w:sz w:val="18"/>
                <w:szCs w:val="18"/>
              </w:rPr>
              <w:t>记录</w:t>
            </w:r>
            <w:r>
              <w:rPr>
                <w:rFonts w:ascii="宋体" w:hAnsi="宋体" w:cs="宋体"/>
                <w:sz w:val="18"/>
                <w:szCs w:val="18"/>
              </w:rPr>
              <w:t>文件（</w:t>
            </w:r>
            <w:r>
              <w:rPr>
                <w:rFonts w:hint="eastAsia" w:ascii="宋体" w:hAnsi="宋体" w:cs="宋体"/>
                <w:sz w:val="18"/>
                <w:szCs w:val="18"/>
              </w:rPr>
              <w:t>SO</w:t>
            </w:r>
            <w:r>
              <w:rPr>
                <w:rFonts w:ascii="宋体" w:hAnsi="宋体" w:cs="宋体"/>
                <w:sz w:val="18"/>
                <w:szCs w:val="18"/>
              </w:rPr>
              <w:t>R）</w:t>
            </w:r>
            <w:r>
              <w:rPr>
                <w:rFonts w:hint="eastAsia" w:ascii="宋体" w:hAnsi="宋体" w:cs="宋体"/>
                <w:sz w:val="18"/>
                <w:szCs w:val="18"/>
              </w:rPr>
              <w:t>案例须有：</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物料管理记录（SOR-RM）</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生产管理记录（SOR-PS）</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质量管理记录（SOR-QA/QC）</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设备管理记录（SOR-EQ）</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清洁卫生管理记录（SOR-CS）</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相关记录附表案例</w:t>
            </w:r>
          </w:p>
          <w:p>
            <w:pPr>
              <w:spacing w:line="360" w:lineRule="auto"/>
              <w:ind w:firstLine="420"/>
              <w:rPr>
                <w:rFonts w:ascii="宋体" w:hAnsi="宋体" w:cs="宋体"/>
                <w:sz w:val="18"/>
                <w:szCs w:val="18"/>
              </w:rPr>
            </w:pPr>
            <w:bookmarkStart w:id="5" w:name="OLE_LINK4"/>
            <w:r>
              <w:rPr>
                <w:rFonts w:hint="eastAsia" w:ascii="宋体" w:hAnsi="宋体" w:cs="宋体"/>
                <w:sz w:val="18"/>
                <w:szCs w:val="18"/>
              </w:rPr>
              <w:t>生产相关SOP案例</w:t>
            </w:r>
            <w:bookmarkEnd w:id="5"/>
            <w:r>
              <w:rPr>
                <w:rFonts w:hint="eastAsia" w:ascii="宋体" w:hAnsi="宋体" w:cs="宋体"/>
                <w:sz w:val="18"/>
                <w:szCs w:val="18"/>
              </w:rPr>
              <w:t>须有：</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人员净化SOP</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生产管理</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生产环境管理</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压片岗位</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在线质量管理</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中转站管理</w:t>
            </w:r>
          </w:p>
          <w:p>
            <w:pPr>
              <w:spacing w:line="360" w:lineRule="auto"/>
              <w:ind w:firstLine="420"/>
              <w:rPr>
                <w:rFonts w:ascii="宋体" w:hAnsi="宋体" w:cs="宋体"/>
                <w:sz w:val="18"/>
                <w:szCs w:val="18"/>
              </w:rPr>
            </w:pPr>
            <w:r>
              <w:rPr>
                <w:rFonts w:hint="eastAsia" w:ascii="宋体" w:hAnsi="宋体" w:cs="宋体"/>
                <w:sz w:val="18"/>
                <w:szCs w:val="18"/>
              </w:rPr>
              <w:t>2010年版GMP知识须有：</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GMP规范</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GMP新理念</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药品生产质量管理规范</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GMP无菌制剂实施指南</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厂房设备GMP实施指南</w:t>
            </w:r>
          </w:p>
          <w:p>
            <w:pPr>
              <w:numPr>
                <w:ilvl w:val="0"/>
                <w:numId w:val="0"/>
              </w:numPr>
              <w:spacing w:line="360" w:lineRule="auto"/>
              <w:ind w:firstLine="360" w:firstLineChars="200"/>
              <w:rPr>
                <w:rFonts w:ascii="宋体" w:hAnsi="宋体" w:cs="宋体"/>
                <w:sz w:val="18"/>
                <w:szCs w:val="18"/>
              </w:rPr>
            </w:pPr>
            <w:r>
              <w:rPr>
                <w:rFonts w:hint="eastAsia" w:ascii="宋体" w:hAnsi="宋体" w:cs="宋体"/>
                <w:sz w:val="18"/>
                <w:szCs w:val="18"/>
              </w:rPr>
              <w:t>空调系统GMP实施指南</w:t>
            </w:r>
          </w:p>
          <w:p>
            <w:pPr>
              <w:spacing w:line="360" w:lineRule="auto"/>
              <w:ind w:firstLine="420"/>
              <w:rPr>
                <w:rFonts w:ascii="宋体" w:hAnsi="宋体" w:cs="宋体"/>
                <w:sz w:val="18"/>
                <w:szCs w:val="18"/>
              </w:rPr>
            </w:pPr>
            <w:r>
              <w:rPr>
                <w:rFonts w:hint="eastAsia" w:ascii="宋体" w:hAnsi="宋体" w:cs="宋体"/>
                <w:sz w:val="18"/>
                <w:szCs w:val="18"/>
              </w:rPr>
              <w:t>技术要求：</w:t>
            </w:r>
          </w:p>
          <w:p>
            <w:pPr>
              <w:numPr>
                <w:ilvl w:val="0"/>
                <w:numId w:val="0"/>
              </w:numPr>
              <w:spacing w:line="360" w:lineRule="auto"/>
              <w:rPr>
                <w:rFonts w:ascii="宋体" w:hAnsi="宋体" w:cs="宋体"/>
                <w:sz w:val="18"/>
                <w:szCs w:val="18"/>
              </w:rPr>
            </w:pPr>
            <w:r>
              <w:rPr>
                <w:rFonts w:hint="eastAsia" w:ascii="宋体" w:hAnsi="宋体" w:cs="宋体"/>
                <w:sz w:val="18"/>
                <w:szCs w:val="18"/>
              </w:rPr>
              <w:t>该模块应包含不少于100份的教学相关知识点文件。</w:t>
            </w:r>
          </w:p>
          <w:p>
            <w:pPr>
              <w:numPr>
                <w:ilvl w:val="0"/>
                <w:numId w:val="0"/>
              </w:numPr>
              <w:spacing w:line="360" w:lineRule="auto"/>
              <w:rPr>
                <w:rFonts w:ascii="Calibri" w:hAnsi="Calibri"/>
                <w:kern w:val="2"/>
                <w:sz w:val="18"/>
                <w:szCs w:val="18"/>
                <w:lang w:val="en-US" w:eastAsia="zh-CN" w:bidi="ar-SA"/>
              </w:rPr>
            </w:pPr>
            <w:r>
              <w:rPr>
                <w:rFonts w:hint="eastAsia" w:ascii="宋体" w:hAnsi="宋体" w:cs="宋体"/>
                <w:sz w:val="18"/>
                <w:szCs w:val="18"/>
              </w:rPr>
              <w:t>该模块中的文件可以导出成PDF文件，供老师参考教学使用。</w:t>
            </w:r>
          </w:p>
        </w:tc>
        <w:tc>
          <w:tcPr>
            <w:tcW w:w="856" w:type="dxa"/>
            <w:shd w:val="clear" w:color="auto" w:fill="FFFFFF"/>
            <w:noWrap w:val="0"/>
            <w:tcMar>
              <w:top w:w="75" w:type="dxa"/>
              <w:left w:w="75" w:type="dxa"/>
              <w:bottom w:w="75" w:type="dxa"/>
              <w:right w:w="75" w:type="dxa"/>
            </w:tcMar>
            <w:vAlign w:val="center"/>
          </w:tcPr>
          <w:p>
            <w:pPr>
              <w:jc w:val="center"/>
              <w:rPr>
                <w:rFonts w:hint="eastAsia" w:ascii="Calibri" w:hAnsi="Calibri"/>
                <w:kern w:val="2"/>
                <w:sz w:val="18"/>
                <w:szCs w:val="18"/>
                <w:lang w:val="en-US" w:eastAsia="zh-CN" w:bidi="ar-SA"/>
              </w:rPr>
            </w:pPr>
            <w:r>
              <w:rPr>
                <w:rFonts w:hint="eastAsia"/>
                <w:sz w:val="18"/>
                <w:szCs w:val="18"/>
              </w:rPr>
              <w:t>单机版</w:t>
            </w:r>
          </w:p>
        </w:tc>
        <w:tc>
          <w:tcPr>
            <w:tcW w:w="840" w:type="dxa"/>
            <w:shd w:val="clear" w:color="auto" w:fill="FFFFFF"/>
            <w:noWrap w:val="0"/>
            <w:tcMar>
              <w:top w:w="75" w:type="dxa"/>
              <w:left w:w="75" w:type="dxa"/>
              <w:bottom w:w="75" w:type="dxa"/>
              <w:right w:w="75" w:type="dxa"/>
            </w:tcMar>
            <w:vAlign w:val="center"/>
          </w:tcPr>
          <w:p>
            <w:pPr>
              <w:jc w:val="center"/>
              <w:rPr>
                <w:rFonts w:ascii="Calibri" w:hAnsi="Calibri"/>
                <w:kern w:val="2"/>
                <w:sz w:val="18"/>
                <w:szCs w:val="18"/>
                <w:lang w:val="en-US" w:eastAsia="zh-CN" w:bidi="ar-SA"/>
              </w:rPr>
            </w:pPr>
            <w:r>
              <w:rPr>
                <w:rFonts w:hint="eastAsia"/>
                <w:sz w:val="18"/>
                <w:szCs w:val="18"/>
              </w:rPr>
              <w:t>3个</w:t>
            </w:r>
          </w:p>
        </w:tc>
        <w:tc>
          <w:tcPr>
            <w:tcW w:w="2594" w:type="dxa"/>
            <w:shd w:val="clear" w:color="auto" w:fill="FFFFFF"/>
            <w:noWrap w:val="0"/>
            <w:tcMar>
              <w:top w:w="75" w:type="dxa"/>
              <w:left w:w="75" w:type="dxa"/>
              <w:bottom w:w="75" w:type="dxa"/>
              <w:right w:w="75" w:type="dxa"/>
            </w:tcMar>
            <w:vAlign w:val="center"/>
          </w:tcPr>
          <w:p>
            <w:pPr>
              <w:jc w:val="center"/>
              <w:rPr>
                <w:rFonts w:ascii="Calibri" w:hAnsi="Calibri"/>
                <w:kern w:val="2"/>
                <w:sz w:val="18"/>
                <w:szCs w:val="18"/>
                <w:lang w:val="en-US" w:eastAsia="zh-CN" w:bidi="ar-SA"/>
              </w:rPr>
            </w:pPr>
            <w:r>
              <w:rPr>
                <w:rFonts w:hint="eastAsia"/>
                <w:sz w:val="18"/>
                <w:szCs w:val="18"/>
              </w:rPr>
              <w:t>压片比赛用（全国药品食品行指委）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15" w:type="dxa"/>
            <w:left w:w="15" w:type="dxa"/>
            <w:bottom w:w="15" w:type="dxa"/>
            <w:right w:w="15" w:type="dxa"/>
          </w:tblCellMar>
        </w:tblPrEx>
        <w:trPr>
          <w:trHeight w:val="630" w:hRule="atLeast"/>
        </w:trPr>
        <w:tc>
          <w:tcPr>
            <w:tcW w:w="0" w:type="auto"/>
            <w:shd w:val="clear" w:color="auto" w:fill="FFFFFF"/>
            <w:vAlign w:val="center"/>
          </w:tcPr>
          <w:p>
            <w:pPr>
              <w:jc w:val="center"/>
              <w:rPr>
                <w:rFonts w:hint="eastAsia" w:eastAsia="宋体"/>
                <w:lang w:val="en-US" w:eastAsia="zh-CN"/>
              </w:rPr>
            </w:pPr>
            <w:r>
              <w:rPr>
                <w:rFonts w:hint="eastAsia"/>
                <w:lang w:val="en-US" w:eastAsia="zh-CN"/>
              </w:rPr>
              <w:t>7</w:t>
            </w:r>
          </w:p>
        </w:tc>
        <w:tc>
          <w:tcPr>
            <w:tcW w:w="0" w:type="auto"/>
            <w:shd w:val="clear" w:color="auto" w:fill="FFFFFF"/>
            <w:vAlign w:val="center"/>
          </w:tcPr>
          <w:p>
            <w:pPr>
              <w:jc w:val="center"/>
              <w:rPr>
                <w:rFonts w:hint="eastAsia" w:ascii="Calibri" w:hAnsi="Calibri" w:eastAsia="宋体"/>
                <w:kern w:val="2"/>
                <w:sz w:val="18"/>
                <w:szCs w:val="18"/>
                <w:lang w:val="en-US" w:eastAsia="zh-CN" w:bidi="ar-SA"/>
              </w:rPr>
            </w:pPr>
            <w:r>
              <w:rPr>
                <w:rFonts w:hint="eastAsia"/>
                <w:sz w:val="18"/>
                <w:szCs w:val="18"/>
                <w:lang w:eastAsia="zh-CN"/>
              </w:rPr>
              <w:t>视频制作软件</w:t>
            </w:r>
          </w:p>
        </w:tc>
        <w:tc>
          <w:tcPr>
            <w:tcW w:w="8708" w:type="dxa"/>
            <w:shd w:val="clear" w:color="auto" w:fill="FFFFFF"/>
            <w:vAlign w:val="center"/>
          </w:tcPr>
          <w:p>
            <w:pPr>
              <w:jc w:val="center"/>
              <w:rPr>
                <w:sz w:val="18"/>
                <w:szCs w:val="18"/>
              </w:rPr>
            </w:pPr>
            <w:r>
              <w:rPr>
                <w:rFonts w:hint="eastAsia"/>
                <w:sz w:val="18"/>
                <w:szCs w:val="18"/>
              </w:rPr>
              <w:t>MG动画视频制作软件，适用于制作企业宣传动画、动画广告、营销动画、多媒体课件、微课等</w:t>
            </w:r>
          </w:p>
          <w:p>
            <w:pPr>
              <w:jc w:val="center"/>
              <w:rPr>
                <w:sz w:val="18"/>
                <w:szCs w:val="18"/>
              </w:rPr>
            </w:pPr>
            <w:r>
              <w:rPr>
                <w:rFonts w:hint="eastAsia"/>
                <w:sz w:val="18"/>
                <w:szCs w:val="18"/>
              </w:rPr>
              <w:t>企业版</w:t>
            </w:r>
          </w:p>
          <w:p>
            <w:pPr>
              <w:jc w:val="center"/>
              <w:rPr>
                <w:rFonts w:hint="eastAsia"/>
                <w:sz w:val="18"/>
                <w:szCs w:val="18"/>
              </w:rPr>
            </w:pPr>
            <w:r>
              <w:rPr>
                <w:rFonts w:hint="eastAsia"/>
                <w:sz w:val="18"/>
                <w:szCs w:val="18"/>
              </w:rPr>
              <w:t>自定义视频分辨率尺寸</w:t>
            </w:r>
          </w:p>
          <w:p>
            <w:pPr>
              <w:jc w:val="center"/>
              <w:rPr>
                <w:rFonts w:hint="eastAsia"/>
                <w:sz w:val="18"/>
                <w:szCs w:val="18"/>
              </w:rPr>
            </w:pPr>
            <w:r>
              <w:rPr>
                <w:rFonts w:hint="eastAsia"/>
                <w:sz w:val="18"/>
                <w:szCs w:val="18"/>
              </w:rPr>
              <w:t>自定义GIF尺寸</w:t>
            </w:r>
          </w:p>
          <w:p>
            <w:pPr>
              <w:jc w:val="center"/>
              <w:rPr>
                <w:rFonts w:hint="eastAsia"/>
                <w:sz w:val="18"/>
                <w:szCs w:val="18"/>
              </w:rPr>
            </w:pPr>
            <w:r>
              <w:rPr>
                <w:rFonts w:hint="eastAsia"/>
                <w:sz w:val="18"/>
                <w:szCs w:val="18"/>
              </w:rPr>
              <w:t>可用所有模板</w:t>
            </w:r>
          </w:p>
          <w:p>
            <w:pPr>
              <w:jc w:val="center"/>
              <w:rPr>
                <w:rFonts w:hint="eastAsia"/>
                <w:sz w:val="18"/>
                <w:szCs w:val="18"/>
              </w:rPr>
            </w:pPr>
            <w:r>
              <w:rPr>
                <w:rFonts w:hint="eastAsia"/>
                <w:sz w:val="18"/>
                <w:szCs w:val="18"/>
              </w:rPr>
              <w:t>动画人物角色83个</w:t>
            </w:r>
          </w:p>
          <w:p>
            <w:pPr>
              <w:jc w:val="center"/>
              <w:rPr>
                <w:rFonts w:hint="eastAsia"/>
                <w:sz w:val="18"/>
                <w:szCs w:val="18"/>
              </w:rPr>
            </w:pPr>
            <w:r>
              <w:rPr>
                <w:rFonts w:hint="eastAsia"/>
                <w:sz w:val="18"/>
                <w:szCs w:val="18"/>
              </w:rPr>
              <w:t>不限添加镜头数量</w:t>
            </w:r>
          </w:p>
          <w:p>
            <w:pPr>
              <w:jc w:val="center"/>
              <w:rPr>
                <w:rFonts w:hint="eastAsia"/>
                <w:sz w:val="18"/>
                <w:szCs w:val="18"/>
              </w:rPr>
            </w:pPr>
            <w:r>
              <w:rPr>
                <w:rFonts w:hint="eastAsia"/>
                <w:sz w:val="18"/>
                <w:szCs w:val="18"/>
              </w:rPr>
              <w:t>不限添加背景数量</w:t>
            </w:r>
          </w:p>
          <w:p>
            <w:pPr>
              <w:jc w:val="center"/>
              <w:rPr>
                <w:rFonts w:hint="eastAsia"/>
                <w:sz w:val="18"/>
                <w:szCs w:val="18"/>
              </w:rPr>
            </w:pPr>
            <w:r>
              <w:rPr>
                <w:rFonts w:hint="eastAsia"/>
                <w:sz w:val="18"/>
                <w:szCs w:val="18"/>
              </w:rPr>
              <w:t>可用全部场景模板</w:t>
            </w:r>
          </w:p>
          <w:p>
            <w:pPr>
              <w:jc w:val="center"/>
              <w:rPr>
                <w:rFonts w:hint="eastAsia"/>
                <w:sz w:val="18"/>
                <w:szCs w:val="18"/>
              </w:rPr>
            </w:pPr>
            <w:r>
              <w:rPr>
                <w:rFonts w:hint="eastAsia"/>
                <w:sz w:val="18"/>
                <w:szCs w:val="18"/>
              </w:rPr>
              <w:t>不限添加场景数量</w:t>
            </w:r>
          </w:p>
          <w:p>
            <w:pPr>
              <w:jc w:val="center"/>
              <w:rPr>
                <w:rFonts w:hint="eastAsia" w:ascii="Calibri" w:hAnsi="Calibri"/>
                <w:kern w:val="2"/>
                <w:sz w:val="18"/>
                <w:szCs w:val="18"/>
                <w:lang w:val="en-US" w:eastAsia="zh-CN" w:bidi="ar-SA"/>
              </w:rPr>
            </w:pPr>
            <w:r>
              <w:rPr>
                <w:rFonts w:hint="eastAsia"/>
                <w:sz w:val="18"/>
                <w:szCs w:val="18"/>
              </w:rPr>
              <w:t>可用全部音频资源</w:t>
            </w:r>
          </w:p>
        </w:tc>
        <w:tc>
          <w:tcPr>
            <w:tcW w:w="856" w:type="dxa"/>
            <w:shd w:val="clear" w:color="auto" w:fill="FFFFFF"/>
            <w:vAlign w:val="center"/>
          </w:tcPr>
          <w:p>
            <w:pPr>
              <w:jc w:val="center"/>
              <w:rPr>
                <w:rFonts w:hint="eastAsia" w:ascii="Calibri" w:hAnsi="Calibri"/>
                <w:kern w:val="2"/>
                <w:sz w:val="18"/>
                <w:szCs w:val="18"/>
                <w:lang w:val="en-US" w:eastAsia="zh-CN" w:bidi="ar-SA"/>
              </w:rPr>
            </w:pPr>
            <w:r>
              <w:rPr>
                <w:rFonts w:hint="eastAsia"/>
                <w:sz w:val="18"/>
                <w:szCs w:val="18"/>
              </w:rPr>
              <w:t>套</w:t>
            </w:r>
          </w:p>
        </w:tc>
        <w:tc>
          <w:tcPr>
            <w:tcW w:w="840" w:type="dxa"/>
            <w:shd w:val="clear" w:color="auto" w:fill="FFFFFF"/>
            <w:vAlign w:val="center"/>
          </w:tcPr>
          <w:p>
            <w:pPr>
              <w:jc w:val="center"/>
              <w:rPr>
                <w:rFonts w:ascii="Calibri" w:hAnsi="Calibri"/>
                <w:kern w:val="2"/>
                <w:sz w:val="18"/>
                <w:szCs w:val="18"/>
                <w:lang w:val="en-US" w:eastAsia="zh-CN" w:bidi="ar-SA"/>
              </w:rPr>
            </w:pPr>
            <w:r>
              <w:rPr>
                <w:rFonts w:hint="eastAsia"/>
                <w:sz w:val="18"/>
                <w:szCs w:val="18"/>
              </w:rPr>
              <w:t>1</w:t>
            </w:r>
          </w:p>
        </w:tc>
        <w:tc>
          <w:tcPr>
            <w:tcW w:w="2594" w:type="dxa"/>
            <w:shd w:val="clear" w:color="auto" w:fill="FFFFFF"/>
            <w:vAlign w:val="center"/>
          </w:tcPr>
          <w:p>
            <w:pPr>
              <w:jc w:val="center"/>
              <w:rPr>
                <w:rFonts w:hint="eastAsia" w:ascii="Calibri" w:hAnsi="Calibri"/>
                <w:kern w:val="2"/>
                <w:sz w:val="18"/>
                <w:szCs w:val="18"/>
                <w:lang w:val="en-US" w:eastAsia="zh-CN" w:bidi="ar-SA"/>
              </w:rPr>
            </w:pPr>
            <w:r>
              <w:rPr>
                <w:rFonts w:hint="eastAsia"/>
                <w:sz w:val="18"/>
                <w:szCs w:val="18"/>
              </w:rPr>
              <w:t>多媒体课件、微课等动画</w:t>
            </w:r>
            <w:r>
              <w:rPr>
                <w:sz w:val="18"/>
                <w:szCs w:val="18"/>
              </w:rPr>
              <w:t>制作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15" w:type="dxa"/>
            <w:left w:w="15" w:type="dxa"/>
            <w:bottom w:w="15" w:type="dxa"/>
            <w:right w:w="15" w:type="dxa"/>
          </w:tblCellMar>
        </w:tblPrEx>
        <w:trPr>
          <w:trHeight w:val="630" w:hRule="atLeast"/>
        </w:trPr>
        <w:tc>
          <w:tcPr>
            <w:tcW w:w="14719" w:type="dxa"/>
            <w:gridSpan w:val="6"/>
            <w:shd w:val="clear" w:color="auto" w:fill="FFFFFF"/>
            <w:vAlign w:val="center"/>
          </w:tcPr>
          <w:p>
            <w:pPr>
              <w:jc w:val="center"/>
              <w:rPr>
                <w:rFonts w:hint="eastAsia"/>
                <w:sz w:val="18"/>
                <w:szCs w:val="18"/>
              </w:rPr>
            </w:pPr>
            <w:r>
              <w:rPr>
                <w:rFonts w:hint="eastAsia" w:ascii="宋体" w:hAnsi="宋体" w:cs="宋体"/>
                <w:i w:val="0"/>
                <w:color w:val="000000"/>
                <w:kern w:val="0"/>
                <w:sz w:val="28"/>
                <w:szCs w:val="28"/>
                <w:u w:val="none"/>
                <w:lang w:val="en-US" w:eastAsia="zh-CN" w:bidi="ar"/>
              </w:rPr>
              <w:t>备注：1、提供培训教材和培训计划；2、投标企业有软件开发企业的销售授权（复印件加盖公章制作于标书内）或本身即软件开发企业。</w:t>
            </w:r>
          </w:p>
        </w:tc>
      </w:tr>
    </w:tbl>
    <w:p/>
    <w:p/>
    <w:p>
      <w:pPr>
        <w:spacing w:line="360" w:lineRule="auto"/>
        <w:rPr>
          <w:rFonts w:ascii="宋体"/>
          <w:sz w:val="36"/>
          <w:szCs w:val="32"/>
        </w:rPr>
      </w:pPr>
      <w:r>
        <w:rPr>
          <w:rFonts w:hint="eastAsia" w:ascii="宋体" w:hAnsi="宋体"/>
          <w:sz w:val="36"/>
          <w:szCs w:val="32"/>
        </w:rPr>
        <w:t>注：中标人须承担本项目的专家论证及评审费。</w:t>
      </w:r>
    </w:p>
    <w:p>
      <w:pPr>
        <w:rPr>
          <w:rFonts w:ascii="仿宋_GB2312" w:hAnsi="仿宋" w:eastAsia="仿宋_GB2312"/>
          <w:sz w:val="28"/>
          <w:szCs w:val="28"/>
        </w:rPr>
        <w:sectPr>
          <w:pgSz w:w="16838" w:h="11906" w:orient="landscape"/>
          <w:pgMar w:top="1800" w:right="1440" w:bottom="1800" w:left="1440" w:header="851" w:footer="992" w:gutter="0"/>
          <w:cols w:space="720" w:num="1"/>
          <w:docGrid w:type="lines" w:linePitch="312" w:charSpace="0"/>
        </w:sectPr>
      </w:pPr>
    </w:p>
    <w:p>
      <w:pPr>
        <w:spacing w:line="360" w:lineRule="auto"/>
        <w:jc w:val="center"/>
        <w:rPr>
          <w:rFonts w:ascii="宋体"/>
          <w:b/>
          <w:sz w:val="44"/>
          <w:szCs w:val="44"/>
        </w:rPr>
      </w:pPr>
      <w:bookmarkStart w:id="6" w:name="_Toc268599010"/>
      <w:r>
        <w:rPr>
          <w:rFonts w:hint="eastAsia" w:ascii="宋体" w:hAnsi="宋体"/>
          <w:b/>
          <w:bCs/>
          <w:sz w:val="36"/>
          <w:szCs w:val="36"/>
        </w:rPr>
        <w:t>第五章</w:t>
      </w:r>
      <w:r>
        <w:rPr>
          <w:rFonts w:ascii="宋体" w:hAnsi="宋体"/>
          <w:b/>
          <w:bCs/>
          <w:sz w:val="36"/>
          <w:szCs w:val="36"/>
        </w:rPr>
        <w:t xml:space="preserve">  </w:t>
      </w:r>
      <w:r>
        <w:rPr>
          <w:rFonts w:hint="eastAsia" w:ascii="宋体" w:hAnsi="宋体"/>
          <w:b/>
          <w:bCs/>
          <w:sz w:val="36"/>
          <w:szCs w:val="36"/>
        </w:rPr>
        <w:t>铜仁市</w:t>
      </w:r>
      <w:r>
        <w:rPr>
          <w:rFonts w:hint="eastAsia" w:ascii="宋体" w:hAnsi="宋体"/>
          <w:b/>
          <w:sz w:val="36"/>
          <w:szCs w:val="36"/>
        </w:rPr>
        <w:t>政府采购合同（参考文本）</w:t>
      </w:r>
    </w:p>
    <w:bookmarkEnd w:id="6"/>
    <w:p>
      <w:pPr>
        <w:spacing w:line="360" w:lineRule="auto"/>
        <w:rPr>
          <w:rFonts w:ascii="宋体"/>
          <w:sz w:val="24"/>
        </w:rPr>
      </w:pPr>
      <w:bookmarkStart w:id="7" w:name="_Toc268599011"/>
      <w:r>
        <w:rPr>
          <w:rFonts w:hint="eastAsia" w:ascii="宋体" w:hAnsi="宋体"/>
          <w:sz w:val="24"/>
        </w:rPr>
        <w:t>甲方（采购人）：</w:t>
      </w:r>
      <w:r>
        <w:rPr>
          <w:rFonts w:ascii="宋体" w:hAnsi="宋体"/>
          <w:sz w:val="24"/>
          <w:u w:val="single"/>
        </w:rPr>
        <w:t xml:space="preserve">                           </w:t>
      </w:r>
      <w:r>
        <w:rPr>
          <w:rFonts w:ascii="宋体" w:hAnsi="宋体"/>
          <w:sz w:val="24"/>
        </w:rPr>
        <w:t xml:space="preserve">  </w:t>
      </w:r>
      <w:r>
        <w:rPr>
          <w:rFonts w:hint="eastAsia" w:ascii="宋体" w:hAnsi="宋体"/>
          <w:sz w:val="24"/>
        </w:rPr>
        <w:t>签订地点：</w:t>
      </w:r>
      <w:r>
        <w:rPr>
          <w:rFonts w:ascii="宋体" w:hAnsi="宋体"/>
          <w:sz w:val="24"/>
          <w:u w:val="single"/>
        </w:rPr>
        <w:t xml:space="preserve">                 </w:t>
      </w:r>
      <w:r>
        <w:rPr>
          <w:rFonts w:ascii="宋体" w:hAnsi="宋体"/>
          <w:sz w:val="24"/>
        </w:rPr>
        <w:t xml:space="preserve">  </w:t>
      </w:r>
    </w:p>
    <w:p>
      <w:pPr>
        <w:spacing w:line="360" w:lineRule="auto"/>
        <w:rPr>
          <w:rFonts w:ascii="宋体"/>
          <w:sz w:val="24"/>
          <w:u w:val="single"/>
        </w:rPr>
      </w:pPr>
      <w:r>
        <w:rPr>
          <w:rFonts w:hint="eastAsia" w:ascii="宋体" w:hAnsi="宋体"/>
          <w:sz w:val="24"/>
        </w:rPr>
        <w:t>乙方（成交供应商）：</w:t>
      </w:r>
      <w:r>
        <w:rPr>
          <w:rFonts w:ascii="宋体" w:hAnsi="宋体"/>
          <w:sz w:val="24"/>
          <w:u w:val="single"/>
        </w:rPr>
        <w:t xml:space="preserve">                         </w:t>
      </w:r>
      <w:r>
        <w:rPr>
          <w:rFonts w:hint="eastAsia" w:ascii="宋体" w:hAnsi="宋体"/>
          <w:sz w:val="24"/>
        </w:rPr>
        <w:t>签订日期：</w:t>
      </w:r>
      <w:r>
        <w:rPr>
          <w:rFonts w:ascii="宋体" w:hAnsi="宋体"/>
          <w:sz w:val="24"/>
        </w:rPr>
        <w:t xml:space="preserve"> </w:t>
      </w:r>
      <w:r>
        <w:rPr>
          <w:rFonts w:ascii="宋体" w:hAnsi="宋体"/>
          <w:sz w:val="24"/>
          <w:u w:val="single"/>
        </w:rPr>
        <w:t xml:space="preserve">     </w:t>
      </w:r>
      <w:r>
        <w:rPr>
          <w:rFonts w:hint="eastAsia" w:ascii="宋体" w:hAnsi="宋体"/>
          <w:sz w:val="24"/>
          <w:u w:val="single"/>
        </w:rPr>
        <w:t>年</w:t>
      </w:r>
      <w:r>
        <w:rPr>
          <w:rFonts w:ascii="宋体" w:hAnsi="宋体"/>
          <w:sz w:val="24"/>
          <w:u w:val="single"/>
        </w:rPr>
        <w:t xml:space="preserve">   </w:t>
      </w:r>
      <w:r>
        <w:rPr>
          <w:rFonts w:hint="eastAsia" w:ascii="宋体" w:hAnsi="宋体"/>
          <w:sz w:val="24"/>
          <w:u w:val="single"/>
        </w:rPr>
        <w:t>月</w:t>
      </w:r>
      <w:r>
        <w:rPr>
          <w:rFonts w:ascii="宋体" w:hAnsi="宋体"/>
          <w:sz w:val="24"/>
          <w:u w:val="single"/>
        </w:rPr>
        <w:t xml:space="preserve">   </w:t>
      </w:r>
      <w:r>
        <w:rPr>
          <w:rFonts w:hint="eastAsia" w:ascii="宋体" w:hAnsi="宋体"/>
          <w:sz w:val="24"/>
          <w:u w:val="single"/>
        </w:rPr>
        <w:t>日</w:t>
      </w:r>
    </w:p>
    <w:p>
      <w:pPr>
        <w:spacing w:line="360" w:lineRule="auto"/>
        <w:rPr>
          <w:rFonts w:ascii="宋体"/>
          <w:sz w:val="24"/>
        </w:rPr>
      </w:pPr>
      <w:r>
        <w:rPr>
          <w:rFonts w:ascii="宋体" w:hAnsi="宋体"/>
          <w:sz w:val="24"/>
        </w:rPr>
        <w:t xml:space="preserve">    </w:t>
      </w:r>
      <w:r>
        <w:rPr>
          <w:rFonts w:hint="eastAsia" w:ascii="宋体" w:hAnsi="宋体"/>
          <w:sz w:val="24"/>
        </w:rPr>
        <w:t>根据甲方委托</w:t>
      </w:r>
      <w:r>
        <w:rPr>
          <w:rFonts w:hint="eastAsia" w:ascii="宋体" w:hAnsi="宋体"/>
          <w:sz w:val="24"/>
          <w:u w:val="single"/>
        </w:rPr>
        <w:t>（采购代理机构）</w:t>
      </w:r>
      <w:r>
        <w:rPr>
          <w:rFonts w:hint="eastAsia" w:ascii="宋体" w:hAnsi="宋体"/>
          <w:sz w:val="24"/>
        </w:rPr>
        <w:t>对</w:t>
      </w:r>
      <w:r>
        <w:rPr>
          <w:rFonts w:ascii="宋体" w:hAnsi="宋体"/>
          <w:sz w:val="24"/>
          <w:u w:val="single"/>
        </w:rPr>
        <w:t xml:space="preserve">       </w:t>
      </w:r>
      <w:r>
        <w:rPr>
          <w:rFonts w:hint="eastAsia" w:ascii="宋体" w:hAnsi="宋体"/>
          <w:sz w:val="24"/>
        </w:rPr>
        <w:t>进行采购（项目编号：</w:t>
      </w:r>
      <w:r>
        <w:rPr>
          <w:rFonts w:ascii="宋体" w:hAnsi="宋体"/>
          <w:sz w:val="24"/>
          <w:u w:val="single"/>
        </w:rPr>
        <w:t xml:space="preserve">     </w:t>
      </w:r>
      <w:r>
        <w:rPr>
          <w:rFonts w:hint="eastAsia" w:ascii="宋体" w:hAnsi="宋体"/>
          <w:sz w:val="24"/>
        </w:rPr>
        <w:t>）的采购结果，乙方为成交供应商，现依照谈判文件、</w:t>
      </w:r>
      <w:r>
        <w:rPr>
          <w:rFonts w:hint="eastAsia" w:ascii="宋体" w:hAnsi="宋体"/>
          <w:sz w:val="24"/>
          <w:u w:val="single"/>
        </w:rPr>
        <w:t>（成交供应商）</w:t>
      </w:r>
      <w:r>
        <w:rPr>
          <w:rFonts w:hint="eastAsia" w:ascii="宋体" w:hAnsi="宋体"/>
          <w:sz w:val="24"/>
        </w:rPr>
        <w:t>响应文件及有关法律、法规、规章规定的内容，双方达成如下协议：</w:t>
      </w:r>
    </w:p>
    <w:p>
      <w:pPr>
        <w:spacing w:line="360" w:lineRule="auto"/>
        <w:ind w:firstLine="480" w:firstLineChars="200"/>
        <w:rPr>
          <w:rFonts w:ascii="宋体" w:cs="Arial"/>
          <w:sz w:val="24"/>
        </w:rPr>
      </w:pPr>
      <w:r>
        <w:rPr>
          <w:rFonts w:ascii="宋体" w:hAnsi="宋体" w:cs="Arial"/>
          <w:sz w:val="24"/>
        </w:rPr>
        <w:t>1.</w:t>
      </w:r>
      <w:r>
        <w:rPr>
          <w:rFonts w:hint="eastAsia" w:ascii="宋体" w:hAnsi="宋体" w:cs="Arial"/>
          <w:sz w:val="24"/>
        </w:rPr>
        <w:t>合同标物的和合同价格</w:t>
      </w:r>
    </w:p>
    <w:tbl>
      <w:tblPr>
        <w:tblStyle w:val="17"/>
        <w:tblW w:w="9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668"/>
        <w:gridCol w:w="1668"/>
        <w:gridCol w:w="1148"/>
        <w:gridCol w:w="1148"/>
        <w:gridCol w:w="1148"/>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jc w:val="center"/>
              <w:rPr>
                <w:rFonts w:ascii="宋体"/>
                <w:b/>
                <w:sz w:val="24"/>
              </w:rPr>
            </w:pPr>
            <w:r>
              <w:rPr>
                <w:rFonts w:hint="eastAsia" w:ascii="宋体" w:hAnsi="宋体"/>
                <w:b/>
                <w:sz w:val="24"/>
              </w:rPr>
              <w:t>产品名称</w:t>
            </w:r>
          </w:p>
        </w:tc>
        <w:tc>
          <w:tcPr>
            <w:tcW w:w="1668" w:type="dxa"/>
            <w:vAlign w:val="center"/>
          </w:tcPr>
          <w:p>
            <w:pPr>
              <w:spacing w:line="360" w:lineRule="auto"/>
              <w:jc w:val="center"/>
              <w:rPr>
                <w:rFonts w:ascii="宋体"/>
                <w:b/>
                <w:sz w:val="24"/>
              </w:rPr>
            </w:pPr>
            <w:r>
              <w:rPr>
                <w:rFonts w:hint="eastAsia" w:ascii="宋体" w:hAnsi="宋体"/>
                <w:b/>
                <w:sz w:val="24"/>
              </w:rPr>
              <w:t>规格型号</w:t>
            </w:r>
          </w:p>
        </w:tc>
        <w:tc>
          <w:tcPr>
            <w:tcW w:w="1668" w:type="dxa"/>
            <w:vAlign w:val="center"/>
          </w:tcPr>
          <w:p>
            <w:pPr>
              <w:spacing w:line="360" w:lineRule="auto"/>
              <w:jc w:val="center"/>
              <w:rPr>
                <w:rFonts w:ascii="宋体"/>
                <w:b/>
                <w:sz w:val="24"/>
              </w:rPr>
            </w:pPr>
            <w:r>
              <w:rPr>
                <w:rFonts w:hint="eastAsia" w:ascii="宋体" w:hAnsi="宋体"/>
                <w:b/>
                <w:sz w:val="24"/>
              </w:rPr>
              <w:t>生产厂家</w:t>
            </w:r>
          </w:p>
        </w:tc>
        <w:tc>
          <w:tcPr>
            <w:tcW w:w="1148" w:type="dxa"/>
            <w:vAlign w:val="center"/>
          </w:tcPr>
          <w:p>
            <w:pPr>
              <w:spacing w:line="360" w:lineRule="auto"/>
              <w:jc w:val="center"/>
              <w:rPr>
                <w:rFonts w:ascii="宋体"/>
                <w:b/>
                <w:sz w:val="24"/>
              </w:rPr>
            </w:pPr>
            <w:r>
              <w:rPr>
                <w:rFonts w:hint="eastAsia" w:ascii="宋体" w:hAnsi="宋体"/>
                <w:b/>
                <w:sz w:val="24"/>
              </w:rPr>
              <w:t>数</w:t>
            </w:r>
            <w:r>
              <w:rPr>
                <w:rFonts w:ascii="宋体" w:hAnsi="宋体"/>
                <w:b/>
                <w:sz w:val="24"/>
              </w:rPr>
              <w:t xml:space="preserve"> </w:t>
            </w:r>
            <w:r>
              <w:rPr>
                <w:rFonts w:hint="eastAsia" w:ascii="宋体" w:hAnsi="宋体"/>
                <w:b/>
                <w:sz w:val="24"/>
              </w:rPr>
              <w:t>量</w:t>
            </w:r>
          </w:p>
        </w:tc>
        <w:tc>
          <w:tcPr>
            <w:tcW w:w="1148" w:type="dxa"/>
            <w:vAlign w:val="center"/>
          </w:tcPr>
          <w:p>
            <w:pPr>
              <w:spacing w:line="360" w:lineRule="auto"/>
              <w:jc w:val="center"/>
              <w:rPr>
                <w:rFonts w:ascii="宋体"/>
                <w:b/>
                <w:sz w:val="24"/>
              </w:rPr>
            </w:pPr>
            <w:r>
              <w:rPr>
                <w:rFonts w:hint="eastAsia" w:ascii="宋体" w:hAnsi="宋体"/>
                <w:b/>
                <w:sz w:val="24"/>
              </w:rPr>
              <w:t>单</w:t>
            </w:r>
            <w:r>
              <w:rPr>
                <w:rFonts w:ascii="宋体" w:hAnsi="宋体"/>
                <w:b/>
                <w:sz w:val="24"/>
              </w:rPr>
              <w:t xml:space="preserve"> </w:t>
            </w:r>
            <w:r>
              <w:rPr>
                <w:rFonts w:hint="eastAsia" w:ascii="宋体" w:hAnsi="宋体"/>
                <w:b/>
                <w:sz w:val="24"/>
              </w:rPr>
              <w:t>价</w:t>
            </w:r>
          </w:p>
        </w:tc>
        <w:tc>
          <w:tcPr>
            <w:tcW w:w="1148" w:type="dxa"/>
            <w:vAlign w:val="center"/>
          </w:tcPr>
          <w:p>
            <w:pPr>
              <w:spacing w:line="360" w:lineRule="auto"/>
              <w:jc w:val="center"/>
              <w:rPr>
                <w:rFonts w:ascii="宋体"/>
                <w:b/>
                <w:sz w:val="24"/>
              </w:rPr>
            </w:pPr>
            <w:r>
              <w:rPr>
                <w:rFonts w:hint="eastAsia" w:ascii="宋体" w:hAnsi="宋体"/>
                <w:b/>
                <w:sz w:val="24"/>
              </w:rPr>
              <w:t>总</w:t>
            </w:r>
            <w:r>
              <w:rPr>
                <w:rFonts w:ascii="宋体" w:hAnsi="宋体"/>
                <w:b/>
                <w:sz w:val="24"/>
              </w:rPr>
              <w:t xml:space="preserve"> </w:t>
            </w:r>
            <w:r>
              <w:rPr>
                <w:rFonts w:hint="eastAsia" w:ascii="宋体" w:hAnsi="宋体"/>
                <w:b/>
                <w:sz w:val="24"/>
              </w:rPr>
              <w:t>价</w:t>
            </w:r>
          </w:p>
        </w:tc>
        <w:tc>
          <w:tcPr>
            <w:tcW w:w="1316" w:type="dxa"/>
            <w:vAlign w:val="center"/>
          </w:tcPr>
          <w:p>
            <w:pPr>
              <w:spacing w:line="360" w:lineRule="auto"/>
              <w:jc w:val="center"/>
              <w:rPr>
                <w:rFonts w:ascii="宋体"/>
                <w:b/>
                <w:sz w:val="24"/>
              </w:rPr>
            </w:pPr>
            <w:r>
              <w:rPr>
                <w:rFonts w:hint="eastAsia" w:ascii="宋体" w:hAnsi="宋体"/>
                <w:b/>
                <w:sz w:val="24"/>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rPr>
                <w:rFonts w:ascii="宋体"/>
                <w:sz w:val="24"/>
              </w:rPr>
            </w:pPr>
          </w:p>
        </w:tc>
        <w:tc>
          <w:tcPr>
            <w:tcW w:w="1668" w:type="dxa"/>
            <w:vAlign w:val="center"/>
          </w:tcPr>
          <w:p>
            <w:pPr>
              <w:spacing w:line="360" w:lineRule="auto"/>
              <w:rPr>
                <w:rFonts w:ascii="宋体"/>
                <w:sz w:val="24"/>
              </w:rPr>
            </w:pPr>
          </w:p>
        </w:tc>
        <w:tc>
          <w:tcPr>
            <w:tcW w:w="1668" w:type="dxa"/>
            <w:vAlign w:val="center"/>
          </w:tcPr>
          <w:p>
            <w:pPr>
              <w:spacing w:line="360" w:lineRule="auto"/>
              <w:rPr>
                <w:rFonts w:ascii="宋体"/>
                <w:sz w:val="24"/>
              </w:rPr>
            </w:pPr>
          </w:p>
        </w:tc>
        <w:tc>
          <w:tcPr>
            <w:tcW w:w="1148" w:type="dxa"/>
            <w:vAlign w:val="center"/>
          </w:tcPr>
          <w:p>
            <w:pPr>
              <w:spacing w:line="360" w:lineRule="auto"/>
              <w:rPr>
                <w:rFonts w:ascii="宋体"/>
                <w:sz w:val="24"/>
              </w:rPr>
            </w:pPr>
          </w:p>
        </w:tc>
        <w:tc>
          <w:tcPr>
            <w:tcW w:w="1148" w:type="dxa"/>
            <w:vAlign w:val="center"/>
          </w:tcPr>
          <w:p>
            <w:pPr>
              <w:spacing w:line="360" w:lineRule="auto"/>
              <w:rPr>
                <w:rFonts w:ascii="宋体"/>
                <w:sz w:val="24"/>
              </w:rPr>
            </w:pPr>
          </w:p>
        </w:tc>
        <w:tc>
          <w:tcPr>
            <w:tcW w:w="1148" w:type="dxa"/>
            <w:vAlign w:val="center"/>
          </w:tcPr>
          <w:p>
            <w:pPr>
              <w:spacing w:line="360" w:lineRule="auto"/>
              <w:rPr>
                <w:rFonts w:ascii="宋体"/>
                <w:sz w:val="24"/>
              </w:rPr>
            </w:pPr>
          </w:p>
        </w:tc>
        <w:tc>
          <w:tcPr>
            <w:tcW w:w="1316" w:type="dxa"/>
            <w:vAlign w:val="center"/>
          </w:tcPr>
          <w:p>
            <w:pPr>
              <w:spacing w:line="36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rPr>
                <w:rFonts w:ascii="宋体"/>
                <w:sz w:val="24"/>
              </w:rPr>
            </w:pPr>
          </w:p>
        </w:tc>
        <w:tc>
          <w:tcPr>
            <w:tcW w:w="1668" w:type="dxa"/>
            <w:vAlign w:val="center"/>
          </w:tcPr>
          <w:p>
            <w:pPr>
              <w:spacing w:line="360" w:lineRule="auto"/>
              <w:rPr>
                <w:rFonts w:ascii="宋体"/>
                <w:sz w:val="24"/>
              </w:rPr>
            </w:pPr>
          </w:p>
        </w:tc>
        <w:tc>
          <w:tcPr>
            <w:tcW w:w="1668" w:type="dxa"/>
            <w:vAlign w:val="center"/>
          </w:tcPr>
          <w:p>
            <w:pPr>
              <w:spacing w:line="360" w:lineRule="auto"/>
              <w:rPr>
                <w:rFonts w:ascii="宋体"/>
                <w:sz w:val="24"/>
              </w:rPr>
            </w:pPr>
          </w:p>
        </w:tc>
        <w:tc>
          <w:tcPr>
            <w:tcW w:w="1148" w:type="dxa"/>
            <w:vAlign w:val="center"/>
          </w:tcPr>
          <w:p>
            <w:pPr>
              <w:spacing w:line="360" w:lineRule="auto"/>
              <w:rPr>
                <w:rFonts w:ascii="宋体"/>
                <w:sz w:val="24"/>
              </w:rPr>
            </w:pPr>
          </w:p>
        </w:tc>
        <w:tc>
          <w:tcPr>
            <w:tcW w:w="1148" w:type="dxa"/>
            <w:vAlign w:val="center"/>
          </w:tcPr>
          <w:p>
            <w:pPr>
              <w:spacing w:line="360" w:lineRule="auto"/>
              <w:rPr>
                <w:rFonts w:ascii="宋体"/>
                <w:sz w:val="24"/>
              </w:rPr>
            </w:pPr>
          </w:p>
        </w:tc>
        <w:tc>
          <w:tcPr>
            <w:tcW w:w="1148" w:type="dxa"/>
            <w:vAlign w:val="center"/>
          </w:tcPr>
          <w:p>
            <w:pPr>
              <w:spacing w:line="360" w:lineRule="auto"/>
              <w:rPr>
                <w:rFonts w:ascii="宋体"/>
                <w:sz w:val="24"/>
              </w:rPr>
            </w:pPr>
          </w:p>
        </w:tc>
        <w:tc>
          <w:tcPr>
            <w:tcW w:w="1316" w:type="dxa"/>
            <w:vAlign w:val="center"/>
          </w:tcPr>
          <w:p>
            <w:pPr>
              <w:spacing w:line="36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rPr>
                <w:rFonts w:ascii="宋体"/>
                <w:sz w:val="24"/>
              </w:rPr>
            </w:pPr>
          </w:p>
        </w:tc>
        <w:tc>
          <w:tcPr>
            <w:tcW w:w="1668" w:type="dxa"/>
            <w:vAlign w:val="center"/>
          </w:tcPr>
          <w:p>
            <w:pPr>
              <w:spacing w:line="360" w:lineRule="auto"/>
              <w:rPr>
                <w:rFonts w:ascii="宋体"/>
                <w:sz w:val="24"/>
              </w:rPr>
            </w:pPr>
          </w:p>
        </w:tc>
        <w:tc>
          <w:tcPr>
            <w:tcW w:w="1668" w:type="dxa"/>
            <w:vAlign w:val="center"/>
          </w:tcPr>
          <w:p>
            <w:pPr>
              <w:spacing w:line="360" w:lineRule="auto"/>
              <w:rPr>
                <w:rFonts w:ascii="宋体"/>
                <w:sz w:val="24"/>
              </w:rPr>
            </w:pPr>
          </w:p>
        </w:tc>
        <w:tc>
          <w:tcPr>
            <w:tcW w:w="1148" w:type="dxa"/>
            <w:vAlign w:val="center"/>
          </w:tcPr>
          <w:p>
            <w:pPr>
              <w:spacing w:line="360" w:lineRule="auto"/>
              <w:rPr>
                <w:rFonts w:ascii="宋体"/>
                <w:sz w:val="24"/>
              </w:rPr>
            </w:pPr>
          </w:p>
        </w:tc>
        <w:tc>
          <w:tcPr>
            <w:tcW w:w="1148" w:type="dxa"/>
            <w:vAlign w:val="center"/>
          </w:tcPr>
          <w:p>
            <w:pPr>
              <w:spacing w:line="360" w:lineRule="auto"/>
              <w:rPr>
                <w:rFonts w:ascii="宋体"/>
                <w:sz w:val="24"/>
              </w:rPr>
            </w:pPr>
          </w:p>
        </w:tc>
        <w:tc>
          <w:tcPr>
            <w:tcW w:w="1148" w:type="dxa"/>
            <w:vAlign w:val="center"/>
          </w:tcPr>
          <w:p>
            <w:pPr>
              <w:spacing w:line="360" w:lineRule="auto"/>
              <w:rPr>
                <w:rFonts w:ascii="宋体"/>
                <w:sz w:val="24"/>
              </w:rPr>
            </w:pPr>
          </w:p>
        </w:tc>
        <w:tc>
          <w:tcPr>
            <w:tcW w:w="1316" w:type="dxa"/>
            <w:vAlign w:val="center"/>
          </w:tcPr>
          <w:p>
            <w:pPr>
              <w:spacing w:line="36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rPr>
                <w:rFonts w:ascii="宋体"/>
                <w:sz w:val="24"/>
              </w:rPr>
            </w:pPr>
          </w:p>
        </w:tc>
        <w:tc>
          <w:tcPr>
            <w:tcW w:w="1668" w:type="dxa"/>
            <w:vAlign w:val="center"/>
          </w:tcPr>
          <w:p>
            <w:pPr>
              <w:spacing w:line="360" w:lineRule="auto"/>
              <w:rPr>
                <w:rFonts w:ascii="宋体"/>
                <w:sz w:val="24"/>
              </w:rPr>
            </w:pPr>
          </w:p>
        </w:tc>
        <w:tc>
          <w:tcPr>
            <w:tcW w:w="1668" w:type="dxa"/>
            <w:vAlign w:val="center"/>
          </w:tcPr>
          <w:p>
            <w:pPr>
              <w:spacing w:line="360" w:lineRule="auto"/>
              <w:rPr>
                <w:rFonts w:ascii="宋体"/>
                <w:sz w:val="24"/>
              </w:rPr>
            </w:pPr>
          </w:p>
        </w:tc>
        <w:tc>
          <w:tcPr>
            <w:tcW w:w="1148" w:type="dxa"/>
            <w:vAlign w:val="center"/>
          </w:tcPr>
          <w:p>
            <w:pPr>
              <w:spacing w:line="360" w:lineRule="auto"/>
              <w:rPr>
                <w:rFonts w:ascii="宋体"/>
                <w:sz w:val="24"/>
              </w:rPr>
            </w:pPr>
          </w:p>
        </w:tc>
        <w:tc>
          <w:tcPr>
            <w:tcW w:w="1148" w:type="dxa"/>
            <w:vAlign w:val="center"/>
          </w:tcPr>
          <w:p>
            <w:pPr>
              <w:spacing w:line="360" w:lineRule="auto"/>
              <w:rPr>
                <w:rFonts w:ascii="宋体"/>
                <w:sz w:val="24"/>
              </w:rPr>
            </w:pPr>
          </w:p>
        </w:tc>
        <w:tc>
          <w:tcPr>
            <w:tcW w:w="1148" w:type="dxa"/>
            <w:vAlign w:val="center"/>
          </w:tcPr>
          <w:p>
            <w:pPr>
              <w:spacing w:line="360" w:lineRule="auto"/>
              <w:rPr>
                <w:rFonts w:ascii="宋体"/>
                <w:sz w:val="24"/>
              </w:rPr>
            </w:pPr>
          </w:p>
        </w:tc>
        <w:tc>
          <w:tcPr>
            <w:tcW w:w="1316" w:type="dxa"/>
            <w:vAlign w:val="center"/>
          </w:tcPr>
          <w:p>
            <w:pPr>
              <w:spacing w:line="360" w:lineRule="auto"/>
              <w:rPr>
                <w:rFonts w:ascii="宋体"/>
                <w:sz w:val="24"/>
              </w:rPr>
            </w:pPr>
          </w:p>
        </w:tc>
      </w:tr>
    </w:tbl>
    <w:p>
      <w:pPr>
        <w:spacing w:line="360" w:lineRule="auto"/>
        <w:ind w:firstLine="480" w:firstLineChars="200"/>
        <w:rPr>
          <w:rFonts w:ascii="宋体" w:cs="Arial"/>
          <w:sz w:val="24"/>
        </w:rPr>
      </w:pPr>
      <w:r>
        <w:rPr>
          <w:rFonts w:ascii="宋体" w:hAnsi="宋体" w:cs="Arial"/>
          <w:sz w:val="24"/>
        </w:rPr>
        <w:t>2.</w:t>
      </w:r>
      <w:r>
        <w:rPr>
          <w:rFonts w:hint="eastAsia" w:ascii="宋体" w:hAnsi="宋体" w:cs="Arial"/>
          <w:sz w:val="24"/>
        </w:rPr>
        <w:t>交货方式和交货地点</w:t>
      </w:r>
    </w:p>
    <w:p>
      <w:pPr>
        <w:spacing w:line="360" w:lineRule="auto"/>
        <w:ind w:firstLine="480" w:firstLineChars="200"/>
        <w:rPr>
          <w:rFonts w:ascii="宋体"/>
          <w:sz w:val="24"/>
          <w:u w:val="single"/>
        </w:rPr>
      </w:pPr>
      <w:r>
        <w:rPr>
          <w:rFonts w:ascii="宋体" w:hAnsi="宋体"/>
          <w:sz w:val="24"/>
        </w:rPr>
        <w:t>2.1</w:t>
      </w:r>
      <w:r>
        <w:rPr>
          <w:rFonts w:hint="eastAsia" w:ascii="宋体" w:hAnsi="宋体"/>
          <w:sz w:val="24"/>
        </w:rPr>
        <w:t>交货方式：</w:t>
      </w:r>
      <w:r>
        <w:rPr>
          <w:rFonts w:ascii="宋体" w:hAnsi="宋体"/>
          <w:sz w:val="24"/>
        </w:rPr>
        <w:t xml:space="preserve"> </w:t>
      </w:r>
      <w:r>
        <w:rPr>
          <w:rFonts w:ascii="宋体" w:hAnsi="宋体"/>
          <w:sz w:val="24"/>
          <w:u w:val="single"/>
        </w:rPr>
        <w:t xml:space="preserve">                   </w:t>
      </w:r>
    </w:p>
    <w:p>
      <w:pPr>
        <w:spacing w:line="360" w:lineRule="auto"/>
        <w:ind w:firstLine="480" w:firstLineChars="200"/>
        <w:rPr>
          <w:rFonts w:ascii="宋体"/>
          <w:sz w:val="24"/>
        </w:rPr>
      </w:pPr>
      <w:r>
        <w:rPr>
          <w:rFonts w:ascii="宋体" w:hAnsi="宋体"/>
          <w:sz w:val="24"/>
        </w:rPr>
        <w:t>2.2</w:t>
      </w:r>
      <w:r>
        <w:rPr>
          <w:rFonts w:hint="eastAsia" w:ascii="宋体" w:hAnsi="宋体"/>
          <w:sz w:val="24"/>
        </w:rPr>
        <w:t>交货地点：</w:t>
      </w:r>
      <w:r>
        <w:rPr>
          <w:rFonts w:ascii="宋体" w:hAnsi="宋体"/>
          <w:sz w:val="24"/>
          <w:u w:val="single"/>
        </w:rPr>
        <w:t xml:space="preserve">                     </w:t>
      </w:r>
    </w:p>
    <w:p>
      <w:pPr>
        <w:spacing w:line="360" w:lineRule="auto"/>
        <w:ind w:firstLine="480" w:firstLineChars="200"/>
        <w:rPr>
          <w:rFonts w:ascii="宋体" w:cs="Arial"/>
          <w:sz w:val="24"/>
        </w:rPr>
      </w:pPr>
      <w:r>
        <w:rPr>
          <w:rFonts w:ascii="宋体" w:hAnsi="宋体" w:cs="Arial"/>
          <w:sz w:val="24"/>
        </w:rPr>
        <w:t>3</w:t>
      </w:r>
      <w:r>
        <w:rPr>
          <w:rFonts w:ascii="宋体" w:cs="Arial"/>
          <w:sz w:val="24"/>
        </w:rPr>
        <w:t>.</w:t>
      </w:r>
      <w:r>
        <w:rPr>
          <w:rFonts w:hint="eastAsia" w:ascii="宋体" w:hAnsi="宋体" w:cs="Arial"/>
          <w:sz w:val="24"/>
        </w:rPr>
        <w:t>供货清单</w:t>
      </w:r>
    </w:p>
    <w:p>
      <w:pPr>
        <w:spacing w:line="360" w:lineRule="auto"/>
        <w:ind w:firstLine="480" w:firstLineChars="200"/>
        <w:rPr>
          <w:rFonts w:ascii="宋体" w:cs="Arial"/>
          <w:sz w:val="24"/>
        </w:rPr>
      </w:pPr>
      <w:r>
        <w:rPr>
          <w:rFonts w:ascii="宋体" w:hAnsi="宋体" w:cs="Arial"/>
          <w:sz w:val="24"/>
        </w:rPr>
        <w:t>3.1</w:t>
      </w:r>
      <w:r>
        <w:rPr>
          <w:rFonts w:hint="eastAsia" w:ascii="宋体" w:hAnsi="宋体" w:cs="Arial"/>
          <w:sz w:val="24"/>
        </w:rPr>
        <w:t>供货清单：包括产品主机、随机备品备件、专用工具的名称及数量。（采购人对包装及运输有特别要求的，应作具体约定。）</w:t>
      </w:r>
    </w:p>
    <w:p>
      <w:pPr>
        <w:spacing w:line="360" w:lineRule="auto"/>
        <w:ind w:firstLine="480" w:firstLineChars="200"/>
        <w:rPr>
          <w:rFonts w:ascii="宋体" w:cs="Arial"/>
          <w:sz w:val="24"/>
        </w:rPr>
      </w:pPr>
      <w:r>
        <w:rPr>
          <w:rFonts w:ascii="宋体" w:hAnsi="宋体" w:cs="Arial"/>
          <w:sz w:val="24"/>
        </w:rPr>
        <w:t>4.</w:t>
      </w:r>
      <w:r>
        <w:rPr>
          <w:rFonts w:hint="eastAsia" w:ascii="宋体" w:hAnsi="宋体" w:cs="Arial"/>
          <w:sz w:val="24"/>
        </w:rPr>
        <w:t>付款方式与条件</w:t>
      </w:r>
    </w:p>
    <w:p>
      <w:pPr>
        <w:spacing w:line="360" w:lineRule="auto"/>
        <w:ind w:firstLine="480" w:firstLineChars="200"/>
        <w:rPr>
          <w:rFonts w:ascii="宋体" w:cs="Arial"/>
          <w:sz w:val="24"/>
        </w:rPr>
      </w:pPr>
      <w:r>
        <w:rPr>
          <w:rFonts w:ascii="宋体" w:hAnsi="宋体" w:cs="Arial"/>
          <w:sz w:val="24"/>
        </w:rPr>
        <w:t>4.1</w:t>
      </w:r>
      <w:r>
        <w:rPr>
          <w:rFonts w:hint="eastAsia" w:ascii="宋体" w:hAnsi="宋体" w:cs="Arial"/>
          <w:sz w:val="24"/>
        </w:rPr>
        <w:t>货物交货付款</w:t>
      </w:r>
    </w:p>
    <w:p>
      <w:pPr>
        <w:spacing w:line="360" w:lineRule="auto"/>
        <w:rPr>
          <w:rFonts w:ascii="宋体"/>
          <w:sz w:val="24"/>
        </w:rPr>
      </w:pPr>
      <w:r>
        <w:rPr>
          <w:rFonts w:ascii="宋体" w:hAnsi="宋体"/>
          <w:sz w:val="24"/>
        </w:rPr>
        <w:t xml:space="preserve">    </w:t>
      </w:r>
      <w:r>
        <w:rPr>
          <w:rFonts w:hint="eastAsia" w:ascii="宋体" w:hAnsi="宋体"/>
          <w:sz w:val="24"/>
        </w:rPr>
        <w:t>全部货物交货并经验收合格后，甲方凭收讫货物的验收凭证和货物验收合格文件等材料以</w:t>
      </w:r>
      <w:r>
        <w:rPr>
          <w:rFonts w:ascii="宋体" w:hAnsi="宋体"/>
          <w:sz w:val="24"/>
          <w:u w:val="single"/>
        </w:rPr>
        <w:t xml:space="preserve">     </w:t>
      </w:r>
      <w:r>
        <w:rPr>
          <w:rFonts w:hint="eastAsia" w:ascii="宋体" w:hAnsi="宋体"/>
          <w:sz w:val="24"/>
        </w:rPr>
        <w:t>方式向乙方一次性支付</w:t>
      </w:r>
      <w:r>
        <w:rPr>
          <w:rFonts w:ascii="宋体" w:hAnsi="宋体"/>
          <w:sz w:val="24"/>
          <w:u w:val="single"/>
        </w:rPr>
        <w:t xml:space="preserve">    </w:t>
      </w:r>
      <w:r>
        <w:rPr>
          <w:rFonts w:ascii="宋体" w:hAnsi="宋体"/>
          <w:sz w:val="24"/>
        </w:rPr>
        <w:t>%</w:t>
      </w:r>
      <w:r>
        <w:rPr>
          <w:rFonts w:hint="eastAsia" w:ascii="宋体" w:hAnsi="宋体"/>
          <w:sz w:val="24"/>
        </w:rPr>
        <w:t>的货物价款。（若乙方有支付履约保证金的，可在支付货款时予以扣除。）</w:t>
      </w:r>
    </w:p>
    <w:p>
      <w:pPr>
        <w:spacing w:line="360" w:lineRule="auto"/>
        <w:rPr>
          <w:rFonts w:ascii="宋体"/>
          <w:sz w:val="24"/>
        </w:rPr>
      </w:pPr>
      <w:r>
        <w:rPr>
          <w:rFonts w:ascii="宋体" w:hAnsi="宋体"/>
          <w:sz w:val="24"/>
        </w:rPr>
        <w:t xml:space="preserve">    </w:t>
      </w:r>
      <w:r>
        <w:rPr>
          <w:rFonts w:hint="eastAsia" w:ascii="宋体" w:hAnsi="宋体"/>
          <w:sz w:val="24"/>
        </w:rPr>
        <w:t>现场交货条件下，乙方要求付款应提交下列单证和文件。</w:t>
      </w:r>
    </w:p>
    <w:p>
      <w:pPr>
        <w:spacing w:line="360" w:lineRule="auto"/>
        <w:ind w:firstLine="480" w:firstLineChars="200"/>
        <w:rPr>
          <w:rFonts w:ascii="宋体" w:cs="Arial"/>
          <w:sz w:val="24"/>
        </w:rPr>
      </w:pPr>
      <w:r>
        <w:rPr>
          <w:rFonts w:ascii="宋体" w:hAnsi="宋体" w:cs="Arial"/>
          <w:sz w:val="24"/>
        </w:rPr>
        <w:t>a.</w:t>
      </w:r>
      <w:r>
        <w:rPr>
          <w:rFonts w:hint="eastAsia" w:ascii="宋体" w:hAnsi="宋体" w:cs="Arial"/>
          <w:sz w:val="24"/>
        </w:rPr>
        <w:t>金额为有关合同货物价格</w:t>
      </w:r>
      <w:r>
        <w:rPr>
          <w:rFonts w:ascii="宋体" w:hAnsi="宋体" w:cs="Arial"/>
          <w:sz w:val="24"/>
          <w:u w:val="single"/>
        </w:rPr>
        <w:t xml:space="preserve">      </w:t>
      </w:r>
      <w:r>
        <w:rPr>
          <w:rFonts w:ascii="宋体" w:hAnsi="宋体" w:cs="Arial"/>
          <w:sz w:val="24"/>
        </w:rPr>
        <w:t>%</w:t>
      </w:r>
      <w:r>
        <w:rPr>
          <w:rFonts w:hint="eastAsia" w:ascii="宋体" w:hAnsi="宋体" w:cs="Arial"/>
          <w:sz w:val="24"/>
        </w:rPr>
        <w:t>的正式发票。</w:t>
      </w:r>
    </w:p>
    <w:p>
      <w:pPr>
        <w:spacing w:line="360" w:lineRule="auto"/>
        <w:ind w:firstLine="480" w:firstLineChars="200"/>
        <w:rPr>
          <w:rFonts w:ascii="宋体" w:cs="Arial"/>
          <w:sz w:val="24"/>
        </w:rPr>
      </w:pPr>
      <w:r>
        <w:rPr>
          <w:rFonts w:ascii="宋体" w:hAnsi="宋体" w:cs="Arial"/>
          <w:sz w:val="24"/>
        </w:rPr>
        <w:t>b.</w:t>
      </w:r>
      <w:r>
        <w:rPr>
          <w:rFonts w:hint="eastAsia" w:ascii="宋体" w:hAnsi="宋体" w:cs="Arial"/>
          <w:sz w:val="24"/>
        </w:rPr>
        <w:t>制造厂家出具的货物质量合格证书。</w:t>
      </w:r>
    </w:p>
    <w:p>
      <w:pPr>
        <w:spacing w:line="360" w:lineRule="auto"/>
        <w:ind w:firstLine="480" w:firstLineChars="200"/>
        <w:rPr>
          <w:rFonts w:ascii="宋体" w:cs="Arial"/>
          <w:sz w:val="24"/>
        </w:rPr>
      </w:pPr>
      <w:r>
        <w:rPr>
          <w:rFonts w:ascii="宋体" w:hAnsi="宋体" w:cs="Arial"/>
          <w:sz w:val="24"/>
        </w:rPr>
        <w:t xml:space="preserve">c. </w:t>
      </w:r>
      <w:r>
        <w:rPr>
          <w:rFonts w:hint="eastAsia" w:ascii="宋体" w:hAnsi="宋体" w:cs="Arial"/>
          <w:sz w:val="24"/>
        </w:rPr>
        <w:t>甲方已收讫货物的验收凭证。</w:t>
      </w:r>
    </w:p>
    <w:p>
      <w:pPr>
        <w:spacing w:line="360" w:lineRule="auto"/>
        <w:ind w:firstLine="480" w:firstLineChars="200"/>
        <w:rPr>
          <w:rFonts w:ascii="宋体" w:cs="Arial"/>
          <w:sz w:val="24"/>
        </w:rPr>
      </w:pPr>
      <w:r>
        <w:rPr>
          <w:rFonts w:ascii="宋体" w:hAnsi="宋体" w:cs="Arial"/>
          <w:sz w:val="24"/>
        </w:rPr>
        <w:t xml:space="preserve">d. </w:t>
      </w:r>
      <w:r>
        <w:rPr>
          <w:rFonts w:hint="eastAsia" w:ascii="宋体" w:hAnsi="宋体" w:cs="Arial"/>
          <w:sz w:val="24"/>
        </w:rPr>
        <w:t>甲方签发的验收合格文件。</w:t>
      </w:r>
    </w:p>
    <w:p>
      <w:pPr>
        <w:spacing w:line="360" w:lineRule="auto"/>
        <w:rPr>
          <w:rFonts w:ascii="宋体"/>
          <w:sz w:val="24"/>
        </w:rPr>
      </w:pPr>
      <w:r>
        <w:rPr>
          <w:rFonts w:ascii="宋体" w:hAnsi="宋体"/>
          <w:sz w:val="24"/>
        </w:rPr>
        <w:t xml:space="preserve">    </w:t>
      </w:r>
      <w:r>
        <w:rPr>
          <w:rFonts w:ascii="宋体" w:hAnsi="宋体" w:cs="Arial"/>
          <w:sz w:val="24"/>
        </w:rPr>
        <w:t>4.</w:t>
      </w:r>
      <w:r>
        <w:rPr>
          <w:rFonts w:ascii="宋体" w:hAnsi="宋体"/>
          <w:sz w:val="24"/>
        </w:rPr>
        <w:t>2</w:t>
      </w:r>
      <w:r>
        <w:rPr>
          <w:rFonts w:hint="eastAsia" w:ascii="宋体" w:hAnsi="宋体"/>
          <w:sz w:val="24"/>
        </w:rPr>
        <w:t>分期支付货款的，余下的货款应于</w:t>
      </w:r>
      <w:r>
        <w:rPr>
          <w:rFonts w:ascii="宋体" w:hAnsi="宋体"/>
          <w:sz w:val="24"/>
          <w:u w:val="single"/>
        </w:rPr>
        <w:t xml:space="preserve">       </w:t>
      </w:r>
      <w:r>
        <w:rPr>
          <w:rFonts w:hint="eastAsia" w:ascii="宋体" w:hAnsi="宋体"/>
          <w:sz w:val="24"/>
        </w:rPr>
        <w:t>（时间）支付。</w:t>
      </w:r>
    </w:p>
    <w:p>
      <w:pPr>
        <w:spacing w:line="360" w:lineRule="auto"/>
        <w:ind w:firstLine="480" w:firstLineChars="200"/>
        <w:rPr>
          <w:rFonts w:ascii="宋体" w:cs="Arial"/>
          <w:sz w:val="24"/>
        </w:rPr>
      </w:pPr>
      <w:r>
        <w:rPr>
          <w:rFonts w:ascii="宋体" w:hAnsi="宋体" w:cs="Arial"/>
          <w:sz w:val="24"/>
        </w:rPr>
        <w:t>5.</w:t>
      </w:r>
      <w:r>
        <w:rPr>
          <w:rFonts w:hint="eastAsia" w:ascii="宋体" w:hAnsi="宋体" w:cs="Arial"/>
          <w:sz w:val="24"/>
        </w:rPr>
        <w:t>质量要求和技术标准</w:t>
      </w:r>
    </w:p>
    <w:p>
      <w:pPr>
        <w:spacing w:line="360" w:lineRule="auto"/>
        <w:ind w:firstLine="480" w:firstLineChars="200"/>
        <w:rPr>
          <w:rFonts w:ascii="宋体" w:cs="Arial"/>
          <w:sz w:val="24"/>
        </w:rPr>
      </w:pPr>
      <w:r>
        <w:rPr>
          <w:rFonts w:hint="eastAsia" w:ascii="宋体" w:hAnsi="宋体" w:cs="Arial"/>
          <w:sz w:val="24"/>
        </w:rPr>
        <w:t>质量条款可细分为产品质量、包装质量、技术资料质量等内容。</w:t>
      </w:r>
    </w:p>
    <w:p>
      <w:pPr>
        <w:spacing w:line="360" w:lineRule="auto"/>
        <w:ind w:firstLine="480" w:firstLineChars="200"/>
        <w:rPr>
          <w:rFonts w:ascii="宋体" w:cs="Arial"/>
          <w:sz w:val="24"/>
        </w:rPr>
      </w:pPr>
      <w:r>
        <w:rPr>
          <w:rFonts w:hint="eastAsia" w:ascii="宋体" w:hAnsi="宋体" w:cs="Arial"/>
          <w:sz w:val="24"/>
        </w:rPr>
        <w:t>（质量要求和技术标准应按谈判文件要求填列。）</w:t>
      </w:r>
    </w:p>
    <w:p>
      <w:pPr>
        <w:spacing w:line="360" w:lineRule="auto"/>
        <w:ind w:firstLine="480" w:firstLineChars="200"/>
        <w:rPr>
          <w:rFonts w:ascii="宋体" w:cs="Arial"/>
          <w:sz w:val="24"/>
        </w:rPr>
      </w:pPr>
      <w:r>
        <w:rPr>
          <w:rFonts w:ascii="宋体" w:hAnsi="宋体" w:cs="Arial"/>
          <w:sz w:val="24"/>
        </w:rPr>
        <w:t>6</w:t>
      </w:r>
      <w:r>
        <w:rPr>
          <w:rFonts w:ascii="宋体" w:cs="Arial"/>
          <w:sz w:val="24"/>
        </w:rPr>
        <w:t>.</w:t>
      </w:r>
      <w:r>
        <w:rPr>
          <w:rFonts w:hint="eastAsia" w:ascii="宋体" w:hAnsi="宋体" w:cs="Arial"/>
          <w:sz w:val="24"/>
        </w:rPr>
        <w:t>安装调试、技术服务、人员培训及技术资料</w:t>
      </w:r>
    </w:p>
    <w:p>
      <w:pPr>
        <w:spacing w:line="360" w:lineRule="auto"/>
        <w:ind w:firstLine="480" w:firstLineChars="200"/>
        <w:rPr>
          <w:rFonts w:ascii="宋体" w:cs="Arial"/>
          <w:sz w:val="24"/>
        </w:rPr>
      </w:pPr>
      <w:r>
        <w:rPr>
          <w:rFonts w:ascii="宋体" w:hAnsi="宋体" w:cs="Arial"/>
          <w:sz w:val="24"/>
        </w:rPr>
        <w:t xml:space="preserve">  </w:t>
      </w:r>
      <w:r>
        <w:rPr>
          <w:rFonts w:hint="eastAsia" w:ascii="宋体" w:hAnsi="宋体" w:cs="Arial"/>
          <w:sz w:val="24"/>
        </w:rPr>
        <w:t>（安装调试、技术服务、人员培训及技术资料应按谈判文件要求填列。）</w:t>
      </w:r>
    </w:p>
    <w:p>
      <w:pPr>
        <w:spacing w:line="360" w:lineRule="auto"/>
        <w:ind w:firstLine="480" w:firstLineChars="200"/>
        <w:rPr>
          <w:rFonts w:ascii="宋体" w:cs="Arial"/>
          <w:sz w:val="24"/>
        </w:rPr>
      </w:pPr>
      <w:r>
        <w:rPr>
          <w:rFonts w:ascii="宋体" w:hAnsi="宋体" w:cs="Arial"/>
          <w:sz w:val="24"/>
        </w:rPr>
        <w:t>7</w:t>
      </w:r>
      <w:r>
        <w:rPr>
          <w:rFonts w:ascii="宋体" w:cs="Arial"/>
          <w:sz w:val="24"/>
        </w:rPr>
        <w:t>.</w:t>
      </w:r>
      <w:r>
        <w:rPr>
          <w:rFonts w:hint="eastAsia" w:ascii="宋体" w:hAnsi="宋体" w:cs="Arial"/>
          <w:sz w:val="24"/>
        </w:rPr>
        <w:t>验收</w:t>
      </w:r>
    </w:p>
    <w:p>
      <w:pPr>
        <w:spacing w:line="360" w:lineRule="auto"/>
        <w:ind w:firstLine="480" w:firstLineChars="200"/>
        <w:rPr>
          <w:rFonts w:ascii="宋体" w:cs="Arial"/>
          <w:sz w:val="24"/>
        </w:rPr>
      </w:pPr>
      <w:r>
        <w:rPr>
          <w:rFonts w:hint="eastAsia" w:ascii="宋体" w:hAnsi="宋体" w:cs="Arial"/>
          <w:sz w:val="24"/>
        </w:rPr>
        <w:t>（货物验收标准和方法应按谈判文件要求填列。）验收结果经双方确认后，双方代表必须按规定的验收交接单上的项目对照本合同填好验收结果并签名盖章。</w:t>
      </w:r>
    </w:p>
    <w:p>
      <w:pPr>
        <w:spacing w:line="360" w:lineRule="auto"/>
        <w:ind w:firstLine="480" w:firstLineChars="200"/>
        <w:rPr>
          <w:rFonts w:ascii="宋体" w:cs="Arial"/>
          <w:sz w:val="24"/>
        </w:rPr>
      </w:pPr>
      <w:r>
        <w:rPr>
          <w:rFonts w:hint="eastAsia" w:ascii="宋体" w:hAnsi="宋体" w:cs="Arial"/>
          <w:sz w:val="24"/>
        </w:rPr>
        <w:t>验收可细分为到货时的外在质量的验收，投产前的质量验收，大型设备可能还存在更多的验收步骤和验收方式，采购人可在谈判文件中细化规定。</w:t>
      </w:r>
    </w:p>
    <w:p>
      <w:pPr>
        <w:spacing w:line="360" w:lineRule="auto"/>
        <w:ind w:firstLine="480" w:firstLineChars="200"/>
        <w:rPr>
          <w:rFonts w:ascii="宋体" w:cs="Arial"/>
          <w:sz w:val="24"/>
        </w:rPr>
      </w:pPr>
      <w:r>
        <w:rPr>
          <w:rFonts w:ascii="宋体" w:hAnsi="宋体" w:cs="Arial"/>
          <w:sz w:val="24"/>
        </w:rPr>
        <w:t>8.</w:t>
      </w:r>
      <w:r>
        <w:rPr>
          <w:rFonts w:hint="eastAsia" w:ascii="宋体" w:hAnsi="宋体" w:cs="Arial"/>
          <w:sz w:val="24"/>
        </w:rPr>
        <w:t>质量保证</w:t>
      </w:r>
    </w:p>
    <w:p>
      <w:pPr>
        <w:spacing w:line="360" w:lineRule="auto"/>
        <w:ind w:firstLine="480" w:firstLineChars="200"/>
        <w:rPr>
          <w:rFonts w:ascii="宋体"/>
          <w:sz w:val="24"/>
        </w:rPr>
      </w:pPr>
      <w:r>
        <w:rPr>
          <w:rFonts w:hint="eastAsia" w:ascii="宋体" w:hAnsi="宋体"/>
          <w:sz w:val="24"/>
        </w:rPr>
        <w:t>各合同包货物质保期要求均为货物经最终验收合格后</w:t>
      </w:r>
      <w:r>
        <w:rPr>
          <w:rFonts w:ascii="宋体" w:hAnsi="宋体"/>
          <w:sz w:val="24"/>
        </w:rPr>
        <w:t xml:space="preserve"> </w:t>
      </w:r>
      <w:r>
        <w:rPr>
          <w:rFonts w:ascii="宋体" w:hAnsi="宋体"/>
          <w:sz w:val="24"/>
          <w:u w:val="single"/>
        </w:rPr>
        <w:t xml:space="preserve">    </w:t>
      </w:r>
      <w:r>
        <w:rPr>
          <w:rFonts w:hint="eastAsia" w:ascii="宋体" w:hAnsi="宋体"/>
          <w:sz w:val="24"/>
        </w:rPr>
        <w:t>个月，在质量保证期内设备运行发生故障时，乙方在接到甲方故障通知后</w:t>
      </w:r>
      <w:r>
        <w:rPr>
          <w:rFonts w:ascii="宋体" w:hAnsi="宋体"/>
          <w:sz w:val="24"/>
          <w:u w:val="single"/>
        </w:rPr>
        <w:t xml:space="preserve">   </w:t>
      </w:r>
      <w:r>
        <w:rPr>
          <w:rFonts w:hint="eastAsia" w:ascii="宋体" w:hAnsi="宋体"/>
          <w:sz w:val="24"/>
        </w:rPr>
        <w:t>小时内应委派专业技术人员到现场免费提供咨询、维修和更换零部件等服务，并及时填写维修报告（包括故障原因、处理情况及甲方意见等）报甲方备案，若</w:t>
      </w:r>
      <w:r>
        <w:rPr>
          <w:rFonts w:ascii="宋体" w:hAnsi="宋体"/>
          <w:sz w:val="24"/>
          <w:u w:val="single"/>
        </w:rPr>
        <w:t xml:space="preserve">    </w:t>
      </w:r>
      <w:r>
        <w:rPr>
          <w:rFonts w:hint="eastAsia" w:ascii="宋体" w:hAnsi="宋体"/>
          <w:sz w:val="24"/>
        </w:rPr>
        <w:t>小时内无法排除故障，则应先提供同档次备用机供甲方使用。其中发生一切费用由乙方承担。质量保证期内乙方有责任对设备进行不定期的巡查检修。谈判响应供应商视自身能力在响应文件中提供更优、更合理的维修服务承诺。</w:t>
      </w:r>
    </w:p>
    <w:p>
      <w:pPr>
        <w:spacing w:line="360" w:lineRule="auto"/>
        <w:ind w:firstLine="480" w:firstLineChars="200"/>
        <w:rPr>
          <w:rFonts w:ascii="宋体" w:cs="Arial"/>
          <w:sz w:val="24"/>
        </w:rPr>
      </w:pPr>
      <w:r>
        <w:rPr>
          <w:rFonts w:ascii="宋体" w:hAnsi="宋体" w:cs="Arial"/>
          <w:sz w:val="24"/>
        </w:rPr>
        <w:t>9.</w:t>
      </w:r>
      <w:r>
        <w:rPr>
          <w:rFonts w:hint="eastAsia" w:ascii="宋体" w:hAnsi="宋体" w:cs="Arial"/>
          <w:sz w:val="24"/>
        </w:rPr>
        <w:t>知识产权：</w:t>
      </w:r>
    </w:p>
    <w:p>
      <w:pPr>
        <w:spacing w:line="360" w:lineRule="auto"/>
        <w:ind w:firstLine="480" w:firstLineChars="200"/>
        <w:rPr>
          <w:rFonts w:ascii="宋体" w:cs="Arial"/>
          <w:sz w:val="24"/>
        </w:rPr>
      </w:pPr>
      <w:r>
        <w:rPr>
          <w:rFonts w:hint="eastAsia" w:ascii="宋体" w:hAnsi="宋体" w:cs="Arial"/>
          <w:sz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spacing w:line="360" w:lineRule="auto"/>
        <w:ind w:firstLine="480" w:firstLineChars="200"/>
        <w:rPr>
          <w:rFonts w:ascii="宋体" w:cs="Arial"/>
          <w:sz w:val="24"/>
        </w:rPr>
      </w:pPr>
      <w:r>
        <w:rPr>
          <w:rFonts w:ascii="宋体" w:hAnsi="宋体" w:cs="Arial"/>
          <w:sz w:val="24"/>
        </w:rPr>
        <w:t>10.</w:t>
      </w:r>
      <w:r>
        <w:rPr>
          <w:rFonts w:hint="eastAsia" w:ascii="宋体" w:hAnsi="宋体" w:cs="Arial"/>
          <w:sz w:val="24"/>
        </w:rPr>
        <w:t>违约责任</w:t>
      </w:r>
    </w:p>
    <w:p>
      <w:pPr>
        <w:spacing w:line="360" w:lineRule="auto"/>
        <w:ind w:firstLine="480" w:firstLineChars="200"/>
        <w:rPr>
          <w:rFonts w:ascii="宋体"/>
          <w:sz w:val="24"/>
          <w:u w:val="single"/>
        </w:rPr>
      </w:pPr>
      <w:r>
        <w:rPr>
          <w:rFonts w:ascii="宋体" w:hAnsi="宋体" w:cs="Arial"/>
          <w:sz w:val="24"/>
        </w:rPr>
        <w:t>10.1</w:t>
      </w:r>
      <w:r>
        <w:rPr>
          <w:rFonts w:hint="eastAsia" w:ascii="宋体" w:hAnsi="宋体" w:cs="Arial"/>
          <w:sz w:val="24"/>
        </w:rPr>
        <w:t>未按期交货的违约责任：</w:t>
      </w:r>
      <w:r>
        <w:rPr>
          <w:rFonts w:ascii="宋体" w:hAnsi="宋体"/>
          <w:sz w:val="24"/>
          <w:u w:val="single"/>
        </w:rPr>
        <w:t xml:space="preserve">                                                 </w:t>
      </w:r>
    </w:p>
    <w:p>
      <w:pPr>
        <w:spacing w:line="360" w:lineRule="auto"/>
        <w:ind w:firstLine="480" w:firstLineChars="200"/>
        <w:rPr>
          <w:rFonts w:ascii="宋体" w:cs="Arial"/>
          <w:sz w:val="24"/>
        </w:rPr>
      </w:pPr>
      <w:r>
        <w:rPr>
          <w:rFonts w:ascii="宋体" w:hAnsi="宋体" w:cs="Arial"/>
          <w:sz w:val="24"/>
        </w:rPr>
        <w:t>11.</w:t>
      </w:r>
      <w:r>
        <w:rPr>
          <w:rFonts w:hint="eastAsia" w:ascii="宋体" w:hAnsi="宋体" w:cs="Arial"/>
          <w:sz w:val="24"/>
        </w:rPr>
        <w:t>违约终止合同</w:t>
      </w:r>
    </w:p>
    <w:p>
      <w:pPr>
        <w:spacing w:line="360" w:lineRule="auto"/>
        <w:ind w:firstLine="480" w:firstLineChars="200"/>
        <w:rPr>
          <w:rFonts w:ascii="宋体" w:cs="Arial"/>
          <w:sz w:val="24"/>
        </w:rPr>
      </w:pPr>
      <w:r>
        <w:rPr>
          <w:rFonts w:ascii="宋体" w:hAnsi="宋体" w:cs="Arial"/>
          <w:sz w:val="24"/>
        </w:rPr>
        <w:t>11.1</w:t>
      </w:r>
      <w:r>
        <w:rPr>
          <w:rFonts w:hint="eastAsia" w:ascii="宋体" w:hAnsi="宋体" w:cs="Arial"/>
          <w:sz w:val="24"/>
        </w:rPr>
        <w:t>在补救违约而采取的任何其他措施未能实现的情况下，即在甲方发出的违约通知后</w:t>
      </w:r>
      <w:r>
        <w:rPr>
          <w:rFonts w:ascii="宋体" w:hAnsi="宋体" w:cs="Arial"/>
          <w:sz w:val="24"/>
        </w:rPr>
        <w:t>30</w:t>
      </w:r>
      <w:r>
        <w:rPr>
          <w:rFonts w:hint="eastAsia" w:ascii="宋体" w:hAnsi="宋体" w:cs="Arial"/>
          <w:sz w:val="24"/>
        </w:rPr>
        <w:t>天内（或经甲方书面确认的更长时间内）仍未纠正其下述任何一种违约行为，甲方有权向乙方发出书面违约通知，甲方终止本合同：</w:t>
      </w:r>
      <w:r>
        <w:rPr>
          <w:rFonts w:ascii="宋体" w:hAnsi="宋体" w:cs="Arial"/>
          <w:sz w:val="24"/>
        </w:rPr>
        <w:t xml:space="preserve">  </w:t>
      </w:r>
    </w:p>
    <w:p>
      <w:pPr>
        <w:spacing w:line="360" w:lineRule="auto"/>
        <w:ind w:firstLine="480" w:firstLineChars="200"/>
        <w:rPr>
          <w:rFonts w:ascii="宋体" w:cs="Arial"/>
          <w:sz w:val="24"/>
        </w:rPr>
      </w:pPr>
      <w:r>
        <w:rPr>
          <w:rFonts w:ascii="宋体" w:hAnsi="宋体" w:cs="Arial"/>
          <w:sz w:val="24"/>
        </w:rPr>
        <w:t>11.1.1</w:t>
      </w:r>
      <w:r>
        <w:rPr>
          <w:rFonts w:hint="eastAsia" w:ascii="宋体" w:hAnsi="宋体" w:cs="Arial"/>
          <w:sz w:val="24"/>
        </w:rPr>
        <w:t>如果乙方未能在合同规定的期限内或双方另行确定的延期交货时间内交付合同约定的货物。</w:t>
      </w:r>
    </w:p>
    <w:p>
      <w:pPr>
        <w:spacing w:line="360" w:lineRule="auto"/>
        <w:ind w:firstLine="480" w:firstLineChars="200"/>
        <w:rPr>
          <w:rFonts w:ascii="宋体" w:cs="Arial"/>
          <w:sz w:val="24"/>
        </w:rPr>
      </w:pPr>
      <w:r>
        <w:rPr>
          <w:rFonts w:ascii="宋体" w:hAnsi="宋体" w:cs="Arial"/>
          <w:sz w:val="24"/>
        </w:rPr>
        <w:t>11.1.2</w:t>
      </w:r>
      <w:r>
        <w:rPr>
          <w:rFonts w:hint="eastAsia" w:ascii="宋体" w:hAnsi="宋体" w:cs="Arial"/>
          <w:sz w:val="24"/>
        </w:rPr>
        <w:t>乙方未能履行合同项下的任何其它义务。</w:t>
      </w:r>
    </w:p>
    <w:p>
      <w:pPr>
        <w:spacing w:line="360" w:lineRule="auto"/>
        <w:ind w:firstLine="480" w:firstLineChars="200"/>
        <w:rPr>
          <w:rFonts w:ascii="宋体" w:cs="Arial"/>
          <w:sz w:val="24"/>
        </w:rPr>
      </w:pPr>
      <w:r>
        <w:rPr>
          <w:rFonts w:ascii="宋体" w:hAnsi="宋体" w:cs="Arial"/>
          <w:sz w:val="24"/>
        </w:rPr>
        <w:t>12.</w:t>
      </w:r>
      <w:r>
        <w:rPr>
          <w:rFonts w:hint="eastAsia" w:ascii="宋体" w:hAnsi="宋体" w:cs="Arial"/>
          <w:sz w:val="24"/>
        </w:rPr>
        <w:t>不可抗力</w:t>
      </w:r>
    </w:p>
    <w:p>
      <w:pPr>
        <w:spacing w:line="360" w:lineRule="auto"/>
        <w:ind w:firstLine="480" w:firstLineChars="200"/>
        <w:rPr>
          <w:rFonts w:ascii="宋体" w:cs="Arial"/>
          <w:sz w:val="24"/>
        </w:rPr>
      </w:pPr>
      <w:r>
        <w:rPr>
          <w:rFonts w:hint="eastAsia" w:ascii="宋体" w:hAnsi="宋体" w:cs="Arial"/>
          <w:sz w:val="24"/>
        </w:rPr>
        <w:t>因不可抗力造成违约的，遭受不可抗力一方应及时向对方通报不能履行或不能完全履行的理由，并在随后取得有关主管机关证明后的</w:t>
      </w:r>
      <w:r>
        <w:rPr>
          <w:rFonts w:ascii="宋体" w:hAnsi="宋体" w:cs="Arial"/>
          <w:sz w:val="24"/>
        </w:rPr>
        <w:t>15</w:t>
      </w:r>
      <w:r>
        <w:rPr>
          <w:rFonts w:hint="eastAsia" w:ascii="宋体" w:hAnsi="宋体" w:cs="Arial"/>
          <w:sz w:val="24"/>
        </w:rPr>
        <w:t>日内向另一方提供不可抗力发生以及持续期间的充分证据。基于以上行为，允许遭受不可抗力一方延期履行、部分履行或者不履行合同，并根据情况可部分或全部免于承担违约责任。</w:t>
      </w:r>
    </w:p>
    <w:p>
      <w:pPr>
        <w:spacing w:line="360" w:lineRule="auto"/>
        <w:ind w:firstLine="480" w:firstLineChars="200"/>
        <w:rPr>
          <w:rFonts w:ascii="宋体" w:cs="Arial"/>
          <w:sz w:val="24"/>
        </w:rPr>
      </w:pPr>
      <w:r>
        <w:rPr>
          <w:rFonts w:hint="eastAsia" w:ascii="宋体" w:hAnsi="宋体" w:cs="Arial"/>
          <w:sz w:val="24"/>
        </w:rPr>
        <w:t>本合同中的不可抗力指不能预见、不能避免并不能克服的客观情况。包括但不限于：自然灾害如地震、台风、洪水、火灾；政府行为、法律规定或其适用的变化或者其他任何无法预见、避免或者控制的事件。</w:t>
      </w:r>
    </w:p>
    <w:p>
      <w:pPr>
        <w:spacing w:line="360" w:lineRule="auto"/>
        <w:ind w:firstLine="480" w:firstLineChars="200"/>
        <w:rPr>
          <w:rFonts w:ascii="宋体" w:cs="Arial"/>
          <w:sz w:val="24"/>
        </w:rPr>
      </w:pPr>
      <w:r>
        <w:rPr>
          <w:rFonts w:ascii="宋体" w:hAnsi="宋体" w:cs="Arial"/>
          <w:sz w:val="24"/>
        </w:rPr>
        <w:t>13.</w:t>
      </w:r>
      <w:r>
        <w:rPr>
          <w:rFonts w:hint="eastAsia" w:ascii="宋体" w:hAnsi="宋体" w:cs="Arial"/>
          <w:sz w:val="24"/>
        </w:rPr>
        <w:t>合同纠纷处理方式：因本合同或与本合同有关的一切事项发生争议，由双方友好协商解决。协商不成的，选择以下其中一种方式解决：</w:t>
      </w:r>
    </w:p>
    <w:p>
      <w:pPr>
        <w:spacing w:line="360" w:lineRule="auto"/>
        <w:ind w:firstLine="480" w:firstLineChars="200"/>
        <w:rPr>
          <w:rFonts w:ascii="宋体" w:cs="Arial"/>
          <w:sz w:val="24"/>
        </w:rPr>
      </w:pPr>
      <w:r>
        <w:rPr>
          <w:rFonts w:hint="eastAsia" w:ascii="宋体" w:hAnsi="宋体" w:cs="Arial"/>
          <w:sz w:val="24"/>
        </w:rPr>
        <w:t>（</w:t>
      </w:r>
      <w:r>
        <w:rPr>
          <w:rFonts w:ascii="宋体" w:hAnsi="宋体" w:cs="Arial"/>
          <w:sz w:val="24"/>
        </w:rPr>
        <w:t xml:space="preserve">  </w:t>
      </w:r>
      <w:r>
        <w:rPr>
          <w:rFonts w:hint="eastAsia" w:ascii="宋体" w:hAnsi="宋体" w:cs="Arial"/>
          <w:sz w:val="24"/>
        </w:rPr>
        <w:t>）向（</w:t>
      </w:r>
      <w:r>
        <w:rPr>
          <w:rFonts w:hint="eastAsia" w:ascii="宋体" w:hAnsi="宋体" w:cs="Arial"/>
          <w:sz w:val="24"/>
          <w:u w:val="single"/>
        </w:rPr>
        <w:t>甲方所在地）</w:t>
      </w:r>
      <w:r>
        <w:rPr>
          <w:rFonts w:hint="eastAsia" w:ascii="宋体" w:hAnsi="宋体" w:cs="Arial"/>
          <w:sz w:val="24"/>
        </w:rPr>
        <w:t>仲裁委员会申请仲裁；</w:t>
      </w:r>
    </w:p>
    <w:p>
      <w:pPr>
        <w:spacing w:line="360" w:lineRule="auto"/>
        <w:ind w:firstLine="480" w:firstLineChars="200"/>
        <w:rPr>
          <w:rFonts w:ascii="宋体" w:cs="Arial"/>
          <w:sz w:val="24"/>
        </w:rPr>
      </w:pPr>
      <w:r>
        <w:rPr>
          <w:rFonts w:hint="eastAsia" w:ascii="宋体" w:hAnsi="宋体" w:cs="Arial"/>
          <w:sz w:val="24"/>
        </w:rPr>
        <w:t>（</w:t>
      </w:r>
      <w:r>
        <w:rPr>
          <w:rFonts w:ascii="宋体" w:hAnsi="宋体" w:cs="Arial"/>
          <w:sz w:val="24"/>
        </w:rPr>
        <w:t xml:space="preserve">  </w:t>
      </w:r>
      <w:r>
        <w:rPr>
          <w:rFonts w:hint="eastAsia" w:ascii="宋体" w:hAnsi="宋体" w:cs="Arial"/>
          <w:sz w:val="24"/>
        </w:rPr>
        <w:t>）向有管辖权的人民法院提起诉讼。</w:t>
      </w:r>
    </w:p>
    <w:p>
      <w:pPr>
        <w:spacing w:line="360" w:lineRule="auto"/>
        <w:ind w:firstLine="480" w:firstLineChars="200"/>
        <w:rPr>
          <w:rFonts w:ascii="宋体" w:cs="Arial"/>
          <w:sz w:val="24"/>
        </w:rPr>
      </w:pPr>
      <w:r>
        <w:rPr>
          <w:rFonts w:ascii="宋体" w:hAnsi="宋体" w:cs="Arial"/>
          <w:sz w:val="24"/>
        </w:rPr>
        <w:t>14.</w:t>
      </w:r>
      <w:r>
        <w:rPr>
          <w:rFonts w:hint="eastAsia" w:ascii="宋体" w:hAnsi="宋体" w:cs="Arial"/>
          <w:sz w:val="24"/>
        </w:rPr>
        <w:t>其他约定</w:t>
      </w:r>
    </w:p>
    <w:p>
      <w:pPr>
        <w:spacing w:line="360" w:lineRule="auto"/>
        <w:ind w:firstLine="480" w:firstLineChars="200"/>
        <w:rPr>
          <w:rFonts w:ascii="宋体" w:cs="Arial"/>
          <w:sz w:val="24"/>
        </w:rPr>
      </w:pPr>
      <w:r>
        <w:rPr>
          <w:rFonts w:ascii="宋体" w:hAnsi="宋体" w:cs="Arial"/>
          <w:sz w:val="24"/>
        </w:rPr>
        <w:t>14.1</w:t>
      </w:r>
      <w:r>
        <w:rPr>
          <w:rFonts w:hint="eastAsia" w:ascii="宋体" w:hAnsi="宋体" w:cs="Arial"/>
          <w:sz w:val="24"/>
        </w:rPr>
        <w:t>本采购项目的谈判文件、成交供应商的响应文件以及相关的澄清确认函（如果有的话）均为本合同不可分割的一部分，与本合同具有同等法律效力。</w:t>
      </w:r>
    </w:p>
    <w:p>
      <w:pPr>
        <w:spacing w:line="360" w:lineRule="auto"/>
        <w:ind w:firstLine="480" w:firstLineChars="200"/>
        <w:rPr>
          <w:rFonts w:ascii="宋体" w:cs="Arial"/>
          <w:sz w:val="24"/>
        </w:rPr>
      </w:pPr>
      <w:r>
        <w:rPr>
          <w:rFonts w:ascii="宋体" w:hAnsi="宋体" w:cs="Arial"/>
          <w:sz w:val="24"/>
        </w:rPr>
        <w:t>14.2</w:t>
      </w:r>
      <w:r>
        <w:rPr>
          <w:rFonts w:hint="eastAsia" w:ascii="宋体" w:hAnsi="宋体" w:cs="Arial"/>
          <w:sz w:val="24"/>
        </w:rPr>
        <w:t>本合同未尽事宜，双方另行补充。</w:t>
      </w:r>
    </w:p>
    <w:p>
      <w:pPr>
        <w:spacing w:line="360" w:lineRule="auto"/>
        <w:ind w:firstLine="480" w:firstLineChars="200"/>
        <w:rPr>
          <w:rFonts w:ascii="宋体" w:cs="Arial"/>
          <w:sz w:val="24"/>
        </w:rPr>
      </w:pPr>
      <w:r>
        <w:rPr>
          <w:rFonts w:ascii="宋体" w:hAnsi="宋体" w:cs="Arial"/>
          <w:sz w:val="24"/>
        </w:rPr>
        <w:t>14.3</w:t>
      </w:r>
      <w:r>
        <w:rPr>
          <w:rFonts w:hint="eastAsia" w:ascii="宋体" w:hAnsi="宋体" w:cs="Arial"/>
          <w:sz w:val="24"/>
        </w:rPr>
        <w:t>本合同一式三份，经双方授权代表签字并加盖公章后生效。甲方、乙方各执一份，送采购代理机构备案一份，具有同等效力。</w:t>
      </w:r>
    </w:p>
    <w:p>
      <w:pPr>
        <w:spacing w:line="360" w:lineRule="auto"/>
        <w:ind w:firstLine="480" w:firstLineChars="200"/>
        <w:rPr>
          <w:rFonts w:ascii="宋体" w:cs="Arial"/>
          <w:sz w:val="24"/>
        </w:rPr>
      </w:pPr>
      <w:r>
        <w:rPr>
          <w:rFonts w:ascii="宋体" w:hAnsi="宋体" w:cs="Arial"/>
          <w:sz w:val="24"/>
        </w:rPr>
        <w:t>14.4</w:t>
      </w:r>
      <w:r>
        <w:rPr>
          <w:rFonts w:hint="eastAsia" w:ascii="宋体" w:hAnsi="宋体" w:cs="Arial"/>
          <w:sz w:val="24"/>
        </w:rPr>
        <w:t>甲方应当自合同签订之日起</w:t>
      </w:r>
      <w:r>
        <w:rPr>
          <w:rFonts w:ascii="宋体" w:hAnsi="宋体" w:cs="Arial"/>
          <w:sz w:val="24"/>
        </w:rPr>
        <w:t>2</w:t>
      </w:r>
      <w:r>
        <w:rPr>
          <w:rFonts w:hint="eastAsia" w:ascii="宋体" w:hAnsi="宋体" w:cs="Arial"/>
          <w:sz w:val="24"/>
        </w:rPr>
        <w:t>个工作日，将合同在厦门市政府采购网上公告，但合同中涉及国家秘密、商业秘密的内容除外。</w:t>
      </w:r>
    </w:p>
    <w:p>
      <w:pPr>
        <w:spacing w:line="360" w:lineRule="auto"/>
        <w:rPr>
          <w:rFonts w:ascii="宋体"/>
          <w:sz w:val="24"/>
        </w:rPr>
      </w:pPr>
    </w:p>
    <w:p>
      <w:pPr>
        <w:spacing w:line="360" w:lineRule="auto"/>
        <w:rPr>
          <w:rFonts w:ascii="宋体"/>
          <w:sz w:val="24"/>
        </w:rPr>
      </w:pPr>
      <w:r>
        <w:rPr>
          <w:rFonts w:hint="eastAsia" w:ascii="宋体" w:hAnsi="宋体"/>
          <w:sz w:val="24"/>
        </w:rPr>
        <w:t>甲</w:t>
      </w:r>
      <w:r>
        <w:rPr>
          <w:rFonts w:ascii="宋体" w:hAnsi="宋体"/>
          <w:sz w:val="24"/>
        </w:rPr>
        <w:t xml:space="preserve">    </w:t>
      </w:r>
      <w:r>
        <w:rPr>
          <w:rFonts w:hint="eastAsia" w:ascii="宋体" w:hAnsi="宋体"/>
          <w:sz w:val="24"/>
        </w:rPr>
        <w:t>方：</w:t>
      </w:r>
      <w:r>
        <w:rPr>
          <w:rFonts w:ascii="宋体" w:hAnsi="宋体"/>
          <w:sz w:val="24"/>
        </w:rPr>
        <w:t xml:space="preserve">                            </w:t>
      </w:r>
      <w:r>
        <w:rPr>
          <w:rFonts w:hint="eastAsia" w:ascii="宋体" w:hAnsi="宋体"/>
          <w:sz w:val="24"/>
        </w:rPr>
        <w:t>乙</w:t>
      </w:r>
      <w:r>
        <w:rPr>
          <w:rFonts w:ascii="宋体" w:hAnsi="宋体"/>
          <w:sz w:val="24"/>
        </w:rPr>
        <w:t xml:space="preserve">    </w:t>
      </w:r>
      <w:r>
        <w:rPr>
          <w:rFonts w:hint="eastAsia" w:ascii="宋体" w:hAnsi="宋体"/>
          <w:sz w:val="24"/>
        </w:rPr>
        <w:t>方：</w:t>
      </w:r>
    </w:p>
    <w:p>
      <w:pPr>
        <w:spacing w:line="360" w:lineRule="auto"/>
        <w:rPr>
          <w:rFonts w:ascii="宋体"/>
          <w:sz w:val="24"/>
        </w:rPr>
      </w:pPr>
      <w:r>
        <w:rPr>
          <w:rFonts w:hint="eastAsia" w:ascii="宋体" w:hAnsi="宋体"/>
          <w:sz w:val="24"/>
        </w:rPr>
        <w:t>单位地址：</w:t>
      </w:r>
      <w:r>
        <w:rPr>
          <w:rFonts w:ascii="宋体" w:hAnsi="宋体"/>
          <w:sz w:val="24"/>
        </w:rPr>
        <w:t xml:space="preserve">                            </w:t>
      </w:r>
      <w:r>
        <w:rPr>
          <w:rFonts w:hint="eastAsia" w:ascii="宋体" w:hAnsi="宋体"/>
          <w:sz w:val="24"/>
        </w:rPr>
        <w:t>单位地址：</w:t>
      </w:r>
    </w:p>
    <w:p>
      <w:pPr>
        <w:spacing w:line="360" w:lineRule="auto"/>
        <w:rPr>
          <w:rFonts w:ascii="宋体"/>
          <w:sz w:val="24"/>
        </w:rPr>
      </w:pPr>
      <w:r>
        <w:rPr>
          <w:rFonts w:hint="eastAsia" w:ascii="宋体" w:hAnsi="宋体"/>
          <w:sz w:val="24"/>
        </w:rPr>
        <w:t>法定代表人：</w:t>
      </w:r>
      <w:r>
        <w:rPr>
          <w:rFonts w:ascii="宋体" w:hAnsi="宋体"/>
          <w:sz w:val="24"/>
        </w:rPr>
        <w:t xml:space="preserve">                          </w:t>
      </w:r>
      <w:r>
        <w:rPr>
          <w:rFonts w:hint="eastAsia" w:ascii="宋体" w:hAnsi="宋体"/>
          <w:sz w:val="24"/>
        </w:rPr>
        <w:t>法定代表人：</w:t>
      </w:r>
    </w:p>
    <w:p>
      <w:pPr>
        <w:spacing w:line="360" w:lineRule="auto"/>
        <w:rPr>
          <w:rFonts w:ascii="宋体"/>
          <w:sz w:val="24"/>
        </w:rPr>
      </w:pPr>
      <w:r>
        <w:rPr>
          <w:rFonts w:hint="eastAsia" w:ascii="宋体" w:hAnsi="宋体"/>
          <w:sz w:val="24"/>
        </w:rPr>
        <w:t>委托代理人：</w:t>
      </w:r>
      <w:r>
        <w:rPr>
          <w:rFonts w:ascii="宋体" w:hAnsi="宋体"/>
          <w:sz w:val="24"/>
        </w:rPr>
        <w:t xml:space="preserve">                          </w:t>
      </w:r>
      <w:r>
        <w:rPr>
          <w:rFonts w:hint="eastAsia" w:ascii="宋体" w:hAnsi="宋体"/>
          <w:sz w:val="24"/>
        </w:rPr>
        <w:t>委托代理人：</w:t>
      </w:r>
    </w:p>
    <w:p>
      <w:pPr>
        <w:spacing w:line="360" w:lineRule="auto"/>
        <w:rPr>
          <w:rFonts w:ascii="宋体"/>
          <w:sz w:val="24"/>
        </w:rPr>
      </w:pPr>
      <w:r>
        <w:rPr>
          <w:rFonts w:hint="eastAsia" w:ascii="宋体" w:hAnsi="宋体"/>
          <w:sz w:val="24"/>
        </w:rPr>
        <w:t>电</w:t>
      </w:r>
      <w:r>
        <w:rPr>
          <w:rFonts w:ascii="宋体" w:hAnsi="宋体"/>
          <w:sz w:val="24"/>
        </w:rPr>
        <w:t xml:space="preserve">    </w:t>
      </w:r>
      <w:r>
        <w:rPr>
          <w:rFonts w:hint="eastAsia" w:ascii="宋体" w:hAnsi="宋体"/>
          <w:sz w:val="24"/>
        </w:rPr>
        <w:t>话：</w:t>
      </w:r>
      <w:r>
        <w:rPr>
          <w:rFonts w:ascii="宋体" w:hAnsi="宋体"/>
          <w:sz w:val="24"/>
        </w:rPr>
        <w:t xml:space="preserve">                            </w:t>
      </w:r>
      <w:r>
        <w:rPr>
          <w:rFonts w:hint="eastAsia" w:ascii="宋体" w:hAnsi="宋体"/>
          <w:sz w:val="24"/>
        </w:rPr>
        <w:t>电</w:t>
      </w:r>
      <w:r>
        <w:rPr>
          <w:rFonts w:ascii="宋体" w:hAnsi="宋体"/>
          <w:sz w:val="24"/>
        </w:rPr>
        <w:t xml:space="preserve">    </w:t>
      </w:r>
      <w:r>
        <w:rPr>
          <w:rFonts w:hint="eastAsia" w:ascii="宋体" w:hAnsi="宋体"/>
          <w:sz w:val="24"/>
        </w:rPr>
        <w:t>话：</w:t>
      </w:r>
    </w:p>
    <w:p>
      <w:pPr>
        <w:spacing w:line="360" w:lineRule="auto"/>
        <w:rPr>
          <w:rFonts w:ascii="宋体"/>
          <w:sz w:val="24"/>
        </w:rPr>
      </w:pPr>
      <w:r>
        <w:rPr>
          <w:rFonts w:hint="eastAsia" w:ascii="宋体" w:hAnsi="宋体"/>
          <w:sz w:val="24"/>
        </w:rPr>
        <w:t>开户银行：</w:t>
      </w:r>
      <w:r>
        <w:rPr>
          <w:rFonts w:ascii="宋体" w:hAnsi="宋体"/>
          <w:sz w:val="24"/>
        </w:rPr>
        <w:t xml:space="preserve">                            </w:t>
      </w:r>
      <w:r>
        <w:rPr>
          <w:rFonts w:hint="eastAsia" w:ascii="宋体" w:hAnsi="宋体"/>
          <w:sz w:val="24"/>
        </w:rPr>
        <w:t>开户银行：</w:t>
      </w:r>
    </w:p>
    <w:p>
      <w:pPr>
        <w:spacing w:line="360" w:lineRule="auto"/>
        <w:outlineLvl w:val="0"/>
        <w:rPr>
          <w:rFonts w:ascii="宋体"/>
          <w:sz w:val="24"/>
        </w:rPr>
      </w:pPr>
      <w:r>
        <w:rPr>
          <w:rFonts w:hint="eastAsia" w:ascii="宋体" w:hAnsi="宋体"/>
          <w:sz w:val="24"/>
        </w:rPr>
        <w:t>账</w:t>
      </w:r>
      <w:r>
        <w:rPr>
          <w:rFonts w:ascii="宋体" w:hAnsi="宋体"/>
          <w:sz w:val="24"/>
        </w:rPr>
        <w:t xml:space="preserve">    </w:t>
      </w:r>
      <w:r>
        <w:rPr>
          <w:rFonts w:hint="eastAsia" w:ascii="宋体" w:hAnsi="宋体"/>
          <w:sz w:val="24"/>
        </w:rPr>
        <w:t>号：</w:t>
      </w:r>
      <w:r>
        <w:rPr>
          <w:rFonts w:ascii="宋体" w:hAnsi="宋体"/>
          <w:sz w:val="24"/>
        </w:rPr>
        <w:t xml:space="preserve">                            </w:t>
      </w:r>
      <w:r>
        <w:rPr>
          <w:rFonts w:hint="eastAsia" w:ascii="宋体" w:hAnsi="宋体"/>
          <w:sz w:val="24"/>
        </w:rPr>
        <w:t>账</w:t>
      </w:r>
      <w:r>
        <w:rPr>
          <w:rFonts w:ascii="宋体" w:hAnsi="宋体"/>
          <w:sz w:val="24"/>
        </w:rPr>
        <w:t xml:space="preserve">    </w:t>
      </w:r>
      <w:r>
        <w:rPr>
          <w:rFonts w:hint="eastAsia" w:ascii="宋体" w:hAnsi="宋体"/>
          <w:sz w:val="24"/>
        </w:rPr>
        <w:t>号：</w:t>
      </w: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outlineLvl w:val="0"/>
        <w:rPr>
          <w:rFonts w:ascii="宋体"/>
          <w:sz w:val="24"/>
        </w:rPr>
      </w:pPr>
    </w:p>
    <w:p>
      <w:pPr>
        <w:spacing w:line="360" w:lineRule="auto"/>
        <w:jc w:val="center"/>
        <w:outlineLvl w:val="0"/>
        <w:rPr>
          <w:rFonts w:ascii="宋体"/>
          <w:b/>
          <w:bCs/>
          <w:sz w:val="44"/>
          <w:szCs w:val="44"/>
        </w:rPr>
      </w:pPr>
    </w:p>
    <w:p>
      <w:pPr>
        <w:spacing w:line="360" w:lineRule="auto"/>
        <w:jc w:val="center"/>
        <w:outlineLvl w:val="0"/>
        <w:rPr>
          <w:rFonts w:ascii="宋体"/>
          <w:b/>
          <w:bCs/>
          <w:sz w:val="44"/>
          <w:szCs w:val="44"/>
        </w:rPr>
      </w:pPr>
    </w:p>
    <w:p>
      <w:pPr>
        <w:spacing w:line="360" w:lineRule="auto"/>
        <w:jc w:val="center"/>
        <w:outlineLvl w:val="0"/>
        <w:rPr>
          <w:rFonts w:ascii="宋体"/>
          <w:b/>
          <w:bCs/>
          <w:sz w:val="44"/>
          <w:szCs w:val="44"/>
        </w:rPr>
      </w:pPr>
    </w:p>
    <w:bookmarkEnd w:id="7"/>
    <w:p>
      <w:pPr>
        <w:spacing w:line="360" w:lineRule="auto"/>
        <w:jc w:val="center"/>
        <w:outlineLvl w:val="0"/>
        <w:rPr>
          <w:rFonts w:ascii="宋体"/>
          <w:b/>
          <w:bCs/>
          <w:sz w:val="44"/>
          <w:szCs w:val="44"/>
        </w:rPr>
      </w:pPr>
      <w:r>
        <w:rPr>
          <w:rFonts w:hint="eastAsia" w:ascii="宋体" w:hAnsi="宋体"/>
          <w:b/>
          <w:bCs/>
          <w:sz w:val="44"/>
          <w:szCs w:val="44"/>
        </w:rPr>
        <w:t>第六章　响应文件格式</w:t>
      </w:r>
    </w:p>
    <w:p>
      <w:pPr>
        <w:spacing w:line="360" w:lineRule="auto"/>
        <w:jc w:val="center"/>
        <w:rPr>
          <w:rFonts w:ascii="宋体"/>
          <w:b/>
          <w:color w:val="000000"/>
          <w:sz w:val="36"/>
          <w:szCs w:val="36"/>
        </w:rPr>
      </w:pPr>
      <w:r>
        <w:rPr>
          <w:rFonts w:hint="eastAsia" w:ascii="宋体" w:hAnsi="宋体"/>
          <w:b/>
          <w:color w:val="000000"/>
          <w:sz w:val="36"/>
          <w:szCs w:val="36"/>
        </w:rPr>
        <w:t>投标密封袋及文件封面格式</w:t>
      </w:r>
    </w:p>
    <w:p>
      <w:pPr>
        <w:spacing w:line="480" w:lineRule="auto"/>
        <w:jc w:val="center"/>
        <w:rPr>
          <w:rFonts w:ascii="宋体" w:cs="宋体"/>
          <w:b/>
          <w:color w:val="000000"/>
          <w:sz w:val="28"/>
          <w:szCs w:val="28"/>
        </w:rPr>
      </w:pPr>
    </w:p>
    <w:p>
      <w:pPr>
        <w:spacing w:line="480" w:lineRule="auto"/>
        <w:jc w:val="center"/>
        <w:rPr>
          <w:rFonts w:ascii="宋体" w:cs="宋体"/>
          <w:b/>
          <w:color w:val="000000"/>
          <w:sz w:val="28"/>
          <w:szCs w:val="28"/>
        </w:rPr>
      </w:pPr>
      <w:r>
        <w:rPr>
          <w:rFonts w:ascii="宋体" w:hAnsi="宋体" w:cs="宋体"/>
          <w:b/>
          <w:color w:val="000000"/>
          <w:sz w:val="28"/>
          <w:szCs w:val="28"/>
        </w:rPr>
        <w:t xml:space="preserve">                               </w:t>
      </w:r>
      <w:r>
        <w:rPr>
          <w:rFonts w:hint="eastAsia" w:ascii="宋体" w:hAnsi="宋体" w:cs="宋体"/>
          <w:b/>
          <w:color w:val="000000"/>
          <w:sz w:val="28"/>
          <w:szCs w:val="28"/>
        </w:rPr>
        <w:t>注</w:t>
      </w:r>
      <w:r>
        <w:rPr>
          <w:rFonts w:ascii="宋体" w:hAnsi="宋体" w:cs="宋体"/>
          <w:b/>
          <w:color w:val="000000"/>
          <w:sz w:val="28"/>
          <w:szCs w:val="28"/>
        </w:rPr>
        <w:t>:</w:t>
      </w:r>
      <w:r>
        <w:rPr>
          <w:rFonts w:hint="eastAsia" w:ascii="宋体" w:hAnsi="宋体" w:cs="宋体"/>
          <w:b/>
          <w:color w:val="000000"/>
          <w:sz w:val="28"/>
          <w:szCs w:val="28"/>
        </w:rPr>
        <w:t>投标文件标明</w:t>
      </w:r>
      <w:r>
        <w:rPr>
          <w:rFonts w:hint="eastAsia" w:ascii="宋体" w:hAnsi="宋体" w:cs="宋体"/>
          <w:b/>
          <w:color w:val="000000"/>
          <w:sz w:val="28"/>
          <w:szCs w:val="28"/>
          <w:u w:val="single"/>
        </w:rPr>
        <w:t>正本或副本</w:t>
      </w:r>
    </w:p>
    <w:p>
      <w:pPr>
        <w:spacing w:line="480" w:lineRule="auto"/>
        <w:jc w:val="center"/>
        <w:rPr>
          <w:rFonts w:ascii="宋体" w:cs="宋体"/>
          <w:bCs/>
          <w:color w:val="000000"/>
          <w:sz w:val="28"/>
          <w:szCs w:val="28"/>
        </w:rPr>
      </w:pPr>
      <w:r>
        <w:rPr>
          <w:rFonts w:hint="eastAsia" w:ascii="宋体" w:hAnsi="宋体" w:cs="宋体"/>
          <w:bCs/>
          <w:color w:val="000000"/>
          <w:sz w:val="28"/>
          <w:szCs w:val="28"/>
        </w:rPr>
        <w:t>铜仁市公共资源交易中心（政府采购）项目</w:t>
      </w:r>
    </w:p>
    <w:p>
      <w:pPr>
        <w:spacing w:line="480" w:lineRule="auto"/>
        <w:jc w:val="center"/>
        <w:rPr>
          <w:rFonts w:ascii="宋体" w:cs="宋体"/>
          <w:b/>
          <w:color w:val="000000"/>
          <w:sz w:val="28"/>
          <w:szCs w:val="28"/>
        </w:rPr>
      </w:pPr>
      <w:r>
        <w:rPr>
          <w:rFonts w:hint="eastAsia" w:ascii="宋体" w:hAnsi="宋体" w:cs="宋体"/>
          <w:b/>
          <w:color w:val="000000"/>
          <w:sz w:val="28"/>
          <w:szCs w:val="28"/>
        </w:rPr>
        <w:t>响</w:t>
      </w:r>
    </w:p>
    <w:p>
      <w:pPr>
        <w:spacing w:line="480" w:lineRule="auto"/>
        <w:jc w:val="center"/>
        <w:rPr>
          <w:rFonts w:ascii="宋体" w:cs="宋体"/>
          <w:b/>
          <w:color w:val="000000"/>
          <w:sz w:val="28"/>
          <w:szCs w:val="28"/>
        </w:rPr>
      </w:pPr>
      <w:r>
        <w:rPr>
          <w:rFonts w:hint="eastAsia" w:ascii="宋体" w:hAnsi="宋体" w:cs="宋体"/>
          <w:b/>
          <w:color w:val="000000"/>
          <w:sz w:val="28"/>
          <w:szCs w:val="28"/>
        </w:rPr>
        <w:t>应</w:t>
      </w:r>
    </w:p>
    <w:p>
      <w:pPr>
        <w:spacing w:line="480" w:lineRule="auto"/>
        <w:jc w:val="center"/>
        <w:rPr>
          <w:rFonts w:ascii="宋体" w:cs="宋体"/>
          <w:b/>
          <w:color w:val="000000"/>
          <w:sz w:val="28"/>
          <w:szCs w:val="28"/>
        </w:rPr>
      </w:pPr>
      <w:r>
        <w:rPr>
          <w:rFonts w:hint="eastAsia" w:ascii="宋体" w:hAnsi="宋体" w:cs="宋体"/>
          <w:b/>
          <w:color w:val="000000"/>
          <w:sz w:val="28"/>
          <w:szCs w:val="28"/>
        </w:rPr>
        <w:t>文</w:t>
      </w:r>
    </w:p>
    <w:p>
      <w:pPr>
        <w:spacing w:line="480" w:lineRule="auto"/>
        <w:jc w:val="center"/>
        <w:rPr>
          <w:rFonts w:ascii="宋体" w:cs="宋体"/>
          <w:b/>
          <w:color w:val="000000"/>
          <w:sz w:val="28"/>
          <w:szCs w:val="28"/>
        </w:rPr>
      </w:pPr>
      <w:r>
        <w:rPr>
          <w:rFonts w:hint="eastAsia" w:ascii="宋体" w:hAnsi="宋体" w:cs="宋体"/>
          <w:b/>
          <w:color w:val="000000"/>
          <w:sz w:val="28"/>
          <w:szCs w:val="28"/>
        </w:rPr>
        <w:t>件</w:t>
      </w:r>
    </w:p>
    <w:p>
      <w:pPr>
        <w:spacing w:line="400" w:lineRule="exact"/>
        <w:rPr>
          <w:rFonts w:ascii="宋体" w:cs="宋体"/>
          <w:bCs/>
          <w:color w:val="000000"/>
          <w:sz w:val="28"/>
          <w:szCs w:val="28"/>
        </w:rPr>
      </w:pPr>
    </w:p>
    <w:p>
      <w:pPr>
        <w:spacing w:line="400" w:lineRule="exact"/>
        <w:ind w:left="180"/>
        <w:rPr>
          <w:rFonts w:ascii="宋体" w:cs="宋体"/>
          <w:bCs/>
          <w:color w:val="000000"/>
          <w:sz w:val="28"/>
          <w:szCs w:val="28"/>
        </w:rPr>
      </w:pPr>
    </w:p>
    <w:p>
      <w:pPr>
        <w:spacing w:line="400" w:lineRule="exact"/>
        <w:rPr>
          <w:rFonts w:ascii="宋体" w:cs="宋体"/>
          <w:bCs/>
          <w:color w:val="000000"/>
          <w:sz w:val="28"/>
          <w:szCs w:val="28"/>
        </w:rPr>
      </w:pPr>
    </w:p>
    <w:p>
      <w:pPr>
        <w:spacing w:line="400" w:lineRule="exact"/>
        <w:ind w:left="180"/>
        <w:rPr>
          <w:rFonts w:ascii="宋体" w:cs="宋体"/>
          <w:bCs/>
          <w:color w:val="000000"/>
          <w:sz w:val="28"/>
          <w:szCs w:val="28"/>
        </w:rPr>
      </w:pPr>
    </w:p>
    <w:p>
      <w:pPr>
        <w:spacing w:line="400" w:lineRule="exact"/>
        <w:ind w:left="180"/>
        <w:rPr>
          <w:rFonts w:ascii="宋体" w:cs="宋体"/>
          <w:bCs/>
          <w:color w:val="000000"/>
          <w:sz w:val="28"/>
          <w:szCs w:val="28"/>
        </w:rPr>
      </w:pPr>
    </w:p>
    <w:p>
      <w:pPr>
        <w:spacing w:line="400" w:lineRule="exact"/>
        <w:ind w:left="180"/>
        <w:rPr>
          <w:rFonts w:ascii="宋体" w:cs="宋体"/>
          <w:bCs/>
          <w:color w:val="000000"/>
          <w:sz w:val="28"/>
          <w:szCs w:val="28"/>
        </w:rPr>
      </w:pPr>
    </w:p>
    <w:p>
      <w:pPr>
        <w:spacing w:line="400" w:lineRule="exact"/>
        <w:ind w:left="180"/>
        <w:rPr>
          <w:rFonts w:ascii="宋体" w:cs="宋体"/>
          <w:bCs/>
          <w:color w:val="000000"/>
          <w:sz w:val="28"/>
          <w:szCs w:val="28"/>
        </w:rPr>
      </w:pPr>
    </w:p>
    <w:p>
      <w:pPr>
        <w:spacing w:line="400" w:lineRule="exact"/>
        <w:ind w:left="180" w:firstLine="280" w:firstLineChars="100"/>
        <w:rPr>
          <w:rFonts w:ascii="宋体" w:cs="宋体"/>
          <w:bCs/>
          <w:color w:val="000000"/>
          <w:sz w:val="28"/>
          <w:szCs w:val="28"/>
          <w:u w:val="single"/>
        </w:rPr>
      </w:pPr>
      <w:r>
        <w:rPr>
          <w:rFonts w:hint="eastAsia" w:ascii="宋体" w:hAnsi="宋体" w:cs="宋体"/>
          <w:bCs/>
          <w:color w:val="000000"/>
          <w:sz w:val="28"/>
          <w:szCs w:val="28"/>
        </w:rPr>
        <w:t>采购项目名称</w:t>
      </w:r>
      <w:r>
        <w:rPr>
          <w:rFonts w:ascii="宋体" w:hAnsi="宋体" w:cs="宋体"/>
          <w:bCs/>
          <w:color w:val="000000"/>
          <w:sz w:val="28"/>
          <w:szCs w:val="28"/>
        </w:rPr>
        <w:t>:</w:t>
      </w:r>
      <w:r>
        <w:rPr>
          <w:rFonts w:ascii="宋体" w:hAnsi="宋体" w:cs="宋体"/>
          <w:bCs/>
          <w:color w:val="000000"/>
          <w:sz w:val="28"/>
          <w:szCs w:val="28"/>
          <w:u w:val="single"/>
        </w:rPr>
        <w:t xml:space="preserve">                                </w:t>
      </w:r>
    </w:p>
    <w:p>
      <w:pPr>
        <w:spacing w:line="400" w:lineRule="exact"/>
        <w:ind w:left="180" w:firstLine="280" w:firstLineChars="100"/>
        <w:rPr>
          <w:rFonts w:ascii="宋体" w:cs="宋体"/>
          <w:bCs/>
          <w:color w:val="000000"/>
          <w:sz w:val="28"/>
          <w:szCs w:val="28"/>
          <w:u w:val="single"/>
        </w:rPr>
      </w:pPr>
      <w:r>
        <w:rPr>
          <w:rFonts w:hint="eastAsia" w:ascii="宋体" w:hAnsi="宋体" w:cs="宋体"/>
          <w:bCs/>
          <w:color w:val="000000"/>
          <w:sz w:val="28"/>
          <w:szCs w:val="28"/>
        </w:rPr>
        <w:t>采购项目编号</w:t>
      </w:r>
      <w:r>
        <w:rPr>
          <w:rFonts w:ascii="宋体" w:hAnsi="宋体" w:cs="宋体"/>
          <w:bCs/>
          <w:color w:val="000000"/>
          <w:sz w:val="28"/>
          <w:szCs w:val="28"/>
        </w:rPr>
        <w:t xml:space="preserve">: </w:t>
      </w:r>
      <w:r>
        <w:rPr>
          <w:rFonts w:ascii="宋体" w:hAnsi="宋体" w:cs="宋体"/>
          <w:bCs/>
          <w:color w:val="000000"/>
          <w:sz w:val="28"/>
          <w:szCs w:val="28"/>
          <w:u w:val="single"/>
        </w:rPr>
        <w:t xml:space="preserve">                               </w:t>
      </w:r>
    </w:p>
    <w:p>
      <w:pPr>
        <w:spacing w:line="400" w:lineRule="exact"/>
        <w:ind w:left="180" w:firstLine="280" w:firstLineChars="100"/>
        <w:rPr>
          <w:rFonts w:ascii="宋体" w:cs="宋体"/>
          <w:bCs/>
          <w:color w:val="000000"/>
          <w:sz w:val="28"/>
          <w:szCs w:val="28"/>
          <w:u w:val="single"/>
        </w:rPr>
      </w:pPr>
      <w:r>
        <w:rPr>
          <w:rFonts w:hint="eastAsia" w:ascii="宋体" w:hAnsi="宋体" w:cs="宋体"/>
          <w:bCs/>
          <w:color w:val="000000"/>
          <w:sz w:val="28"/>
          <w:szCs w:val="28"/>
        </w:rPr>
        <w:t>投标单位名称</w:t>
      </w:r>
      <w:r>
        <w:rPr>
          <w:rFonts w:ascii="宋体" w:hAnsi="宋体" w:cs="宋体"/>
          <w:bCs/>
          <w:color w:val="000000"/>
          <w:sz w:val="28"/>
          <w:szCs w:val="28"/>
        </w:rPr>
        <w:t>:</w:t>
      </w:r>
      <w:r>
        <w:rPr>
          <w:rFonts w:hint="eastAsia" w:ascii="宋体" w:hAnsi="宋体" w:cs="宋体"/>
          <w:bCs/>
          <w:color w:val="FF0000"/>
          <w:sz w:val="28"/>
          <w:szCs w:val="28"/>
          <w:u w:val="single"/>
        </w:rPr>
        <w:t>（请盖单位公章）</w:t>
      </w:r>
      <w:r>
        <w:rPr>
          <w:rFonts w:ascii="宋体" w:hAnsi="宋体" w:cs="宋体"/>
          <w:bCs/>
          <w:color w:val="FF0000"/>
          <w:sz w:val="28"/>
          <w:szCs w:val="28"/>
          <w:u w:val="single"/>
        </w:rPr>
        <w:t xml:space="preserve">                </w:t>
      </w:r>
    </w:p>
    <w:p>
      <w:pPr>
        <w:spacing w:line="400" w:lineRule="exact"/>
        <w:ind w:left="180" w:firstLine="280" w:firstLineChars="100"/>
        <w:rPr>
          <w:rFonts w:ascii="宋体" w:cs="宋体"/>
          <w:bCs/>
          <w:color w:val="000000"/>
          <w:sz w:val="28"/>
          <w:szCs w:val="28"/>
          <w:u w:val="single"/>
        </w:rPr>
      </w:pPr>
      <w:r>
        <w:rPr>
          <w:rFonts w:hint="eastAsia" w:ascii="宋体" w:hAnsi="宋体" w:cs="宋体"/>
          <w:bCs/>
          <w:color w:val="000000"/>
          <w:sz w:val="28"/>
          <w:szCs w:val="28"/>
        </w:rPr>
        <w:t>地</w:t>
      </w:r>
      <w:r>
        <w:rPr>
          <w:rFonts w:ascii="宋体" w:hAnsi="宋体" w:cs="宋体"/>
          <w:bCs/>
          <w:color w:val="000000"/>
          <w:sz w:val="28"/>
          <w:szCs w:val="28"/>
        </w:rPr>
        <w:t xml:space="preserve">        </w:t>
      </w:r>
      <w:r>
        <w:rPr>
          <w:rFonts w:hint="eastAsia" w:ascii="宋体" w:hAnsi="宋体" w:cs="宋体"/>
          <w:bCs/>
          <w:color w:val="000000"/>
          <w:sz w:val="28"/>
          <w:szCs w:val="28"/>
        </w:rPr>
        <w:t>址</w:t>
      </w:r>
      <w:r>
        <w:rPr>
          <w:rFonts w:ascii="宋体" w:hAnsi="宋体" w:cs="宋体"/>
          <w:bCs/>
          <w:color w:val="000000"/>
          <w:sz w:val="28"/>
          <w:szCs w:val="28"/>
        </w:rPr>
        <w:t>:</w:t>
      </w:r>
      <w:r>
        <w:rPr>
          <w:rFonts w:ascii="宋体" w:hAnsi="宋体" w:cs="宋体"/>
          <w:bCs/>
          <w:color w:val="000000"/>
          <w:sz w:val="28"/>
          <w:szCs w:val="28"/>
          <w:u w:val="single"/>
        </w:rPr>
        <w:t xml:space="preserve">                               </w:t>
      </w:r>
      <w:r>
        <w:rPr>
          <w:rFonts w:ascii="宋体" w:hAnsi="宋体" w:cs="宋体"/>
          <w:bCs/>
          <w:color w:val="000000"/>
          <w:sz w:val="28"/>
          <w:szCs w:val="28"/>
          <w:u w:val="single"/>
        </w:rPr>
        <w:tab/>
      </w:r>
    </w:p>
    <w:p>
      <w:pPr>
        <w:spacing w:line="400" w:lineRule="exact"/>
        <w:ind w:left="180" w:firstLine="280" w:firstLineChars="100"/>
        <w:rPr>
          <w:rFonts w:ascii="宋体" w:cs="宋体"/>
          <w:bCs/>
          <w:color w:val="000000"/>
          <w:sz w:val="28"/>
          <w:szCs w:val="28"/>
          <w:u w:val="single"/>
        </w:rPr>
      </w:pPr>
      <w:r>
        <w:rPr>
          <w:rFonts w:hint="eastAsia" w:ascii="宋体" w:hAnsi="宋体" w:cs="宋体"/>
          <w:bCs/>
          <w:color w:val="000000"/>
          <w:sz w:val="28"/>
          <w:szCs w:val="28"/>
        </w:rPr>
        <w:t>联</w:t>
      </w:r>
      <w:r>
        <w:rPr>
          <w:rFonts w:ascii="宋体" w:hAnsi="宋体" w:cs="宋体"/>
          <w:bCs/>
          <w:color w:val="000000"/>
          <w:sz w:val="28"/>
          <w:szCs w:val="28"/>
        </w:rPr>
        <w:t xml:space="preserve">   </w:t>
      </w:r>
      <w:r>
        <w:rPr>
          <w:rFonts w:hint="eastAsia" w:ascii="宋体" w:hAnsi="宋体" w:cs="宋体"/>
          <w:bCs/>
          <w:color w:val="000000"/>
          <w:sz w:val="28"/>
          <w:szCs w:val="28"/>
        </w:rPr>
        <w:t>系</w:t>
      </w:r>
      <w:r>
        <w:rPr>
          <w:rFonts w:ascii="宋体" w:hAnsi="宋体" w:cs="宋体"/>
          <w:bCs/>
          <w:color w:val="000000"/>
          <w:sz w:val="28"/>
          <w:szCs w:val="28"/>
        </w:rPr>
        <w:t xml:space="preserve">   </w:t>
      </w:r>
      <w:r>
        <w:rPr>
          <w:rFonts w:hint="eastAsia" w:ascii="宋体" w:hAnsi="宋体" w:cs="宋体"/>
          <w:bCs/>
          <w:color w:val="000000"/>
          <w:sz w:val="28"/>
          <w:szCs w:val="28"/>
        </w:rPr>
        <w:t>人</w:t>
      </w:r>
      <w:r>
        <w:rPr>
          <w:rFonts w:ascii="宋体" w:hAnsi="宋体" w:cs="宋体"/>
          <w:bCs/>
          <w:color w:val="000000"/>
          <w:sz w:val="28"/>
          <w:szCs w:val="28"/>
        </w:rPr>
        <w:t>:</w:t>
      </w:r>
      <w:r>
        <w:rPr>
          <w:rFonts w:ascii="宋体" w:hAnsi="宋体" w:cs="宋体"/>
          <w:bCs/>
          <w:color w:val="000000"/>
          <w:sz w:val="28"/>
          <w:szCs w:val="28"/>
          <w:u w:val="single"/>
        </w:rPr>
        <w:t xml:space="preserve">                                </w:t>
      </w:r>
    </w:p>
    <w:p>
      <w:pPr>
        <w:spacing w:line="400" w:lineRule="exact"/>
        <w:ind w:left="180" w:firstLine="280" w:firstLineChars="100"/>
        <w:rPr>
          <w:rFonts w:ascii="宋体" w:cs="宋体"/>
          <w:b/>
          <w:color w:val="000000"/>
          <w:sz w:val="28"/>
          <w:szCs w:val="28"/>
          <w:u w:val="single"/>
        </w:rPr>
      </w:pPr>
      <w:r>
        <w:rPr>
          <w:rFonts w:hint="eastAsia" w:ascii="宋体" w:hAnsi="宋体" w:cs="宋体"/>
          <w:bCs/>
          <w:color w:val="000000"/>
          <w:sz w:val="28"/>
          <w:szCs w:val="28"/>
        </w:rPr>
        <w:t>联</w:t>
      </w:r>
      <w:r>
        <w:rPr>
          <w:rFonts w:ascii="宋体" w:hAnsi="宋体" w:cs="宋体"/>
          <w:bCs/>
          <w:color w:val="000000"/>
          <w:sz w:val="28"/>
          <w:szCs w:val="28"/>
        </w:rPr>
        <w:t xml:space="preserve">  </w:t>
      </w:r>
      <w:r>
        <w:rPr>
          <w:rFonts w:hint="eastAsia" w:ascii="宋体" w:hAnsi="宋体" w:cs="宋体"/>
          <w:bCs/>
          <w:color w:val="000000"/>
          <w:sz w:val="28"/>
          <w:szCs w:val="28"/>
        </w:rPr>
        <w:t>系</w:t>
      </w:r>
      <w:r>
        <w:rPr>
          <w:rFonts w:ascii="宋体" w:hAnsi="宋体" w:cs="宋体"/>
          <w:bCs/>
          <w:color w:val="000000"/>
          <w:sz w:val="28"/>
          <w:szCs w:val="28"/>
        </w:rPr>
        <w:t xml:space="preserve"> </w:t>
      </w:r>
      <w:r>
        <w:rPr>
          <w:rFonts w:hint="eastAsia" w:ascii="宋体" w:hAnsi="宋体" w:cs="宋体"/>
          <w:bCs/>
          <w:color w:val="000000"/>
          <w:sz w:val="28"/>
          <w:szCs w:val="28"/>
        </w:rPr>
        <w:t>电</w:t>
      </w:r>
      <w:r>
        <w:rPr>
          <w:rFonts w:ascii="宋体" w:hAnsi="宋体" w:cs="宋体"/>
          <w:bCs/>
          <w:color w:val="000000"/>
          <w:sz w:val="28"/>
          <w:szCs w:val="28"/>
        </w:rPr>
        <w:t xml:space="preserve"> </w:t>
      </w:r>
      <w:r>
        <w:rPr>
          <w:rFonts w:hint="eastAsia" w:ascii="宋体" w:hAnsi="宋体" w:cs="宋体"/>
          <w:bCs/>
          <w:color w:val="000000"/>
          <w:sz w:val="28"/>
          <w:szCs w:val="28"/>
        </w:rPr>
        <w:t>话</w:t>
      </w:r>
      <w:r>
        <w:rPr>
          <w:rFonts w:ascii="宋体" w:hAnsi="宋体" w:cs="宋体"/>
          <w:bCs/>
          <w:color w:val="000000"/>
          <w:sz w:val="28"/>
          <w:szCs w:val="28"/>
        </w:rPr>
        <w:t>:</w:t>
      </w:r>
      <w:r>
        <w:rPr>
          <w:rFonts w:ascii="宋体" w:hAnsi="宋体" w:cs="宋体"/>
          <w:bCs/>
          <w:color w:val="000000"/>
          <w:sz w:val="28"/>
          <w:szCs w:val="28"/>
          <w:u w:val="single"/>
        </w:rPr>
        <w:t xml:space="preserve">                                </w:t>
      </w:r>
    </w:p>
    <w:p>
      <w:pPr>
        <w:spacing w:line="360" w:lineRule="auto"/>
        <w:rPr>
          <w:rFonts w:ascii="宋体"/>
          <w:b/>
          <w:sz w:val="36"/>
        </w:rPr>
      </w:pPr>
    </w:p>
    <w:p>
      <w:pPr>
        <w:spacing w:line="360" w:lineRule="auto"/>
        <w:rPr>
          <w:rFonts w:ascii="宋体"/>
          <w:b/>
          <w:sz w:val="36"/>
        </w:rPr>
      </w:pPr>
    </w:p>
    <w:p>
      <w:pPr>
        <w:spacing w:line="360" w:lineRule="auto"/>
        <w:rPr>
          <w:rFonts w:ascii="宋体"/>
          <w:b/>
          <w:sz w:val="36"/>
        </w:rPr>
      </w:pPr>
    </w:p>
    <w:p>
      <w:pPr>
        <w:spacing w:line="360" w:lineRule="auto"/>
        <w:jc w:val="center"/>
        <w:rPr>
          <w:rFonts w:ascii="宋体"/>
          <w:b/>
          <w:sz w:val="36"/>
        </w:rPr>
      </w:pPr>
      <w:r>
        <w:rPr>
          <w:rFonts w:hint="eastAsia" w:ascii="宋体" w:hAnsi="宋体"/>
          <w:b/>
          <w:sz w:val="36"/>
        </w:rPr>
        <w:t>一谈判响应声明函</w:t>
      </w:r>
    </w:p>
    <w:p>
      <w:pPr>
        <w:pStyle w:val="10"/>
        <w:spacing w:line="400" w:lineRule="exact"/>
        <w:rPr>
          <w:rFonts w:cs="宋体"/>
          <w:color w:val="000000"/>
          <w:sz w:val="24"/>
          <w:szCs w:val="24"/>
        </w:rPr>
      </w:pPr>
      <w:r>
        <w:rPr>
          <w:rFonts w:hint="eastAsia" w:hAnsi="宋体" w:cs="宋体"/>
          <w:color w:val="000000"/>
          <w:sz w:val="24"/>
          <w:szCs w:val="24"/>
        </w:rPr>
        <w:t>致：铜仁市公共资源交易中心</w:t>
      </w:r>
    </w:p>
    <w:p>
      <w:pPr>
        <w:kinsoku w:val="0"/>
        <w:wordWrap w:val="0"/>
        <w:spacing w:line="400" w:lineRule="exact"/>
        <w:ind w:firstLine="480" w:firstLineChars="200"/>
        <w:rPr>
          <w:rFonts w:ascii="宋体" w:cs="宋体"/>
          <w:color w:val="000000"/>
          <w:sz w:val="24"/>
          <w:szCs w:val="24"/>
        </w:rPr>
      </w:pPr>
      <w:r>
        <w:rPr>
          <w:rFonts w:hint="eastAsia" w:ascii="宋体" w:hAnsi="宋体" w:cs="宋体"/>
          <w:color w:val="000000"/>
          <w:sz w:val="24"/>
          <w:szCs w:val="24"/>
        </w:rPr>
        <w:t>根据贵方为</w:t>
      </w:r>
      <w:r>
        <w:rPr>
          <w:rFonts w:ascii="宋体" w:hAnsi="宋体" w:cs="宋体"/>
          <w:color w:val="000000"/>
          <w:sz w:val="24"/>
          <w:szCs w:val="24"/>
          <w:u w:val="single"/>
        </w:rPr>
        <w:t xml:space="preserve"> </w:t>
      </w:r>
      <w:r>
        <w:rPr>
          <w:rFonts w:hint="eastAsia" w:ascii="宋体" w:hAnsi="宋体" w:cs="宋体"/>
          <w:color w:val="000000"/>
          <w:sz w:val="24"/>
          <w:szCs w:val="24"/>
          <w:u w:val="single"/>
        </w:rPr>
        <w:t>（项目名称）</w:t>
      </w:r>
      <w:r>
        <w:rPr>
          <w:rFonts w:ascii="宋体" w:hAnsi="宋体" w:cs="宋体"/>
          <w:color w:val="000000"/>
          <w:sz w:val="24"/>
          <w:szCs w:val="24"/>
          <w:u w:val="single"/>
        </w:rPr>
        <w:t xml:space="preserve"> </w:t>
      </w:r>
      <w:r>
        <w:rPr>
          <w:rFonts w:hint="eastAsia" w:ascii="宋体" w:hAnsi="宋体" w:cs="宋体"/>
          <w:color w:val="000000"/>
          <w:sz w:val="24"/>
          <w:szCs w:val="24"/>
        </w:rPr>
        <w:t>项目的招标公告，签字代表</w:t>
      </w:r>
      <w:r>
        <w:rPr>
          <w:rFonts w:hint="eastAsia" w:ascii="宋体" w:hAnsi="宋体" w:cs="宋体"/>
          <w:color w:val="000000"/>
          <w:sz w:val="24"/>
          <w:szCs w:val="24"/>
          <w:u w:val="single"/>
        </w:rPr>
        <w:t>（姓名、职务）</w:t>
      </w:r>
      <w:r>
        <w:rPr>
          <w:rFonts w:hint="eastAsia" w:ascii="宋体" w:hAnsi="宋体" w:cs="宋体"/>
          <w:color w:val="000000"/>
          <w:sz w:val="24"/>
          <w:szCs w:val="24"/>
        </w:rPr>
        <w:t>经正式授权并代表投标人</w:t>
      </w:r>
      <w:r>
        <w:rPr>
          <w:rFonts w:hint="eastAsia" w:ascii="宋体" w:hAnsi="宋体" w:cs="宋体"/>
          <w:color w:val="000000"/>
          <w:sz w:val="24"/>
          <w:szCs w:val="24"/>
          <w:u w:val="single"/>
        </w:rPr>
        <w:t>（投标人名称、地址）</w:t>
      </w:r>
      <w:r>
        <w:rPr>
          <w:rFonts w:hint="eastAsia" w:ascii="宋体" w:hAnsi="宋体" w:cs="宋体"/>
          <w:color w:val="000000"/>
          <w:sz w:val="24"/>
          <w:szCs w:val="24"/>
        </w:rPr>
        <w:t>提交本项目投标文件正本</w:t>
      </w:r>
      <w:r>
        <w:rPr>
          <w:rFonts w:hint="eastAsia" w:ascii="宋体" w:hAnsi="宋体" w:cs="宋体"/>
          <w:color w:val="000000"/>
          <w:sz w:val="24"/>
          <w:szCs w:val="24"/>
          <w:u w:val="single"/>
        </w:rPr>
        <w:t>（</w:t>
      </w:r>
      <w:r>
        <w:rPr>
          <w:rFonts w:ascii="宋体" w:hAnsi="宋体" w:cs="宋体"/>
          <w:color w:val="000000"/>
          <w:sz w:val="24"/>
          <w:szCs w:val="24"/>
          <w:u w:val="single"/>
        </w:rPr>
        <w:t xml:space="preserve">   </w:t>
      </w:r>
      <w:r>
        <w:rPr>
          <w:rFonts w:hint="eastAsia" w:ascii="宋体" w:hAnsi="宋体" w:cs="宋体"/>
          <w:color w:val="000000"/>
          <w:sz w:val="24"/>
          <w:szCs w:val="24"/>
          <w:u w:val="single"/>
        </w:rPr>
        <w:t>）</w:t>
      </w:r>
      <w:r>
        <w:rPr>
          <w:rFonts w:hint="eastAsia" w:ascii="宋体" w:hAnsi="宋体" w:cs="宋体"/>
          <w:color w:val="000000"/>
          <w:sz w:val="24"/>
          <w:szCs w:val="24"/>
        </w:rPr>
        <w:t>份及副本</w:t>
      </w:r>
      <w:r>
        <w:rPr>
          <w:rFonts w:hint="eastAsia" w:ascii="宋体" w:hAnsi="宋体" w:cs="宋体"/>
          <w:color w:val="000000"/>
          <w:sz w:val="24"/>
          <w:szCs w:val="24"/>
          <w:u w:val="single"/>
        </w:rPr>
        <w:t>（</w:t>
      </w:r>
      <w:r>
        <w:rPr>
          <w:rFonts w:ascii="宋体" w:hAnsi="宋体" w:cs="宋体"/>
          <w:color w:val="000000"/>
          <w:sz w:val="24"/>
          <w:szCs w:val="24"/>
          <w:u w:val="single"/>
        </w:rPr>
        <w:t xml:space="preserve">   </w:t>
      </w:r>
      <w:r>
        <w:rPr>
          <w:rFonts w:hint="eastAsia" w:ascii="宋体" w:hAnsi="宋体" w:cs="宋体"/>
          <w:color w:val="000000"/>
          <w:sz w:val="24"/>
          <w:szCs w:val="24"/>
          <w:u w:val="single"/>
        </w:rPr>
        <w:t>）</w:t>
      </w:r>
      <w:r>
        <w:rPr>
          <w:rFonts w:hint="eastAsia" w:ascii="宋体" w:hAnsi="宋体" w:cs="宋体"/>
          <w:color w:val="000000"/>
          <w:sz w:val="24"/>
          <w:szCs w:val="24"/>
        </w:rPr>
        <w:t>份。据此函，签字代表宣布同意如下：</w:t>
      </w:r>
    </w:p>
    <w:p>
      <w:pPr>
        <w:kinsoku w:val="0"/>
        <w:wordWrap w:val="0"/>
        <w:autoSpaceDE w:val="0"/>
        <w:autoSpaceDN w:val="0"/>
        <w:adjustRightInd w:val="0"/>
        <w:spacing w:line="400" w:lineRule="exact"/>
        <w:ind w:left="510"/>
        <w:textAlignment w:val="baseline"/>
        <w:rPr>
          <w:rFonts w:ascii="宋体" w:cs="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、所附投标价格表中规定的应提交和交付的货物投标总价为</w:t>
      </w:r>
      <w:r>
        <w:rPr>
          <w:rFonts w:hint="eastAsia" w:ascii="宋体" w:hAnsi="宋体" w:cs="宋体"/>
          <w:color w:val="000000"/>
          <w:sz w:val="24"/>
          <w:szCs w:val="24"/>
          <w:u w:val="single"/>
        </w:rPr>
        <w:t>（注明币种，并用文字和数字表示投标总价）（必须按要求填写清楚）</w:t>
      </w:r>
      <w:r>
        <w:rPr>
          <w:rFonts w:hint="eastAsia" w:ascii="宋体" w:hAnsi="宋体" w:cs="宋体"/>
          <w:color w:val="000000"/>
          <w:sz w:val="24"/>
          <w:szCs w:val="24"/>
        </w:rPr>
        <w:t>。</w:t>
      </w:r>
    </w:p>
    <w:p>
      <w:pPr>
        <w:kinsoku w:val="0"/>
        <w:wordWrap w:val="0"/>
        <w:autoSpaceDE w:val="0"/>
        <w:autoSpaceDN w:val="0"/>
        <w:adjustRightInd w:val="0"/>
        <w:spacing w:line="400" w:lineRule="exact"/>
        <w:ind w:left="510"/>
        <w:textAlignment w:val="baseline"/>
        <w:rPr>
          <w:rFonts w:ascii="宋体" w:cs="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、交货期：</w:t>
      </w:r>
      <w:r>
        <w:rPr>
          <w:rFonts w:ascii="宋体" w:hAnsi="宋体" w:cs="宋体"/>
          <w:color w:val="000000"/>
          <w:sz w:val="24"/>
          <w:szCs w:val="24"/>
          <w:u w:val="single"/>
        </w:rPr>
        <w:t xml:space="preserve">        </w:t>
      </w:r>
      <w:r>
        <w:rPr>
          <w:rFonts w:hint="eastAsia" w:ascii="宋体" w:hAnsi="宋体" w:cs="宋体"/>
          <w:color w:val="000000"/>
          <w:sz w:val="24"/>
          <w:szCs w:val="24"/>
          <w:u w:val="single"/>
        </w:rPr>
        <w:t>（日历天）</w:t>
      </w:r>
      <w:r>
        <w:rPr>
          <w:rFonts w:hint="eastAsia" w:ascii="宋体" w:hAnsi="宋体" w:cs="宋体"/>
          <w:color w:val="000000"/>
          <w:sz w:val="24"/>
          <w:szCs w:val="24"/>
        </w:rPr>
        <w:t>，保修期：</w:t>
      </w:r>
      <w:r>
        <w:rPr>
          <w:rFonts w:ascii="宋体" w:hAnsi="宋体" w:cs="宋体"/>
          <w:color w:val="000000"/>
          <w:sz w:val="24"/>
          <w:szCs w:val="24"/>
          <w:u w:val="single"/>
        </w:rPr>
        <w:t xml:space="preserve">        </w:t>
      </w:r>
      <w:r>
        <w:rPr>
          <w:rFonts w:hint="eastAsia" w:ascii="宋体" w:hAnsi="宋体" w:cs="宋体"/>
          <w:color w:val="000000"/>
          <w:sz w:val="24"/>
          <w:szCs w:val="24"/>
          <w:u w:val="single"/>
        </w:rPr>
        <w:t>（月）</w:t>
      </w:r>
      <w:r>
        <w:rPr>
          <w:rFonts w:hint="eastAsia" w:ascii="宋体" w:hAnsi="宋体" w:cs="宋体"/>
          <w:color w:val="000000"/>
          <w:sz w:val="24"/>
          <w:szCs w:val="24"/>
        </w:rPr>
        <w:t>。</w:t>
      </w:r>
    </w:p>
    <w:p>
      <w:pPr>
        <w:kinsoku w:val="0"/>
        <w:wordWrap w:val="0"/>
        <w:autoSpaceDE w:val="0"/>
        <w:autoSpaceDN w:val="0"/>
        <w:adjustRightInd w:val="0"/>
        <w:spacing w:line="400" w:lineRule="exact"/>
        <w:ind w:left="510"/>
        <w:textAlignment w:val="baseline"/>
        <w:rPr>
          <w:rFonts w:ascii="宋体" w:cs="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、投标人将按招标文件的规定履行合同责任和义务。</w:t>
      </w:r>
    </w:p>
    <w:p>
      <w:pPr>
        <w:kinsoku w:val="0"/>
        <w:wordWrap w:val="0"/>
        <w:autoSpaceDE w:val="0"/>
        <w:autoSpaceDN w:val="0"/>
        <w:adjustRightInd w:val="0"/>
        <w:spacing w:line="400" w:lineRule="exact"/>
        <w:ind w:left="510"/>
        <w:textAlignment w:val="baseline"/>
        <w:rPr>
          <w:rFonts w:ascii="宋体" w:cs="宋体"/>
          <w:color w:val="000000"/>
          <w:sz w:val="24"/>
          <w:szCs w:val="24"/>
        </w:rPr>
      </w:pPr>
      <w:r>
        <w:rPr>
          <w:rFonts w:ascii="宋体" w:hAnsi="宋体" w:cs="宋体"/>
          <w:color w:val="000000"/>
          <w:sz w:val="24"/>
          <w:szCs w:val="24"/>
        </w:rPr>
        <w:t>4</w:t>
      </w:r>
      <w:r>
        <w:rPr>
          <w:rFonts w:hint="eastAsia" w:ascii="宋体" w:hAnsi="宋体" w:cs="宋体"/>
          <w:color w:val="000000"/>
          <w:sz w:val="24"/>
          <w:szCs w:val="24"/>
        </w:rPr>
        <w:t>、投标人已详细阅读了全部招标文件，包括更正公告（如有）。我们完全理解并同意放弃对这方面有不明及误解的权力。</w:t>
      </w:r>
    </w:p>
    <w:p>
      <w:pPr>
        <w:kinsoku w:val="0"/>
        <w:wordWrap w:val="0"/>
        <w:autoSpaceDE w:val="0"/>
        <w:autoSpaceDN w:val="0"/>
        <w:adjustRightInd w:val="0"/>
        <w:spacing w:line="400" w:lineRule="exact"/>
        <w:ind w:left="510"/>
        <w:textAlignment w:val="baseline"/>
        <w:rPr>
          <w:rFonts w:ascii="宋体" w:cs="宋体"/>
          <w:color w:val="000000"/>
          <w:sz w:val="24"/>
          <w:szCs w:val="24"/>
        </w:rPr>
      </w:pPr>
      <w:r>
        <w:rPr>
          <w:rFonts w:ascii="宋体" w:hAnsi="宋体" w:cs="宋体"/>
          <w:color w:val="000000"/>
          <w:sz w:val="24"/>
          <w:szCs w:val="24"/>
        </w:rPr>
        <w:t>5</w:t>
      </w:r>
      <w:r>
        <w:rPr>
          <w:rFonts w:hint="eastAsia" w:ascii="宋体" w:hAnsi="宋体" w:cs="宋体"/>
          <w:color w:val="000000"/>
          <w:sz w:val="24"/>
          <w:szCs w:val="24"/>
        </w:rPr>
        <w:t>、本投标有效期为开标日起个日历日。</w:t>
      </w:r>
    </w:p>
    <w:p>
      <w:pPr>
        <w:kinsoku w:val="0"/>
        <w:wordWrap w:val="0"/>
        <w:autoSpaceDE w:val="0"/>
        <w:autoSpaceDN w:val="0"/>
        <w:adjustRightInd w:val="0"/>
        <w:spacing w:line="400" w:lineRule="exact"/>
        <w:ind w:left="510"/>
        <w:textAlignment w:val="baseline"/>
        <w:rPr>
          <w:rFonts w:ascii="宋体" w:cs="宋体"/>
          <w:color w:val="000000"/>
          <w:sz w:val="24"/>
          <w:szCs w:val="24"/>
        </w:rPr>
      </w:pPr>
      <w:r>
        <w:rPr>
          <w:rFonts w:ascii="宋体" w:hAnsi="宋体" w:cs="宋体"/>
          <w:color w:val="000000"/>
          <w:sz w:val="24"/>
          <w:szCs w:val="24"/>
        </w:rPr>
        <w:t>6</w:t>
      </w:r>
      <w:r>
        <w:rPr>
          <w:rFonts w:hint="eastAsia" w:ascii="宋体" w:hAnsi="宋体" w:cs="宋体"/>
          <w:color w:val="000000"/>
          <w:sz w:val="24"/>
          <w:szCs w:val="24"/>
        </w:rPr>
        <w:t>、投标人同意提供按照贵方可能要求的与其投标有关的一切数据或资料。</w:t>
      </w:r>
    </w:p>
    <w:p>
      <w:pPr>
        <w:kinsoku w:val="0"/>
        <w:wordWrap w:val="0"/>
        <w:autoSpaceDE w:val="0"/>
        <w:autoSpaceDN w:val="0"/>
        <w:adjustRightInd w:val="0"/>
        <w:spacing w:line="400" w:lineRule="exact"/>
        <w:ind w:left="510"/>
        <w:textAlignment w:val="baseline"/>
        <w:rPr>
          <w:rFonts w:ascii="宋体" w:cs="宋体"/>
          <w:color w:val="000000"/>
          <w:sz w:val="24"/>
          <w:szCs w:val="24"/>
        </w:rPr>
      </w:pPr>
      <w:r>
        <w:rPr>
          <w:rFonts w:ascii="宋体" w:hAnsi="宋体" w:cs="宋体"/>
          <w:color w:val="000000"/>
          <w:sz w:val="24"/>
          <w:szCs w:val="24"/>
        </w:rPr>
        <w:t>7</w:t>
      </w:r>
      <w:r>
        <w:rPr>
          <w:rFonts w:hint="eastAsia" w:ascii="宋体" w:hAnsi="宋体" w:cs="宋体"/>
          <w:color w:val="000000"/>
          <w:sz w:val="24"/>
          <w:szCs w:val="24"/>
        </w:rPr>
        <w:t>、完全理解贵方不一定要接受最低价的投标或收到的任何投标。</w:t>
      </w:r>
    </w:p>
    <w:p>
      <w:pPr>
        <w:spacing w:line="400" w:lineRule="exact"/>
        <w:rPr>
          <w:rFonts w:ascii="宋体" w:cs="宋体"/>
          <w:color w:val="000000"/>
          <w:sz w:val="24"/>
          <w:szCs w:val="24"/>
        </w:rPr>
      </w:pPr>
      <w:r>
        <w:rPr>
          <w:rFonts w:ascii="宋体" w:hAnsi="宋体" w:cs="宋体"/>
          <w:color w:val="000000"/>
          <w:sz w:val="24"/>
          <w:szCs w:val="24"/>
        </w:rPr>
        <w:t xml:space="preserve">    8</w:t>
      </w:r>
      <w:r>
        <w:rPr>
          <w:rFonts w:hint="eastAsia" w:ascii="宋体" w:hAnsi="宋体" w:cs="宋体"/>
          <w:color w:val="000000"/>
          <w:sz w:val="24"/>
          <w:szCs w:val="24"/>
        </w:rPr>
        <w:t>、我单位承诺满足招标文件要求的付款方式和条件。我方在参与投标前已仔细研究了招标文件和所有相关资料，我方完全明白并认为此招标文件没有倾向性，也没有存在排斥潜在投标人的内容，我方同意招标文件的相关条款，放弃对招标文件提出误解和质疑的一切权利。</w:t>
      </w:r>
    </w:p>
    <w:p>
      <w:pPr>
        <w:spacing w:line="400" w:lineRule="exact"/>
        <w:rPr>
          <w:rFonts w:ascii="宋体" w:cs="宋体"/>
          <w:color w:val="000000"/>
          <w:sz w:val="24"/>
          <w:szCs w:val="24"/>
        </w:rPr>
      </w:pPr>
      <w:r>
        <w:rPr>
          <w:rFonts w:ascii="宋体" w:hAnsi="宋体" w:cs="宋体"/>
          <w:color w:val="000000"/>
          <w:sz w:val="24"/>
          <w:szCs w:val="24"/>
        </w:rPr>
        <w:t xml:space="preserve">    9</w:t>
      </w:r>
      <w:r>
        <w:rPr>
          <w:rFonts w:hint="eastAsia" w:ascii="宋体" w:hAnsi="宋体" w:cs="宋体"/>
          <w:color w:val="000000"/>
          <w:sz w:val="24"/>
          <w:szCs w:val="24"/>
        </w:rPr>
        <w:t>、我方声明投标文件及所提供的一切资料均真实无误及有效。由于我方提供资料不实而造成的责任和后果由我方承担。我方同意按照贵方可能提出的要求，提供与投标有关的任何其它数据或信息。</w:t>
      </w:r>
    </w:p>
    <w:p>
      <w:pPr>
        <w:kinsoku w:val="0"/>
        <w:wordWrap w:val="0"/>
        <w:autoSpaceDE w:val="0"/>
        <w:autoSpaceDN w:val="0"/>
        <w:adjustRightInd w:val="0"/>
        <w:spacing w:line="400" w:lineRule="exact"/>
        <w:textAlignment w:val="baseline"/>
        <w:rPr>
          <w:rFonts w:ascii="宋体" w:cs="宋体"/>
          <w:bCs/>
          <w:color w:val="000000"/>
          <w:sz w:val="24"/>
          <w:szCs w:val="24"/>
        </w:rPr>
      </w:pPr>
      <w:r>
        <w:rPr>
          <w:rFonts w:ascii="宋体" w:hAnsi="宋体" w:cs="宋体"/>
          <w:bCs/>
          <w:color w:val="000000"/>
          <w:sz w:val="24"/>
          <w:szCs w:val="24"/>
        </w:rPr>
        <w:t xml:space="preserve">   10</w:t>
      </w:r>
      <w:r>
        <w:rPr>
          <w:rFonts w:hint="eastAsia" w:ascii="宋体" w:hAnsi="宋体" w:cs="宋体"/>
          <w:bCs/>
          <w:color w:val="000000"/>
          <w:sz w:val="24"/>
          <w:szCs w:val="24"/>
        </w:rPr>
        <w:t>、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pPr>
        <w:spacing w:line="360" w:lineRule="auto"/>
        <w:rPr>
          <w:rFonts w:ascii="宋体"/>
          <w:bCs/>
          <w:sz w:val="24"/>
        </w:rPr>
      </w:pPr>
      <w:r>
        <w:rPr>
          <w:rFonts w:hint="eastAsia" w:ascii="宋体" w:hAnsi="宋体"/>
          <w:bCs/>
          <w:sz w:val="24"/>
        </w:rPr>
        <w:t>地址：</w:t>
      </w:r>
      <w:r>
        <w:rPr>
          <w:rFonts w:hint="eastAsia" w:ascii="宋体" w:hAnsi="宋体"/>
          <w:bCs/>
          <w:sz w:val="24"/>
          <w:u w:val="single"/>
        </w:rPr>
        <w:t>　　　　　　　</w:t>
      </w:r>
      <w:r>
        <w:rPr>
          <w:rFonts w:hint="eastAsia" w:ascii="宋体" w:hAnsi="宋体"/>
          <w:bCs/>
          <w:sz w:val="24"/>
        </w:rPr>
        <w:t>邮编：</w:t>
      </w:r>
      <w:r>
        <w:rPr>
          <w:rFonts w:hint="eastAsia" w:ascii="宋体" w:hAnsi="宋体"/>
          <w:bCs/>
          <w:sz w:val="24"/>
          <w:u w:val="single"/>
        </w:rPr>
        <w:t>　　　　　　</w:t>
      </w:r>
    </w:p>
    <w:p>
      <w:pPr>
        <w:spacing w:line="360" w:lineRule="auto"/>
        <w:rPr>
          <w:rFonts w:ascii="宋体"/>
          <w:bCs/>
          <w:sz w:val="24"/>
        </w:rPr>
      </w:pPr>
      <w:r>
        <w:rPr>
          <w:rFonts w:hint="eastAsia" w:ascii="宋体" w:hAnsi="宋体"/>
          <w:bCs/>
          <w:sz w:val="24"/>
        </w:rPr>
        <w:t>电话：</w:t>
      </w:r>
      <w:r>
        <w:rPr>
          <w:rFonts w:hint="eastAsia" w:ascii="宋体" w:hAnsi="宋体"/>
          <w:bCs/>
          <w:sz w:val="24"/>
          <w:u w:val="single"/>
        </w:rPr>
        <w:t>　　　　　　　</w:t>
      </w:r>
      <w:r>
        <w:rPr>
          <w:rFonts w:hint="eastAsia" w:ascii="宋体" w:hAnsi="宋体"/>
          <w:bCs/>
          <w:sz w:val="24"/>
        </w:rPr>
        <w:t>传真：</w:t>
      </w:r>
      <w:r>
        <w:rPr>
          <w:rFonts w:hint="eastAsia" w:ascii="宋体" w:hAnsi="宋体"/>
          <w:bCs/>
          <w:sz w:val="24"/>
          <w:u w:val="single"/>
        </w:rPr>
        <w:t>　　　　　　</w:t>
      </w:r>
    </w:p>
    <w:p>
      <w:pPr>
        <w:spacing w:line="360" w:lineRule="auto"/>
        <w:rPr>
          <w:rFonts w:ascii="宋体"/>
          <w:bCs/>
          <w:sz w:val="24"/>
        </w:rPr>
      </w:pPr>
      <w:r>
        <w:rPr>
          <w:rFonts w:hint="eastAsia" w:ascii="宋体" w:hAnsi="宋体"/>
          <w:bCs/>
          <w:sz w:val="24"/>
        </w:rPr>
        <w:t>电子信箱：</w:t>
      </w:r>
      <w:r>
        <w:rPr>
          <w:rFonts w:hint="eastAsia" w:ascii="宋体" w:hAnsi="宋体"/>
          <w:bCs/>
          <w:sz w:val="24"/>
          <w:u w:val="single"/>
        </w:rPr>
        <w:t>　　　　　　　　　　　　　　</w:t>
      </w:r>
    </w:p>
    <w:p>
      <w:pPr>
        <w:spacing w:line="360" w:lineRule="auto"/>
        <w:rPr>
          <w:rFonts w:ascii="宋体"/>
          <w:bCs/>
          <w:sz w:val="24"/>
        </w:rPr>
      </w:pPr>
      <w:r>
        <w:rPr>
          <w:rFonts w:hint="eastAsia" w:ascii="宋体" w:hAnsi="宋体"/>
          <w:bCs/>
          <w:sz w:val="24"/>
        </w:rPr>
        <w:t>谈判响应供应商代表签字：</w:t>
      </w:r>
      <w:r>
        <w:rPr>
          <w:rFonts w:hint="eastAsia" w:ascii="宋体" w:hAnsi="宋体"/>
          <w:bCs/>
          <w:sz w:val="24"/>
          <w:u w:val="single"/>
        </w:rPr>
        <w:t>　　　　　　　　　　　　</w:t>
      </w:r>
    </w:p>
    <w:p>
      <w:pPr>
        <w:spacing w:line="360" w:lineRule="auto"/>
        <w:rPr>
          <w:rFonts w:ascii="宋体"/>
          <w:bCs/>
          <w:sz w:val="24"/>
        </w:rPr>
      </w:pPr>
      <w:r>
        <w:rPr>
          <w:rFonts w:hint="eastAsia" w:ascii="宋体" w:hAnsi="宋体"/>
          <w:bCs/>
          <w:sz w:val="24"/>
        </w:rPr>
        <w:t>谈判响应供应商名称（全称并加盖公章）：</w:t>
      </w:r>
      <w:r>
        <w:rPr>
          <w:rFonts w:hint="eastAsia" w:ascii="宋体" w:hAnsi="宋体"/>
          <w:bCs/>
          <w:sz w:val="24"/>
          <w:u w:val="single"/>
        </w:rPr>
        <w:t>　　　　　　　　　　　　　</w:t>
      </w:r>
    </w:p>
    <w:p>
      <w:pPr>
        <w:spacing w:line="360" w:lineRule="auto"/>
        <w:rPr>
          <w:rFonts w:ascii="宋体"/>
          <w:bCs/>
          <w:sz w:val="24"/>
          <w:u w:val="single"/>
        </w:rPr>
      </w:pPr>
      <w:r>
        <w:rPr>
          <w:rFonts w:hint="eastAsia" w:ascii="宋体" w:hAnsi="宋体"/>
          <w:bCs/>
          <w:sz w:val="24"/>
        </w:rPr>
        <w:t>日</w:t>
      </w:r>
      <w:r>
        <w:rPr>
          <w:rFonts w:ascii="宋体" w:hAnsi="宋体"/>
          <w:bCs/>
          <w:sz w:val="24"/>
        </w:rPr>
        <w:t xml:space="preserve">      </w:t>
      </w:r>
      <w:r>
        <w:rPr>
          <w:rFonts w:hint="eastAsia" w:ascii="宋体" w:hAnsi="宋体"/>
          <w:bCs/>
          <w:sz w:val="24"/>
        </w:rPr>
        <w:t>期：</w:t>
      </w:r>
      <w:r>
        <w:rPr>
          <w:rFonts w:hint="eastAsia" w:ascii="宋体" w:hAnsi="宋体"/>
          <w:bCs/>
          <w:sz w:val="24"/>
          <w:u w:val="single"/>
        </w:rPr>
        <w:t>　　年　　月　　日</w:t>
      </w:r>
    </w:p>
    <w:p>
      <w:pPr>
        <w:spacing w:line="360" w:lineRule="auto"/>
        <w:jc w:val="center"/>
        <w:rPr>
          <w:rFonts w:ascii="宋体" w:cs="宋体"/>
          <w:b/>
          <w:sz w:val="36"/>
          <w:szCs w:val="36"/>
        </w:rPr>
      </w:pPr>
    </w:p>
    <w:p>
      <w:pPr>
        <w:spacing w:line="360" w:lineRule="auto"/>
        <w:jc w:val="center"/>
        <w:rPr>
          <w:rFonts w:ascii="宋体" w:cs="宋体"/>
          <w:b/>
          <w:bCs/>
          <w:color w:val="000000"/>
          <w:sz w:val="36"/>
          <w:szCs w:val="36"/>
        </w:rPr>
      </w:pPr>
      <w:r>
        <w:rPr>
          <w:rFonts w:hint="eastAsia" w:ascii="宋体" w:hAnsi="宋体" w:cs="宋体"/>
          <w:b/>
          <w:sz w:val="36"/>
          <w:szCs w:val="36"/>
        </w:rPr>
        <w:t>二</w:t>
      </w:r>
      <w:r>
        <w:rPr>
          <w:rFonts w:ascii="宋体" w:hAnsi="宋体" w:cs="宋体"/>
          <w:b/>
          <w:sz w:val="36"/>
          <w:szCs w:val="36"/>
        </w:rPr>
        <w:t xml:space="preserve"> </w:t>
      </w:r>
      <w:r>
        <w:rPr>
          <w:rFonts w:hint="eastAsia" w:ascii="宋体" w:hAnsi="宋体" w:cs="宋体"/>
          <w:b/>
          <w:sz w:val="36"/>
          <w:szCs w:val="36"/>
        </w:rPr>
        <w:t>谈判报价一览表</w:t>
      </w:r>
    </w:p>
    <w:p>
      <w:pPr>
        <w:jc w:val="center"/>
        <w:rPr>
          <w:rFonts w:ascii="宋体" w:cs="宋体"/>
          <w:color w:val="000000"/>
          <w:sz w:val="24"/>
          <w:szCs w:val="24"/>
        </w:rPr>
      </w:pPr>
    </w:p>
    <w:p>
      <w:pPr>
        <w:rPr>
          <w:rFonts w:ascii="宋体" w:cs="宋体"/>
          <w:color w:val="000000"/>
          <w:sz w:val="24"/>
          <w:szCs w:val="24"/>
        </w:rPr>
      </w:pPr>
      <w:r>
        <w:rPr>
          <w:rFonts w:hint="eastAsia" w:ascii="宋体" w:hAnsi="宋体" w:cs="宋体"/>
          <w:color w:val="000000"/>
          <w:sz w:val="24"/>
          <w:szCs w:val="24"/>
        </w:rPr>
        <w:t>采购编号：</w:t>
      </w:r>
      <w:r>
        <w:rPr>
          <w:rFonts w:ascii="宋体" w:hAnsi="宋体" w:cs="宋体"/>
          <w:color w:val="000000"/>
          <w:sz w:val="24"/>
          <w:szCs w:val="24"/>
        </w:rPr>
        <w:t>__________</w:t>
      </w:r>
    </w:p>
    <w:p>
      <w:pPr>
        <w:rPr>
          <w:rFonts w:ascii="宋体" w:cs="宋体"/>
          <w:color w:val="000000"/>
          <w:sz w:val="24"/>
          <w:szCs w:val="24"/>
        </w:rPr>
      </w:pPr>
      <w:r>
        <w:rPr>
          <w:rFonts w:hint="eastAsia" w:ascii="宋体" w:hAnsi="宋体" w:cs="宋体"/>
          <w:color w:val="000000"/>
          <w:sz w:val="24"/>
          <w:szCs w:val="24"/>
        </w:rPr>
        <w:t>采购项目名称：</w:t>
      </w:r>
      <w:r>
        <w:rPr>
          <w:rFonts w:ascii="宋体" w:hAnsi="宋体" w:cs="宋体"/>
          <w:color w:val="000000"/>
          <w:sz w:val="24"/>
          <w:szCs w:val="24"/>
        </w:rPr>
        <w:t>__________</w:t>
      </w:r>
    </w:p>
    <w:p>
      <w:pPr>
        <w:rPr>
          <w:rFonts w:ascii="宋体" w:cs="宋体"/>
          <w:color w:val="000000"/>
          <w:sz w:val="24"/>
          <w:szCs w:val="24"/>
        </w:rPr>
      </w:pPr>
    </w:p>
    <w:p>
      <w:pPr>
        <w:ind w:firstLine="2168" w:firstLineChars="900"/>
        <w:jc w:val="center"/>
        <w:rPr>
          <w:rFonts w:ascii="宋体" w:cs="宋体"/>
          <w:b/>
          <w:bCs/>
          <w:color w:val="000000"/>
          <w:sz w:val="24"/>
          <w:szCs w:val="24"/>
        </w:rPr>
      </w:pPr>
      <w:r>
        <w:rPr>
          <w:rFonts w:hint="eastAsia" w:ascii="宋体" w:hAnsi="宋体" w:cs="宋体"/>
          <w:b/>
          <w:bCs/>
          <w:color w:val="000000"/>
          <w:sz w:val="24"/>
          <w:szCs w:val="24"/>
        </w:rPr>
        <w:t>价格单位：人民币</w:t>
      </w:r>
      <w:r>
        <w:rPr>
          <w:rFonts w:ascii="宋体" w:hAnsi="宋体" w:cs="宋体"/>
          <w:b/>
          <w:bCs/>
          <w:color w:val="000000"/>
          <w:sz w:val="24"/>
          <w:szCs w:val="24"/>
        </w:rPr>
        <w:t xml:space="preserve"> </w:t>
      </w:r>
      <w:r>
        <w:rPr>
          <w:rFonts w:hint="eastAsia" w:ascii="宋体" w:hAnsi="宋体" w:cs="宋体"/>
          <w:b/>
          <w:bCs/>
          <w:color w:val="000000"/>
          <w:sz w:val="24"/>
          <w:szCs w:val="24"/>
        </w:rPr>
        <w:t>元</w:t>
      </w:r>
    </w:p>
    <w:tbl>
      <w:tblPr>
        <w:tblStyle w:val="17"/>
        <w:tblW w:w="8167" w:type="dxa"/>
        <w:tblInd w:w="-26" w:type="dxa"/>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CellMar>
          <w:top w:w="0" w:type="dxa"/>
          <w:left w:w="28" w:type="dxa"/>
          <w:bottom w:w="0" w:type="dxa"/>
          <w:right w:w="28" w:type="dxa"/>
        </w:tblCellMar>
      </w:tblPr>
      <w:tblGrid>
        <w:gridCol w:w="758"/>
        <w:gridCol w:w="3325"/>
        <w:gridCol w:w="1982"/>
        <w:gridCol w:w="2102"/>
      </w:tblGrid>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700" w:hRule="atLeast"/>
        </w:trPr>
        <w:tc>
          <w:tcPr>
            <w:tcW w:w="758" w:type="dxa"/>
            <w:tcBorders>
              <w:top w:val="double" w:color="auto" w:sz="4" w:space="0"/>
            </w:tcBorders>
            <w:vAlign w:val="center"/>
          </w:tcPr>
          <w:p>
            <w:pPr>
              <w:jc w:val="center"/>
              <w:rPr>
                <w:rFonts w:ascii="宋体" w:cs="宋体"/>
                <w:color w:val="000000"/>
                <w:sz w:val="24"/>
                <w:szCs w:val="24"/>
              </w:rPr>
            </w:pPr>
            <w:r>
              <w:rPr>
                <w:rFonts w:hint="eastAsia" w:ascii="宋体" w:hAnsi="宋体" w:cs="宋体"/>
                <w:color w:val="000000"/>
                <w:sz w:val="24"/>
                <w:szCs w:val="24"/>
              </w:rPr>
              <w:t>序号</w:t>
            </w:r>
          </w:p>
        </w:tc>
        <w:tc>
          <w:tcPr>
            <w:tcW w:w="3325" w:type="dxa"/>
            <w:tcBorders>
              <w:top w:val="double" w:color="auto" w:sz="4" w:space="0"/>
            </w:tcBorders>
          </w:tcPr>
          <w:p>
            <w:pPr>
              <w:jc w:val="center"/>
              <w:rPr>
                <w:rFonts w:ascii="宋体" w:cs="宋体"/>
                <w:color w:val="000000"/>
                <w:sz w:val="24"/>
                <w:szCs w:val="24"/>
              </w:rPr>
            </w:pPr>
            <w:r>
              <w:rPr>
                <w:rFonts w:hint="eastAsia" w:ascii="宋体" w:hAnsi="宋体" w:cs="宋体"/>
                <w:color w:val="000000"/>
                <w:sz w:val="24"/>
                <w:szCs w:val="24"/>
              </w:rPr>
              <w:t>投标总价</w:t>
            </w:r>
          </w:p>
          <w:p>
            <w:pPr>
              <w:jc w:val="center"/>
              <w:rPr>
                <w:rFonts w:ascii="宋体" w:cs="宋体"/>
                <w:color w:val="000000"/>
                <w:sz w:val="24"/>
                <w:szCs w:val="24"/>
              </w:rPr>
            </w:pPr>
            <w:r>
              <w:rPr>
                <w:rFonts w:hint="eastAsia" w:ascii="宋体" w:hAnsi="宋体" w:cs="宋体"/>
                <w:color w:val="000000"/>
                <w:sz w:val="24"/>
                <w:szCs w:val="24"/>
              </w:rPr>
              <w:t>（项目现场完税价，包括所有的服务）</w:t>
            </w:r>
          </w:p>
        </w:tc>
        <w:tc>
          <w:tcPr>
            <w:tcW w:w="1982" w:type="dxa"/>
            <w:tcBorders>
              <w:top w:val="double" w:color="auto" w:sz="4" w:space="0"/>
              <w:right w:val="single" w:color="auto" w:sz="4" w:space="0"/>
            </w:tcBorders>
            <w:vAlign w:val="center"/>
          </w:tcPr>
          <w:p>
            <w:pPr>
              <w:jc w:val="center"/>
              <w:rPr>
                <w:rFonts w:ascii="宋体" w:cs="宋体"/>
                <w:color w:val="000000"/>
                <w:sz w:val="24"/>
                <w:szCs w:val="24"/>
              </w:rPr>
            </w:pPr>
            <w:r>
              <w:rPr>
                <w:rFonts w:hint="eastAsia" w:ascii="宋体" w:hAnsi="宋体" w:cs="宋体"/>
                <w:color w:val="000000"/>
                <w:sz w:val="24"/>
                <w:szCs w:val="24"/>
              </w:rPr>
              <w:t>服务期限</w:t>
            </w:r>
          </w:p>
        </w:tc>
        <w:tc>
          <w:tcPr>
            <w:tcW w:w="2102" w:type="dxa"/>
            <w:tcBorders>
              <w:top w:val="double" w:color="auto" w:sz="4" w:space="0"/>
              <w:left w:val="single" w:color="auto" w:sz="4" w:space="0"/>
            </w:tcBorders>
            <w:vAlign w:val="center"/>
          </w:tcPr>
          <w:p>
            <w:pPr>
              <w:jc w:val="center"/>
              <w:rPr>
                <w:rFonts w:ascii="宋体" w:cs="宋体"/>
                <w:color w:val="000000"/>
                <w:sz w:val="24"/>
                <w:szCs w:val="24"/>
              </w:rPr>
            </w:pPr>
            <w:r>
              <w:rPr>
                <w:rFonts w:hint="eastAsia" w:ascii="宋体" w:hAnsi="宋体" w:cs="宋体"/>
                <w:color w:val="000000"/>
                <w:sz w:val="24"/>
                <w:szCs w:val="24"/>
              </w:rPr>
              <w:t>服务地点</w:t>
            </w: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758" w:type="dxa"/>
            <w:vAlign w:val="center"/>
          </w:tcPr>
          <w:p>
            <w:pPr>
              <w:jc w:val="center"/>
              <w:rPr>
                <w:rFonts w:ascii="宋体" w:hAnsi="宋体" w:cs="宋体"/>
                <w:color w:val="000000"/>
                <w:sz w:val="24"/>
                <w:szCs w:val="24"/>
              </w:rPr>
            </w:pPr>
            <w:r>
              <w:rPr>
                <w:rFonts w:ascii="宋体" w:hAnsi="宋体" w:cs="宋体"/>
                <w:color w:val="000000"/>
                <w:sz w:val="24"/>
                <w:szCs w:val="24"/>
              </w:rPr>
              <w:t>1</w:t>
            </w:r>
          </w:p>
        </w:tc>
        <w:tc>
          <w:tcPr>
            <w:tcW w:w="3325" w:type="dxa"/>
          </w:tcPr>
          <w:p>
            <w:pPr>
              <w:rPr>
                <w:rFonts w:ascii="宋体" w:cs="宋体"/>
                <w:color w:val="000000"/>
                <w:sz w:val="24"/>
                <w:szCs w:val="24"/>
                <w:u w:val="single"/>
              </w:rPr>
            </w:pPr>
          </w:p>
        </w:tc>
        <w:tc>
          <w:tcPr>
            <w:tcW w:w="1982" w:type="dxa"/>
            <w:tcBorders>
              <w:right w:val="single" w:color="auto" w:sz="4" w:space="0"/>
            </w:tcBorders>
          </w:tcPr>
          <w:p>
            <w:pPr>
              <w:rPr>
                <w:rFonts w:ascii="宋体" w:cs="宋体"/>
                <w:color w:val="000000"/>
                <w:sz w:val="24"/>
                <w:szCs w:val="24"/>
                <w:u w:val="single"/>
              </w:rPr>
            </w:pPr>
          </w:p>
        </w:tc>
        <w:tc>
          <w:tcPr>
            <w:tcW w:w="2102" w:type="dxa"/>
            <w:tcBorders>
              <w:left w:val="single" w:color="auto" w:sz="4" w:space="0"/>
            </w:tcBorders>
          </w:tcPr>
          <w:p>
            <w:pPr>
              <w:rPr>
                <w:rFonts w:ascii="宋体" w:cs="宋体"/>
                <w:color w:val="000000"/>
                <w:sz w:val="24"/>
                <w:szCs w:val="24"/>
                <w:u w:val="single"/>
              </w:rPr>
            </w:pP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533" w:hRule="atLeast"/>
        </w:trPr>
        <w:tc>
          <w:tcPr>
            <w:tcW w:w="758" w:type="dxa"/>
            <w:vAlign w:val="center"/>
          </w:tcPr>
          <w:p>
            <w:pPr>
              <w:jc w:val="center"/>
              <w:rPr>
                <w:rFonts w:ascii="宋体" w:hAnsi="宋体" w:cs="宋体"/>
                <w:color w:val="000000"/>
                <w:sz w:val="24"/>
                <w:szCs w:val="24"/>
              </w:rPr>
            </w:pPr>
            <w:r>
              <w:rPr>
                <w:rFonts w:ascii="宋体" w:hAnsi="宋体" w:cs="宋体"/>
                <w:color w:val="000000"/>
                <w:sz w:val="24"/>
                <w:szCs w:val="24"/>
              </w:rPr>
              <w:t>2</w:t>
            </w:r>
          </w:p>
        </w:tc>
        <w:tc>
          <w:tcPr>
            <w:tcW w:w="3325" w:type="dxa"/>
          </w:tcPr>
          <w:p>
            <w:pPr>
              <w:rPr>
                <w:rFonts w:ascii="宋体" w:cs="宋体"/>
                <w:color w:val="000000"/>
                <w:sz w:val="24"/>
                <w:szCs w:val="24"/>
              </w:rPr>
            </w:pPr>
          </w:p>
        </w:tc>
        <w:tc>
          <w:tcPr>
            <w:tcW w:w="1982" w:type="dxa"/>
            <w:tcBorders>
              <w:right w:val="single" w:color="auto" w:sz="4" w:space="0"/>
            </w:tcBorders>
          </w:tcPr>
          <w:p>
            <w:pPr>
              <w:rPr>
                <w:rFonts w:ascii="宋体" w:cs="宋体"/>
                <w:color w:val="000000"/>
                <w:sz w:val="24"/>
                <w:szCs w:val="24"/>
              </w:rPr>
            </w:pPr>
          </w:p>
        </w:tc>
        <w:tc>
          <w:tcPr>
            <w:tcW w:w="2102" w:type="dxa"/>
            <w:tcBorders>
              <w:left w:val="single" w:color="auto" w:sz="4" w:space="0"/>
            </w:tcBorders>
          </w:tcPr>
          <w:p>
            <w:pPr>
              <w:rPr>
                <w:rFonts w:ascii="宋体" w:cs="宋体"/>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758" w:type="dxa"/>
            <w:tcBorders>
              <w:bottom w:val="double" w:color="auto" w:sz="4" w:space="0"/>
            </w:tcBorders>
            <w:vAlign w:val="center"/>
          </w:tcPr>
          <w:p>
            <w:pPr>
              <w:jc w:val="center"/>
              <w:rPr>
                <w:rFonts w:ascii="宋体" w:cs="宋体"/>
                <w:color w:val="000000"/>
                <w:sz w:val="24"/>
                <w:szCs w:val="24"/>
              </w:rPr>
            </w:pPr>
            <w:r>
              <w:rPr>
                <w:rFonts w:hint="eastAsia" w:ascii="宋体" w:hAnsi="宋体" w:cs="宋体"/>
                <w:color w:val="000000"/>
                <w:sz w:val="24"/>
                <w:szCs w:val="24"/>
              </w:rPr>
              <w:t>…</w:t>
            </w:r>
          </w:p>
        </w:tc>
        <w:tc>
          <w:tcPr>
            <w:tcW w:w="3325" w:type="dxa"/>
            <w:tcBorders>
              <w:bottom w:val="double" w:color="auto" w:sz="4" w:space="0"/>
            </w:tcBorders>
          </w:tcPr>
          <w:p>
            <w:pPr>
              <w:rPr>
                <w:rFonts w:ascii="宋体" w:cs="宋体"/>
                <w:color w:val="000000"/>
                <w:sz w:val="24"/>
                <w:szCs w:val="24"/>
              </w:rPr>
            </w:pPr>
          </w:p>
        </w:tc>
        <w:tc>
          <w:tcPr>
            <w:tcW w:w="1982" w:type="dxa"/>
            <w:tcBorders>
              <w:bottom w:val="double" w:color="auto" w:sz="4" w:space="0"/>
              <w:right w:val="single" w:color="auto" w:sz="4" w:space="0"/>
            </w:tcBorders>
          </w:tcPr>
          <w:p>
            <w:pPr>
              <w:rPr>
                <w:rFonts w:ascii="宋体" w:cs="宋体"/>
                <w:color w:val="000000"/>
                <w:sz w:val="24"/>
                <w:szCs w:val="24"/>
              </w:rPr>
            </w:pPr>
          </w:p>
        </w:tc>
        <w:tc>
          <w:tcPr>
            <w:tcW w:w="2102" w:type="dxa"/>
            <w:tcBorders>
              <w:left w:val="single" w:color="auto" w:sz="4" w:space="0"/>
              <w:bottom w:val="double" w:color="auto" w:sz="4" w:space="0"/>
            </w:tcBorders>
          </w:tcPr>
          <w:p>
            <w:pPr>
              <w:rPr>
                <w:rFonts w:ascii="宋体" w:cs="宋体"/>
                <w:color w:val="000000"/>
                <w:sz w:val="24"/>
                <w:szCs w:val="24"/>
              </w:rPr>
            </w:pPr>
          </w:p>
        </w:tc>
      </w:tr>
    </w:tbl>
    <w:p>
      <w:pPr>
        <w:rPr>
          <w:rFonts w:ascii="宋体" w:cs="宋体"/>
          <w:color w:val="000000"/>
          <w:sz w:val="24"/>
          <w:szCs w:val="24"/>
        </w:rPr>
      </w:pPr>
    </w:p>
    <w:p>
      <w:pPr>
        <w:rPr>
          <w:rFonts w:ascii="宋体" w:cs="宋体"/>
          <w:color w:val="000000"/>
          <w:sz w:val="24"/>
          <w:szCs w:val="24"/>
        </w:rPr>
      </w:pPr>
    </w:p>
    <w:p>
      <w:pPr>
        <w:rPr>
          <w:rFonts w:ascii="宋体" w:cs="宋体"/>
          <w:color w:val="000000"/>
          <w:sz w:val="24"/>
          <w:szCs w:val="24"/>
        </w:rPr>
      </w:pPr>
    </w:p>
    <w:p>
      <w:pPr>
        <w:rPr>
          <w:rFonts w:ascii="宋体" w:cs="宋体"/>
          <w:color w:val="000000"/>
          <w:sz w:val="24"/>
          <w:szCs w:val="24"/>
        </w:rPr>
      </w:pPr>
    </w:p>
    <w:p>
      <w:pPr>
        <w:rPr>
          <w:rFonts w:ascii="宋体" w:cs="宋体"/>
          <w:color w:val="000000"/>
          <w:sz w:val="24"/>
          <w:szCs w:val="24"/>
        </w:rPr>
      </w:pPr>
    </w:p>
    <w:p>
      <w:pPr>
        <w:rPr>
          <w:rFonts w:ascii="宋体" w:cs="宋体"/>
          <w:color w:val="000000"/>
          <w:sz w:val="24"/>
          <w:szCs w:val="24"/>
        </w:rPr>
      </w:pPr>
    </w:p>
    <w:p>
      <w:pPr>
        <w:rPr>
          <w:rFonts w:ascii="宋体" w:cs="宋体"/>
          <w:color w:val="000000"/>
          <w:sz w:val="24"/>
          <w:szCs w:val="24"/>
        </w:rPr>
      </w:pPr>
    </w:p>
    <w:p>
      <w:pPr>
        <w:rPr>
          <w:rFonts w:ascii="宋体" w:cs="宋体"/>
          <w:color w:val="000000"/>
          <w:sz w:val="24"/>
          <w:szCs w:val="24"/>
        </w:rPr>
      </w:pPr>
      <w:r>
        <w:rPr>
          <w:rFonts w:hint="eastAsia" w:ascii="宋体" w:hAnsi="宋体" w:cs="宋体"/>
          <w:color w:val="000000"/>
          <w:sz w:val="24"/>
          <w:szCs w:val="24"/>
        </w:rPr>
        <w:t>投标人名称：</w:t>
      </w:r>
      <w:r>
        <w:rPr>
          <w:rFonts w:ascii="宋体" w:hAnsi="宋体" w:cs="宋体"/>
          <w:color w:val="000000"/>
          <w:sz w:val="24"/>
          <w:szCs w:val="24"/>
        </w:rPr>
        <w:t xml:space="preserve">                </w:t>
      </w:r>
      <w:r>
        <w:rPr>
          <w:rFonts w:hint="eastAsia" w:ascii="宋体" w:hAnsi="宋体" w:cs="宋体"/>
          <w:color w:val="000000"/>
          <w:sz w:val="24"/>
          <w:szCs w:val="24"/>
        </w:rPr>
        <w:t>（单位公章）</w:t>
      </w:r>
    </w:p>
    <w:p>
      <w:pPr>
        <w:rPr>
          <w:rFonts w:ascii="宋体" w:cs="宋体"/>
          <w:color w:val="000000"/>
          <w:sz w:val="24"/>
          <w:szCs w:val="24"/>
        </w:rPr>
      </w:pPr>
    </w:p>
    <w:p>
      <w:pPr>
        <w:rPr>
          <w:rFonts w:ascii="宋体" w:cs="宋体"/>
          <w:color w:val="000000"/>
          <w:sz w:val="24"/>
          <w:szCs w:val="24"/>
        </w:rPr>
      </w:pPr>
      <w:r>
        <w:rPr>
          <w:rFonts w:hint="eastAsia" w:ascii="宋体" w:hAnsi="宋体" w:cs="宋体"/>
          <w:color w:val="000000"/>
          <w:sz w:val="24"/>
          <w:szCs w:val="24"/>
        </w:rPr>
        <w:t>授权代表：</w:t>
      </w:r>
      <w:r>
        <w:rPr>
          <w:rFonts w:ascii="宋体" w:hAnsi="宋体" w:cs="宋体"/>
          <w:color w:val="000000"/>
          <w:sz w:val="24"/>
          <w:szCs w:val="24"/>
        </w:rPr>
        <w:t xml:space="preserve">                  </w:t>
      </w:r>
      <w:r>
        <w:rPr>
          <w:rFonts w:hint="eastAsia" w:ascii="宋体" w:hAnsi="宋体" w:cs="宋体"/>
          <w:color w:val="000000"/>
          <w:sz w:val="24"/>
          <w:szCs w:val="24"/>
        </w:rPr>
        <w:t>（签字）</w:t>
      </w:r>
    </w:p>
    <w:p>
      <w:pPr>
        <w:spacing w:line="360" w:lineRule="auto"/>
        <w:rPr>
          <w:rFonts w:ascii="宋体" w:cs="宋体"/>
          <w:color w:val="000000"/>
          <w:sz w:val="24"/>
          <w:szCs w:val="24"/>
        </w:rPr>
      </w:pPr>
    </w:p>
    <w:p>
      <w:pPr>
        <w:spacing w:line="360" w:lineRule="auto"/>
        <w:rPr>
          <w:rFonts w:ascii="宋体" w:cs="宋体"/>
          <w:color w:val="000000"/>
          <w:sz w:val="28"/>
          <w:szCs w:val="28"/>
        </w:rPr>
      </w:pPr>
      <w:r>
        <w:rPr>
          <w:rFonts w:hint="eastAsia" w:ascii="宋体" w:hAnsi="宋体" w:cs="宋体"/>
          <w:color w:val="000000"/>
          <w:sz w:val="24"/>
          <w:szCs w:val="24"/>
        </w:rPr>
        <w:t>日期：</w:t>
      </w:r>
      <w:r>
        <w:rPr>
          <w:rFonts w:ascii="宋体" w:hAnsi="宋体" w:cs="宋体"/>
          <w:color w:val="000000"/>
          <w:sz w:val="24"/>
          <w:szCs w:val="24"/>
        </w:rPr>
        <w:t xml:space="preserve">   </w:t>
      </w:r>
    </w:p>
    <w:p>
      <w:pPr>
        <w:spacing w:line="360" w:lineRule="auto"/>
        <w:ind w:firstLine="1807" w:firstLineChars="500"/>
        <w:rPr>
          <w:rFonts w:ascii="宋体"/>
          <w:b/>
          <w:sz w:val="36"/>
          <w:szCs w:val="36"/>
        </w:rPr>
      </w:pPr>
    </w:p>
    <w:p>
      <w:pPr>
        <w:spacing w:line="360" w:lineRule="auto"/>
        <w:ind w:firstLine="1807" w:firstLineChars="500"/>
        <w:rPr>
          <w:rFonts w:ascii="宋体"/>
          <w:b/>
          <w:sz w:val="36"/>
          <w:szCs w:val="36"/>
        </w:rPr>
      </w:pPr>
    </w:p>
    <w:p>
      <w:pPr>
        <w:spacing w:line="360" w:lineRule="auto"/>
        <w:ind w:firstLine="1807" w:firstLineChars="500"/>
        <w:rPr>
          <w:rFonts w:ascii="宋体"/>
          <w:b/>
          <w:sz w:val="36"/>
          <w:szCs w:val="36"/>
        </w:rPr>
      </w:pPr>
    </w:p>
    <w:p>
      <w:pPr>
        <w:spacing w:line="360" w:lineRule="auto"/>
        <w:ind w:firstLine="1807" w:firstLineChars="500"/>
        <w:rPr>
          <w:rFonts w:ascii="宋体"/>
          <w:b/>
          <w:sz w:val="36"/>
          <w:szCs w:val="36"/>
        </w:rPr>
      </w:pPr>
    </w:p>
    <w:p>
      <w:pPr>
        <w:spacing w:line="360" w:lineRule="auto"/>
        <w:ind w:firstLine="1807" w:firstLineChars="500"/>
        <w:rPr>
          <w:rFonts w:ascii="宋体"/>
          <w:b/>
          <w:sz w:val="36"/>
          <w:szCs w:val="36"/>
        </w:rPr>
      </w:pPr>
    </w:p>
    <w:p>
      <w:pPr>
        <w:spacing w:line="360" w:lineRule="auto"/>
        <w:ind w:firstLine="1807" w:firstLineChars="500"/>
        <w:rPr>
          <w:rFonts w:ascii="宋体"/>
          <w:b/>
          <w:sz w:val="36"/>
          <w:szCs w:val="36"/>
        </w:rPr>
      </w:pPr>
    </w:p>
    <w:p>
      <w:pPr>
        <w:spacing w:line="360" w:lineRule="auto"/>
        <w:ind w:firstLine="1807" w:firstLineChars="500"/>
        <w:rPr>
          <w:rFonts w:ascii="宋体"/>
          <w:b/>
          <w:sz w:val="36"/>
          <w:szCs w:val="36"/>
        </w:rPr>
      </w:pPr>
    </w:p>
    <w:p>
      <w:pPr>
        <w:spacing w:line="360" w:lineRule="auto"/>
        <w:ind w:firstLine="1807" w:firstLineChars="500"/>
        <w:rPr>
          <w:rFonts w:ascii="宋体"/>
          <w:b/>
          <w:sz w:val="36"/>
          <w:szCs w:val="36"/>
        </w:rPr>
      </w:pPr>
      <w:r>
        <w:rPr>
          <w:rFonts w:hint="eastAsia" w:ascii="宋体" w:hAnsi="宋体"/>
          <w:b/>
          <w:sz w:val="36"/>
          <w:szCs w:val="36"/>
        </w:rPr>
        <w:t>三</w:t>
      </w:r>
      <w:r>
        <w:rPr>
          <w:rFonts w:ascii="宋体" w:hAnsi="宋体"/>
          <w:b/>
          <w:sz w:val="36"/>
          <w:szCs w:val="36"/>
        </w:rPr>
        <w:t xml:space="preserve"> </w:t>
      </w:r>
      <w:r>
        <w:rPr>
          <w:rFonts w:hint="eastAsia" w:ascii="宋体" w:hAnsi="宋体"/>
          <w:b/>
          <w:sz w:val="36"/>
          <w:szCs w:val="36"/>
        </w:rPr>
        <w:t>谈判分项报价表（格式）</w:t>
      </w:r>
    </w:p>
    <w:p>
      <w:pPr>
        <w:pStyle w:val="10"/>
        <w:spacing w:line="360" w:lineRule="auto"/>
        <w:jc w:val="left"/>
        <w:rPr>
          <w:rFonts w:hAnsi="宋体"/>
          <w:sz w:val="24"/>
        </w:rPr>
      </w:pPr>
    </w:p>
    <w:p>
      <w:pPr>
        <w:pStyle w:val="10"/>
        <w:spacing w:line="360" w:lineRule="auto"/>
        <w:jc w:val="left"/>
        <w:rPr>
          <w:rFonts w:hAnsi="宋体"/>
          <w:bCs/>
          <w:sz w:val="24"/>
        </w:rPr>
      </w:pPr>
      <w:r>
        <w:rPr>
          <w:rFonts w:hint="eastAsia" w:hAnsi="宋体"/>
          <w:bCs/>
          <w:sz w:val="24"/>
        </w:rPr>
        <w:t>谈判响应供应商名称：</w:t>
      </w:r>
      <w:r>
        <w:rPr>
          <w:rFonts w:hAnsi="宋体"/>
          <w:bCs/>
          <w:sz w:val="24"/>
        </w:rPr>
        <w:t xml:space="preserve">                         </w:t>
      </w:r>
      <w:r>
        <w:rPr>
          <w:rFonts w:hint="eastAsia" w:hAnsi="宋体"/>
          <w:bCs/>
          <w:sz w:val="24"/>
        </w:rPr>
        <w:t>项目编号：</w:t>
      </w:r>
      <w:r>
        <w:rPr>
          <w:rFonts w:hAnsi="宋体"/>
          <w:bCs/>
          <w:sz w:val="24"/>
        </w:rPr>
        <w:t xml:space="preserve">                 </w:t>
      </w:r>
      <w:r>
        <w:rPr>
          <w:rFonts w:hint="eastAsia" w:hAnsi="宋体"/>
          <w:bCs/>
          <w:sz w:val="24"/>
        </w:rPr>
        <w:t>货币单位：</w:t>
      </w:r>
    </w:p>
    <w:p>
      <w:pPr>
        <w:pStyle w:val="10"/>
        <w:spacing w:line="360" w:lineRule="auto"/>
        <w:jc w:val="center"/>
        <w:rPr>
          <w:rFonts w:hAnsi="宋体"/>
          <w:bCs/>
          <w:sz w:val="24"/>
        </w:rPr>
      </w:pPr>
      <w:r>
        <w:rPr>
          <w:rFonts w:hint="eastAsia" w:hAnsi="宋体"/>
          <w:bCs/>
          <w:sz w:val="24"/>
        </w:rPr>
        <w:t>格式自拟</w:t>
      </w:r>
    </w:p>
    <w:p>
      <w:pPr>
        <w:pStyle w:val="10"/>
        <w:spacing w:line="360" w:lineRule="auto"/>
        <w:jc w:val="center"/>
        <w:rPr>
          <w:rFonts w:hAnsi="宋体"/>
          <w:bCs/>
          <w:sz w:val="24"/>
        </w:rPr>
      </w:pPr>
    </w:p>
    <w:p>
      <w:pPr>
        <w:pStyle w:val="10"/>
        <w:spacing w:line="360" w:lineRule="auto"/>
        <w:jc w:val="center"/>
        <w:rPr>
          <w:rFonts w:hAnsi="宋体"/>
          <w:bCs/>
          <w:sz w:val="24"/>
        </w:rPr>
      </w:pPr>
    </w:p>
    <w:p>
      <w:pPr>
        <w:pStyle w:val="10"/>
        <w:spacing w:line="360" w:lineRule="auto"/>
        <w:jc w:val="center"/>
        <w:rPr>
          <w:rFonts w:hAnsi="宋体"/>
          <w:bCs/>
          <w:sz w:val="24"/>
        </w:rPr>
      </w:pPr>
    </w:p>
    <w:p>
      <w:pPr>
        <w:pStyle w:val="10"/>
        <w:spacing w:line="360" w:lineRule="auto"/>
        <w:jc w:val="center"/>
        <w:rPr>
          <w:rFonts w:hAnsi="宋体"/>
          <w:bCs/>
          <w:sz w:val="24"/>
        </w:rPr>
      </w:pPr>
    </w:p>
    <w:p>
      <w:pPr>
        <w:pStyle w:val="10"/>
        <w:spacing w:line="360" w:lineRule="auto"/>
        <w:jc w:val="center"/>
        <w:rPr>
          <w:rFonts w:hAnsi="宋体"/>
          <w:bCs/>
          <w:sz w:val="24"/>
        </w:rPr>
      </w:pPr>
    </w:p>
    <w:p>
      <w:pPr>
        <w:pStyle w:val="10"/>
        <w:spacing w:line="360" w:lineRule="auto"/>
        <w:jc w:val="center"/>
        <w:rPr>
          <w:rFonts w:hAnsi="宋体"/>
          <w:bCs/>
          <w:sz w:val="24"/>
        </w:rPr>
      </w:pPr>
    </w:p>
    <w:p>
      <w:pPr>
        <w:pStyle w:val="10"/>
        <w:spacing w:line="360" w:lineRule="auto"/>
        <w:jc w:val="center"/>
        <w:rPr>
          <w:rFonts w:hAnsi="宋体"/>
          <w:bCs/>
          <w:sz w:val="24"/>
        </w:rPr>
      </w:pPr>
    </w:p>
    <w:p>
      <w:pPr>
        <w:pStyle w:val="10"/>
        <w:spacing w:line="360" w:lineRule="auto"/>
        <w:jc w:val="center"/>
        <w:rPr>
          <w:rFonts w:hAnsi="宋体"/>
          <w:bCs/>
          <w:sz w:val="24"/>
        </w:rPr>
      </w:pPr>
    </w:p>
    <w:p>
      <w:pPr>
        <w:pStyle w:val="38"/>
        <w:spacing w:line="360" w:lineRule="auto"/>
        <w:outlineLvl w:val="9"/>
        <w:rPr>
          <w:rFonts w:hAnsi="宋体"/>
          <w:bCs/>
          <w:sz w:val="24"/>
          <w:u w:val="single"/>
        </w:rPr>
      </w:pPr>
      <w:r>
        <w:rPr>
          <w:rFonts w:hint="eastAsia" w:hAnsi="宋体"/>
          <w:bCs/>
          <w:sz w:val="24"/>
        </w:rPr>
        <w:t>谈判响应供应商代表签名：</w:t>
      </w:r>
    </w:p>
    <w:p>
      <w:pPr>
        <w:spacing w:line="360" w:lineRule="auto"/>
        <w:rPr>
          <w:rFonts w:ascii="宋体"/>
          <w:b/>
          <w:sz w:val="32"/>
        </w:rPr>
      </w:pPr>
    </w:p>
    <w:p>
      <w:pPr>
        <w:spacing w:line="360" w:lineRule="auto"/>
        <w:rPr>
          <w:rFonts w:ascii="宋体"/>
          <w:b/>
          <w:sz w:val="32"/>
        </w:rPr>
      </w:pPr>
    </w:p>
    <w:p>
      <w:pPr>
        <w:spacing w:line="360" w:lineRule="auto"/>
        <w:jc w:val="center"/>
        <w:rPr>
          <w:rFonts w:ascii="宋体"/>
          <w:b/>
          <w:sz w:val="32"/>
        </w:rPr>
      </w:pPr>
    </w:p>
    <w:p>
      <w:pPr>
        <w:spacing w:line="360" w:lineRule="auto"/>
        <w:jc w:val="center"/>
        <w:rPr>
          <w:rFonts w:ascii="宋体"/>
          <w:b/>
          <w:sz w:val="32"/>
        </w:rPr>
      </w:pPr>
    </w:p>
    <w:p>
      <w:pPr>
        <w:spacing w:line="360" w:lineRule="auto"/>
        <w:jc w:val="center"/>
        <w:rPr>
          <w:rFonts w:ascii="宋体"/>
          <w:b/>
          <w:sz w:val="32"/>
        </w:rPr>
      </w:pPr>
    </w:p>
    <w:p>
      <w:pPr>
        <w:spacing w:line="360" w:lineRule="auto"/>
        <w:jc w:val="center"/>
        <w:rPr>
          <w:rFonts w:ascii="宋体"/>
          <w:b/>
          <w:sz w:val="32"/>
        </w:rPr>
      </w:pPr>
    </w:p>
    <w:p>
      <w:pPr>
        <w:spacing w:line="360" w:lineRule="auto"/>
        <w:rPr>
          <w:rFonts w:ascii="宋体"/>
          <w:b/>
          <w:sz w:val="32"/>
        </w:rPr>
        <w:sectPr>
          <w:pgSz w:w="11906" w:h="16838"/>
          <w:pgMar w:top="1440" w:right="1797" w:bottom="1440" w:left="1797" w:header="851" w:footer="992" w:gutter="0"/>
          <w:cols w:space="720" w:num="1"/>
          <w:docGrid w:linePitch="312" w:charSpace="0"/>
        </w:sectPr>
      </w:pPr>
      <w:r>
        <w:rPr>
          <w:rFonts w:hint="eastAsia" w:ascii="宋体" w:hAnsi="宋体"/>
          <w:b/>
          <w:sz w:val="32"/>
        </w:rPr>
        <w:t>备注：请明确所投产品品牌型号</w:t>
      </w:r>
    </w:p>
    <w:p>
      <w:pPr>
        <w:autoSpaceDE w:val="0"/>
        <w:autoSpaceDN w:val="0"/>
        <w:adjustRightInd w:val="0"/>
        <w:spacing w:line="360" w:lineRule="auto"/>
        <w:jc w:val="center"/>
        <w:rPr>
          <w:rFonts w:ascii="宋体" w:cs="宋体"/>
          <w:b/>
          <w:bCs/>
          <w:color w:val="000000"/>
          <w:sz w:val="36"/>
          <w:szCs w:val="36"/>
          <w:lang w:val="zh-CN"/>
        </w:rPr>
      </w:pPr>
      <w:r>
        <w:rPr>
          <w:rFonts w:hint="eastAsia" w:ascii="宋体" w:hAnsi="宋体" w:cs="宋体"/>
          <w:b/>
          <w:bCs/>
          <w:color w:val="000000"/>
          <w:sz w:val="36"/>
          <w:szCs w:val="36"/>
          <w:lang w:val="zh-CN"/>
        </w:rPr>
        <w:t>四技术规格偏离表</w:t>
      </w:r>
    </w:p>
    <w:p>
      <w:pPr>
        <w:autoSpaceDE w:val="0"/>
        <w:autoSpaceDN w:val="0"/>
        <w:adjustRightInd w:val="0"/>
        <w:spacing w:line="312" w:lineRule="auto"/>
        <w:jc w:val="center"/>
        <w:rPr>
          <w:rFonts w:ascii="宋体" w:cs="宋体"/>
          <w:color w:val="000000"/>
          <w:sz w:val="24"/>
          <w:szCs w:val="24"/>
          <w:lang w:val="zh-CN"/>
        </w:rPr>
      </w:pPr>
      <w:r>
        <w:rPr>
          <w:rFonts w:hint="eastAsia" w:ascii="宋体" w:hAnsi="宋体" w:cs="宋体"/>
          <w:color w:val="000000"/>
          <w:sz w:val="24"/>
          <w:szCs w:val="24"/>
          <w:lang w:val="zh-CN"/>
        </w:rPr>
        <w:t>（由投标人据实提交，技术参数须按编写序号须逐条对应）</w:t>
      </w:r>
    </w:p>
    <w:p>
      <w:pPr>
        <w:autoSpaceDE w:val="0"/>
        <w:autoSpaceDN w:val="0"/>
        <w:adjustRightInd w:val="0"/>
        <w:spacing w:line="360" w:lineRule="auto"/>
        <w:rPr>
          <w:rFonts w:ascii="宋体" w:cs="宋体"/>
          <w:color w:val="000000"/>
          <w:sz w:val="24"/>
          <w:szCs w:val="24"/>
          <w:lang w:val="zh-CN"/>
        </w:rPr>
      </w:pPr>
      <w:r>
        <w:rPr>
          <w:rFonts w:hint="eastAsia" w:ascii="宋体" w:hAnsi="宋体" w:cs="宋体"/>
          <w:color w:val="000000"/>
          <w:sz w:val="24"/>
          <w:szCs w:val="24"/>
          <w:lang w:val="zh-CN"/>
        </w:rPr>
        <w:t>项目编号</w:t>
      </w:r>
      <w:r>
        <w:rPr>
          <w:rFonts w:ascii="宋体" w:hAnsi="宋体" w:cs="宋体"/>
          <w:color w:val="000000"/>
          <w:sz w:val="24"/>
          <w:szCs w:val="24"/>
          <w:lang w:val="zh-CN"/>
        </w:rPr>
        <w:t>:</w:t>
      </w:r>
    </w:p>
    <w:p>
      <w:pPr>
        <w:pStyle w:val="10"/>
        <w:spacing w:line="360" w:lineRule="auto"/>
        <w:rPr>
          <w:rFonts w:hAnsi="宋体" w:cs="宋体"/>
          <w:color w:val="000000"/>
          <w:sz w:val="24"/>
          <w:szCs w:val="24"/>
          <w:lang w:val="zh-CN"/>
        </w:rPr>
      </w:pPr>
      <w:r>
        <w:rPr>
          <w:rFonts w:hint="eastAsia" w:hAnsi="宋体" w:cs="宋体"/>
          <w:color w:val="000000"/>
          <w:sz w:val="24"/>
          <w:szCs w:val="24"/>
          <w:lang w:val="zh-CN"/>
        </w:rPr>
        <w:t>项目名称（盖章）：</w:t>
      </w:r>
    </w:p>
    <w:tbl>
      <w:tblPr>
        <w:tblStyle w:val="17"/>
        <w:tblW w:w="8013" w:type="dxa"/>
        <w:tblInd w:w="213" w:type="dxa"/>
        <w:tblLayout w:type="fixed"/>
        <w:tblCellMar>
          <w:top w:w="0" w:type="dxa"/>
          <w:left w:w="108" w:type="dxa"/>
          <w:bottom w:w="0" w:type="dxa"/>
          <w:right w:w="108" w:type="dxa"/>
        </w:tblCellMar>
      </w:tblPr>
      <w:tblGrid>
        <w:gridCol w:w="816"/>
        <w:gridCol w:w="1656"/>
        <w:gridCol w:w="1656"/>
        <w:gridCol w:w="2713"/>
        <w:gridCol w:w="1172"/>
      </w:tblGrid>
      <w:tr>
        <w:tblPrEx>
          <w:tblCellMar>
            <w:top w:w="0" w:type="dxa"/>
            <w:left w:w="108" w:type="dxa"/>
            <w:bottom w:w="0" w:type="dxa"/>
            <w:right w:w="108" w:type="dxa"/>
          </w:tblCellMar>
        </w:tblPrEx>
        <w:tc>
          <w:tcPr>
            <w:tcW w:w="8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cs="宋体"/>
                <w:color w:val="000000"/>
                <w:sz w:val="24"/>
                <w:szCs w:val="24"/>
                <w:lang w:val="zh-CN"/>
              </w:rPr>
            </w:pPr>
            <w:r>
              <w:rPr>
                <w:rFonts w:hint="eastAsia" w:ascii="宋体" w:hAnsi="宋体" w:cs="宋体"/>
                <w:color w:val="000000"/>
                <w:sz w:val="24"/>
                <w:szCs w:val="24"/>
                <w:lang w:val="zh-CN"/>
              </w:rPr>
              <w:t>序号</w:t>
            </w:r>
          </w:p>
        </w:tc>
        <w:tc>
          <w:tcPr>
            <w:tcW w:w="16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cs="宋体"/>
                <w:color w:val="000000"/>
                <w:sz w:val="24"/>
                <w:szCs w:val="24"/>
                <w:lang w:val="zh-CN"/>
              </w:rPr>
            </w:pPr>
            <w:r>
              <w:rPr>
                <w:rFonts w:hint="eastAsia" w:ascii="宋体" w:hAnsi="宋体" w:cs="宋体"/>
                <w:color w:val="000000"/>
                <w:sz w:val="24"/>
                <w:szCs w:val="24"/>
                <w:lang w:val="zh-CN"/>
              </w:rPr>
              <w:t>谈判要求参数</w:t>
            </w:r>
          </w:p>
        </w:tc>
        <w:tc>
          <w:tcPr>
            <w:tcW w:w="16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cs="宋体"/>
                <w:color w:val="000000"/>
                <w:sz w:val="24"/>
                <w:szCs w:val="24"/>
                <w:lang w:val="zh-CN"/>
              </w:rPr>
            </w:pPr>
            <w:r>
              <w:rPr>
                <w:rFonts w:hint="eastAsia" w:ascii="宋体" w:hAnsi="宋体" w:cs="宋体"/>
                <w:color w:val="000000"/>
                <w:sz w:val="24"/>
                <w:szCs w:val="24"/>
                <w:lang w:val="zh-CN"/>
              </w:rPr>
              <w:t>响应实际参数</w:t>
            </w:r>
          </w:p>
        </w:tc>
        <w:tc>
          <w:tcPr>
            <w:tcW w:w="271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cs="宋体"/>
                <w:color w:val="000000"/>
                <w:sz w:val="24"/>
                <w:szCs w:val="24"/>
                <w:lang w:val="zh-CN"/>
              </w:rPr>
            </w:pPr>
            <w:r>
              <w:rPr>
                <w:rFonts w:hint="eastAsia" w:ascii="宋体" w:hAnsi="宋体" w:cs="宋体"/>
                <w:color w:val="000000"/>
                <w:sz w:val="24"/>
                <w:szCs w:val="24"/>
                <w:lang w:val="zh-CN"/>
              </w:rPr>
              <w:t>符合</w:t>
            </w:r>
            <w:r>
              <w:rPr>
                <w:rFonts w:ascii="宋体" w:hAnsi="宋体" w:cs="宋体"/>
                <w:color w:val="000000"/>
                <w:sz w:val="24"/>
                <w:szCs w:val="24"/>
                <w:lang w:val="zh-CN"/>
              </w:rPr>
              <w:t>/</w:t>
            </w:r>
            <w:r>
              <w:rPr>
                <w:rFonts w:hint="eastAsia" w:ascii="宋体" w:hAnsi="宋体" w:cs="宋体"/>
                <w:color w:val="000000"/>
                <w:sz w:val="24"/>
                <w:szCs w:val="24"/>
                <w:lang w:val="zh-CN"/>
              </w:rPr>
              <w:t>正偏离</w:t>
            </w:r>
            <w:r>
              <w:rPr>
                <w:rFonts w:ascii="宋体" w:hAnsi="宋体" w:cs="宋体"/>
                <w:color w:val="000000"/>
                <w:sz w:val="24"/>
                <w:szCs w:val="24"/>
                <w:lang w:val="zh-CN"/>
              </w:rPr>
              <w:t>/</w:t>
            </w:r>
            <w:r>
              <w:rPr>
                <w:rFonts w:hint="eastAsia" w:ascii="宋体" w:hAnsi="宋体" w:cs="宋体"/>
                <w:color w:val="000000"/>
                <w:sz w:val="24"/>
                <w:szCs w:val="24"/>
                <w:lang w:val="zh-CN"/>
              </w:rPr>
              <w:t>负偏离</w:t>
            </w:r>
          </w:p>
        </w:tc>
        <w:tc>
          <w:tcPr>
            <w:tcW w:w="11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cs="宋体"/>
                <w:color w:val="000000"/>
                <w:sz w:val="24"/>
                <w:szCs w:val="24"/>
                <w:lang w:val="zh-CN"/>
              </w:rPr>
            </w:pPr>
            <w:r>
              <w:rPr>
                <w:rFonts w:hint="eastAsia" w:ascii="宋体" w:hAnsi="宋体" w:cs="宋体"/>
                <w:color w:val="000000"/>
                <w:sz w:val="24"/>
                <w:szCs w:val="24"/>
                <w:lang w:val="zh-CN"/>
              </w:rPr>
              <w:t>备注</w:t>
            </w:r>
          </w:p>
        </w:tc>
      </w:tr>
      <w:tr>
        <w:tblPrEx>
          <w:tblCellMar>
            <w:top w:w="0" w:type="dxa"/>
            <w:left w:w="108" w:type="dxa"/>
            <w:bottom w:w="0" w:type="dxa"/>
            <w:right w:w="108" w:type="dxa"/>
          </w:tblCellMar>
        </w:tblPrEx>
        <w:trPr>
          <w:trHeight w:val="640" w:hRule="atLeast"/>
        </w:trPr>
        <w:tc>
          <w:tcPr>
            <w:tcW w:w="8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cs="宋体"/>
                <w:b/>
                <w:bCs/>
                <w:color w:val="000000"/>
                <w:sz w:val="24"/>
                <w:szCs w:val="24"/>
                <w:lang w:val="zh-CN"/>
              </w:rPr>
            </w:pPr>
          </w:p>
        </w:tc>
        <w:tc>
          <w:tcPr>
            <w:tcW w:w="271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c>
          <w:tcPr>
            <w:tcW w:w="117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r>
      <w:tr>
        <w:tblPrEx>
          <w:tblCellMar>
            <w:top w:w="0" w:type="dxa"/>
            <w:left w:w="108" w:type="dxa"/>
            <w:bottom w:w="0" w:type="dxa"/>
            <w:right w:w="108" w:type="dxa"/>
          </w:tblCellMar>
        </w:tblPrEx>
        <w:trPr>
          <w:trHeight w:val="640" w:hRule="atLeast"/>
        </w:trPr>
        <w:tc>
          <w:tcPr>
            <w:tcW w:w="8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c>
          <w:tcPr>
            <w:tcW w:w="271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c>
          <w:tcPr>
            <w:tcW w:w="117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r>
      <w:tr>
        <w:tblPrEx>
          <w:tblCellMar>
            <w:top w:w="0" w:type="dxa"/>
            <w:left w:w="108" w:type="dxa"/>
            <w:bottom w:w="0" w:type="dxa"/>
            <w:right w:w="108" w:type="dxa"/>
          </w:tblCellMar>
        </w:tblPrEx>
        <w:trPr>
          <w:trHeight w:val="640" w:hRule="atLeast"/>
        </w:trPr>
        <w:tc>
          <w:tcPr>
            <w:tcW w:w="8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c>
          <w:tcPr>
            <w:tcW w:w="271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c>
          <w:tcPr>
            <w:tcW w:w="117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r>
      <w:tr>
        <w:tblPrEx>
          <w:tblCellMar>
            <w:top w:w="0" w:type="dxa"/>
            <w:left w:w="108" w:type="dxa"/>
            <w:bottom w:w="0" w:type="dxa"/>
            <w:right w:w="108" w:type="dxa"/>
          </w:tblCellMar>
        </w:tblPrEx>
        <w:trPr>
          <w:trHeight w:val="640" w:hRule="atLeast"/>
        </w:trPr>
        <w:tc>
          <w:tcPr>
            <w:tcW w:w="8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c>
          <w:tcPr>
            <w:tcW w:w="271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c>
          <w:tcPr>
            <w:tcW w:w="117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cs="宋体"/>
                <w:b/>
                <w:bCs/>
                <w:color w:val="000000"/>
                <w:sz w:val="24"/>
                <w:szCs w:val="24"/>
                <w:lang w:val="zh-CN"/>
              </w:rPr>
            </w:pPr>
          </w:p>
        </w:tc>
      </w:tr>
    </w:tbl>
    <w:p>
      <w:pPr>
        <w:autoSpaceDE w:val="0"/>
        <w:autoSpaceDN w:val="0"/>
        <w:adjustRightInd w:val="0"/>
        <w:spacing w:line="360" w:lineRule="auto"/>
        <w:rPr>
          <w:rFonts w:ascii="宋体" w:cs="宋体"/>
          <w:color w:val="000000"/>
          <w:sz w:val="24"/>
          <w:szCs w:val="24"/>
          <w:lang w:val="zh-CN"/>
        </w:rPr>
      </w:pPr>
      <w:r>
        <w:rPr>
          <w:rFonts w:hint="eastAsia" w:ascii="宋体" w:hAnsi="宋体" w:cs="宋体"/>
          <w:color w:val="000000"/>
          <w:sz w:val="24"/>
          <w:szCs w:val="24"/>
          <w:lang w:val="zh-CN"/>
        </w:rPr>
        <w:t>授权代表签字：</w:t>
      </w:r>
    </w:p>
    <w:p>
      <w:pPr>
        <w:autoSpaceDE w:val="0"/>
        <w:autoSpaceDN w:val="0"/>
        <w:adjustRightInd w:val="0"/>
        <w:spacing w:line="360" w:lineRule="auto"/>
        <w:rPr>
          <w:rFonts w:ascii="宋体" w:cs="宋体"/>
          <w:color w:val="000000"/>
          <w:sz w:val="24"/>
          <w:szCs w:val="24"/>
          <w:lang w:val="zh-CN"/>
        </w:rPr>
      </w:pPr>
      <w:r>
        <w:rPr>
          <w:rFonts w:hint="eastAsia" w:ascii="宋体" w:hAnsi="宋体" w:cs="宋体"/>
          <w:color w:val="000000"/>
          <w:sz w:val="24"/>
          <w:szCs w:val="24"/>
          <w:lang w:val="zh-CN"/>
        </w:rPr>
        <w:t>日</w:t>
      </w:r>
      <w:r>
        <w:rPr>
          <w:rFonts w:ascii="宋体" w:hAnsi="宋体" w:cs="宋体"/>
          <w:color w:val="000000"/>
          <w:sz w:val="24"/>
          <w:szCs w:val="24"/>
          <w:lang w:val="zh-CN"/>
        </w:rPr>
        <w:t xml:space="preserve">    </w:t>
      </w:r>
      <w:r>
        <w:rPr>
          <w:rFonts w:hint="eastAsia" w:ascii="宋体" w:hAnsi="宋体" w:cs="宋体"/>
          <w:color w:val="000000"/>
          <w:sz w:val="24"/>
          <w:szCs w:val="24"/>
          <w:lang w:val="zh-CN"/>
        </w:rPr>
        <w:t>期：</w:t>
      </w:r>
      <w:r>
        <w:rPr>
          <w:rFonts w:ascii="宋体" w:hAnsi="宋体" w:cs="宋体"/>
          <w:color w:val="000000"/>
          <w:sz w:val="24"/>
          <w:szCs w:val="24"/>
          <w:lang w:val="zh-CN"/>
        </w:rPr>
        <w:t xml:space="preserve">    </w:t>
      </w:r>
      <w:r>
        <w:rPr>
          <w:rFonts w:hint="eastAsia" w:ascii="宋体" w:hAnsi="宋体" w:cs="宋体"/>
          <w:color w:val="000000"/>
          <w:sz w:val="24"/>
          <w:szCs w:val="24"/>
          <w:lang w:val="zh-CN"/>
        </w:rPr>
        <w:t>年</w:t>
      </w:r>
      <w:r>
        <w:rPr>
          <w:rFonts w:ascii="宋体" w:hAnsi="宋体" w:cs="宋体"/>
          <w:color w:val="000000"/>
          <w:sz w:val="24"/>
          <w:szCs w:val="24"/>
          <w:lang w:val="zh-CN"/>
        </w:rPr>
        <w:t xml:space="preserve">    </w:t>
      </w:r>
      <w:r>
        <w:rPr>
          <w:rFonts w:hint="eastAsia" w:ascii="宋体" w:hAnsi="宋体" w:cs="宋体"/>
          <w:color w:val="000000"/>
          <w:sz w:val="24"/>
          <w:szCs w:val="24"/>
          <w:lang w:val="zh-CN"/>
        </w:rPr>
        <w:t>月</w:t>
      </w:r>
      <w:r>
        <w:rPr>
          <w:rFonts w:ascii="宋体" w:hAnsi="宋体" w:cs="宋体"/>
          <w:color w:val="000000"/>
          <w:sz w:val="24"/>
          <w:szCs w:val="24"/>
          <w:lang w:val="zh-CN"/>
        </w:rPr>
        <w:t xml:space="preserve">   </w:t>
      </w:r>
      <w:r>
        <w:rPr>
          <w:rFonts w:hint="eastAsia" w:ascii="宋体" w:hAnsi="宋体" w:cs="宋体"/>
          <w:color w:val="000000"/>
          <w:sz w:val="24"/>
          <w:szCs w:val="24"/>
          <w:lang w:val="zh-CN"/>
        </w:rPr>
        <w:t>日</w:t>
      </w:r>
    </w:p>
    <w:p>
      <w:pPr>
        <w:autoSpaceDE w:val="0"/>
        <w:autoSpaceDN w:val="0"/>
        <w:adjustRightInd w:val="0"/>
        <w:spacing w:line="440" w:lineRule="exact"/>
        <w:rPr>
          <w:rFonts w:ascii="宋体" w:cs="宋体"/>
          <w:color w:val="000000"/>
          <w:sz w:val="24"/>
          <w:szCs w:val="24"/>
          <w:lang w:val="zh-CN"/>
        </w:rPr>
      </w:pPr>
      <w:r>
        <w:rPr>
          <w:rFonts w:hint="eastAsia" w:ascii="宋体" w:hAnsi="宋体" w:cs="宋体"/>
          <w:color w:val="000000"/>
          <w:sz w:val="24"/>
          <w:szCs w:val="24"/>
          <w:lang w:val="zh-CN"/>
        </w:rPr>
        <w:t>注：</w:t>
      </w:r>
      <w:r>
        <w:rPr>
          <w:rFonts w:ascii="宋体" w:hAnsi="宋体" w:cs="宋体"/>
          <w:color w:val="000000"/>
          <w:sz w:val="24"/>
          <w:szCs w:val="24"/>
          <w:lang w:val="zh-CN"/>
        </w:rPr>
        <w:t>1.</w:t>
      </w:r>
      <w:r>
        <w:rPr>
          <w:rFonts w:hint="eastAsia" w:ascii="宋体" w:hAnsi="宋体" w:cs="宋体"/>
          <w:color w:val="000000"/>
          <w:sz w:val="24"/>
          <w:szCs w:val="24"/>
          <w:lang w:val="zh-CN"/>
        </w:rPr>
        <w:t>按照技术要求详细填列。</w:t>
      </w:r>
    </w:p>
    <w:p>
      <w:pPr>
        <w:autoSpaceDE w:val="0"/>
        <w:autoSpaceDN w:val="0"/>
        <w:adjustRightInd w:val="0"/>
        <w:spacing w:line="440" w:lineRule="exact"/>
        <w:ind w:firstLine="480" w:firstLineChars="200"/>
        <w:rPr>
          <w:rFonts w:ascii="宋体" w:cs="宋体"/>
          <w:color w:val="000000"/>
          <w:sz w:val="24"/>
          <w:szCs w:val="24"/>
          <w:lang w:val="zh-CN"/>
        </w:rPr>
      </w:pPr>
      <w:r>
        <w:rPr>
          <w:rFonts w:ascii="宋体" w:hAnsi="宋体" w:cs="宋体"/>
          <w:color w:val="000000"/>
          <w:sz w:val="24"/>
          <w:szCs w:val="24"/>
          <w:lang w:val="zh-CN"/>
        </w:rPr>
        <w:t>2.</w:t>
      </w:r>
      <w:r>
        <w:rPr>
          <w:rFonts w:hint="eastAsia" w:ascii="宋体" w:hAnsi="宋体" w:cs="宋体"/>
          <w:color w:val="000000"/>
          <w:sz w:val="24"/>
          <w:szCs w:val="24"/>
          <w:lang w:val="zh-CN"/>
        </w:rPr>
        <w:t>行数不够，可自行添加。</w:t>
      </w:r>
    </w:p>
    <w:p>
      <w:pPr>
        <w:autoSpaceDE w:val="0"/>
        <w:autoSpaceDN w:val="0"/>
        <w:adjustRightInd w:val="0"/>
        <w:spacing w:line="440" w:lineRule="exact"/>
        <w:ind w:firstLine="480" w:firstLineChars="200"/>
        <w:rPr>
          <w:rFonts w:ascii="宋体" w:cs="宋体"/>
          <w:color w:val="000000"/>
          <w:sz w:val="24"/>
          <w:szCs w:val="24"/>
          <w:lang w:val="zh-CN"/>
        </w:rPr>
      </w:pPr>
      <w:r>
        <w:rPr>
          <w:rFonts w:ascii="宋体" w:hAnsi="宋体" w:cs="宋体"/>
          <w:color w:val="000000"/>
          <w:sz w:val="24"/>
          <w:szCs w:val="24"/>
          <w:lang w:val="zh-CN"/>
        </w:rPr>
        <w:t>3.</w:t>
      </w:r>
      <w:r>
        <w:rPr>
          <w:rFonts w:hint="eastAsia" w:ascii="宋体" w:hAnsi="宋体" w:cs="宋体"/>
          <w:bCs/>
          <w:color w:val="000000"/>
          <w:sz w:val="24"/>
          <w:szCs w:val="24"/>
          <w:lang w:val="zh-CN"/>
        </w:rPr>
        <w:t>请如实填写偏离表，如果虚假响应，将被暂停进入铜仁市公共资源交易中心（政府采购）活动。</w:t>
      </w:r>
    </w:p>
    <w:p>
      <w:pPr>
        <w:autoSpaceDE w:val="0"/>
        <w:autoSpaceDN w:val="0"/>
        <w:adjustRightInd w:val="0"/>
        <w:spacing w:line="440" w:lineRule="exact"/>
        <w:ind w:firstLine="480" w:firstLineChars="200"/>
        <w:rPr>
          <w:rFonts w:ascii="宋体" w:cs="宋体"/>
          <w:color w:val="000000"/>
          <w:sz w:val="24"/>
          <w:szCs w:val="24"/>
          <w:lang w:val="zh-CN"/>
        </w:rPr>
      </w:pPr>
      <w:r>
        <w:rPr>
          <w:rFonts w:ascii="宋体" w:hAnsi="宋体" w:cs="宋体"/>
          <w:color w:val="000000"/>
          <w:sz w:val="24"/>
          <w:szCs w:val="24"/>
          <w:lang w:val="zh-CN"/>
        </w:rPr>
        <w:t>4.</w:t>
      </w:r>
      <w:r>
        <w:rPr>
          <w:rFonts w:hint="eastAsia" w:ascii="宋体" w:hAnsi="宋体" w:cs="宋体"/>
          <w:color w:val="000000"/>
          <w:sz w:val="24"/>
          <w:szCs w:val="24"/>
          <w:lang w:val="zh-CN"/>
        </w:rPr>
        <w:t>投标人可根据各个需求表的内容填报技术规格响应表，但技术规格响应表的内容必须对其相对应的供货需求的内容全部响应。</w:t>
      </w:r>
    </w:p>
    <w:p>
      <w:pPr>
        <w:pStyle w:val="4"/>
        <w:numPr>
          <w:ilvl w:val="1"/>
          <w:numId w:val="0"/>
        </w:numPr>
        <w:jc w:val="left"/>
        <w:rPr>
          <w:rFonts w:ascii="宋体" w:hAnsi="宋体" w:eastAsia="宋体" w:cs="宋体"/>
          <w:b w:val="0"/>
          <w:bCs w:val="0"/>
          <w:color w:val="000000"/>
          <w:sz w:val="24"/>
          <w:szCs w:val="24"/>
          <w:lang w:val="zh-CN"/>
        </w:rPr>
      </w:pPr>
      <w:r>
        <w:rPr>
          <w:rFonts w:ascii="宋体" w:hAnsi="宋体" w:eastAsia="宋体" w:cs="宋体"/>
          <w:b w:val="0"/>
          <w:bCs w:val="0"/>
          <w:color w:val="000000"/>
          <w:sz w:val="24"/>
          <w:szCs w:val="24"/>
          <w:lang w:val="zh-CN"/>
        </w:rPr>
        <w:t>5.</w:t>
      </w:r>
      <w:r>
        <w:rPr>
          <w:rFonts w:hint="eastAsia" w:ascii="宋体" w:hAnsi="宋体" w:eastAsia="宋体" w:cs="宋体"/>
          <w:b w:val="0"/>
          <w:bCs w:val="0"/>
          <w:color w:val="000000"/>
          <w:sz w:val="24"/>
          <w:szCs w:val="24"/>
          <w:lang w:val="zh-CN"/>
        </w:rPr>
        <w:t>如招标文件中规定技术规格货物如因停产或其他原因造成市场上无法供货，可采用不低于原有配置的货物投标。</w:t>
      </w:r>
    </w:p>
    <w:p>
      <w:pPr>
        <w:rPr>
          <w:rFonts w:ascii="宋体" w:cs="宋体"/>
          <w:color w:val="000000"/>
          <w:sz w:val="24"/>
          <w:szCs w:val="24"/>
          <w:lang w:val="zh-CN"/>
        </w:rPr>
      </w:pPr>
    </w:p>
    <w:p>
      <w:pPr>
        <w:rPr>
          <w:rFonts w:ascii="宋体" w:cs="宋体"/>
          <w:color w:val="000000"/>
          <w:sz w:val="24"/>
          <w:szCs w:val="24"/>
          <w:lang w:val="zh-CN"/>
        </w:rPr>
      </w:pPr>
    </w:p>
    <w:p>
      <w:pPr>
        <w:rPr>
          <w:rFonts w:ascii="宋体" w:cs="宋体"/>
          <w:color w:val="000000"/>
          <w:sz w:val="24"/>
          <w:szCs w:val="24"/>
          <w:lang w:val="zh-CN"/>
        </w:rPr>
      </w:pPr>
    </w:p>
    <w:p>
      <w:pPr>
        <w:rPr>
          <w:rFonts w:ascii="宋体" w:cs="宋体"/>
          <w:color w:val="000000"/>
          <w:sz w:val="24"/>
          <w:szCs w:val="24"/>
          <w:lang w:val="zh-CN"/>
        </w:rPr>
      </w:pPr>
    </w:p>
    <w:p>
      <w:pPr>
        <w:rPr>
          <w:rFonts w:ascii="宋体" w:cs="宋体"/>
          <w:color w:val="000000"/>
          <w:sz w:val="24"/>
          <w:szCs w:val="24"/>
          <w:lang w:val="zh-CN"/>
        </w:rPr>
      </w:pPr>
    </w:p>
    <w:p>
      <w:pPr>
        <w:rPr>
          <w:rFonts w:ascii="宋体" w:cs="宋体"/>
          <w:color w:val="000000"/>
          <w:sz w:val="24"/>
          <w:szCs w:val="24"/>
          <w:lang w:val="zh-CN"/>
        </w:rPr>
      </w:pPr>
    </w:p>
    <w:p>
      <w:pPr>
        <w:widowControl/>
        <w:jc w:val="left"/>
        <w:rPr>
          <w:rFonts w:ascii="宋体"/>
          <w:b/>
          <w:color w:val="000000"/>
          <w:kern w:val="0"/>
          <w:sz w:val="36"/>
          <w:szCs w:val="36"/>
        </w:rPr>
      </w:pPr>
      <w:r>
        <w:rPr>
          <w:rFonts w:hAnsi="宋体"/>
          <w:b/>
          <w:color w:val="000000"/>
          <w:sz w:val="36"/>
          <w:szCs w:val="36"/>
        </w:rPr>
        <w:br w:type="page"/>
      </w:r>
    </w:p>
    <w:p>
      <w:pPr>
        <w:pStyle w:val="10"/>
        <w:spacing w:line="360" w:lineRule="auto"/>
        <w:jc w:val="center"/>
        <w:rPr>
          <w:rFonts w:hAnsi="宋体"/>
          <w:b/>
          <w:color w:val="000000"/>
          <w:sz w:val="36"/>
          <w:szCs w:val="36"/>
        </w:rPr>
      </w:pPr>
      <w:r>
        <w:rPr>
          <w:rFonts w:hint="eastAsia" w:hAnsi="宋体"/>
          <w:b/>
          <w:color w:val="000000"/>
          <w:sz w:val="36"/>
          <w:szCs w:val="36"/>
        </w:rPr>
        <w:t>五商务条款偏离表</w:t>
      </w:r>
    </w:p>
    <w:p>
      <w:pPr>
        <w:pStyle w:val="10"/>
        <w:spacing w:line="360" w:lineRule="auto"/>
        <w:rPr>
          <w:rFonts w:hAnsi="宋体"/>
          <w:color w:val="000000"/>
          <w:sz w:val="28"/>
          <w:szCs w:val="28"/>
        </w:rPr>
      </w:pPr>
      <w:r>
        <w:rPr>
          <w:rFonts w:hint="eastAsia" w:hAnsi="宋体"/>
          <w:color w:val="000000"/>
          <w:sz w:val="28"/>
          <w:szCs w:val="28"/>
        </w:rPr>
        <w:t>供应商名称：</w:t>
      </w:r>
      <w:r>
        <w:rPr>
          <w:rFonts w:hAnsi="宋体"/>
          <w:color w:val="000000"/>
          <w:sz w:val="28"/>
          <w:szCs w:val="28"/>
        </w:rPr>
        <w:t xml:space="preserve">           </w:t>
      </w:r>
    </w:p>
    <w:p>
      <w:pPr>
        <w:pStyle w:val="10"/>
        <w:spacing w:line="360" w:lineRule="auto"/>
        <w:rPr>
          <w:rFonts w:hAnsi="宋体"/>
          <w:color w:val="000000"/>
          <w:sz w:val="28"/>
          <w:szCs w:val="28"/>
        </w:rPr>
      </w:pPr>
      <w:r>
        <w:rPr>
          <w:rFonts w:hint="eastAsia" w:hAnsi="宋体"/>
          <w:color w:val="000000"/>
          <w:sz w:val="28"/>
          <w:szCs w:val="28"/>
        </w:rPr>
        <w:t>采购编号：</w:t>
      </w:r>
    </w:p>
    <w:tbl>
      <w:tblPr>
        <w:tblStyle w:val="17"/>
        <w:tblW w:w="8365"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250"/>
        <w:gridCol w:w="1986"/>
        <w:gridCol w:w="2118"/>
        <w:gridCol w:w="12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auto" w:sz="12" w:space="0"/>
            </w:tcBorders>
          </w:tcPr>
          <w:p>
            <w:pPr>
              <w:pStyle w:val="10"/>
              <w:spacing w:line="400" w:lineRule="exact"/>
              <w:jc w:val="center"/>
              <w:rPr>
                <w:rFonts w:hAnsi="宋体"/>
                <w:color w:val="000000"/>
                <w:sz w:val="28"/>
                <w:szCs w:val="28"/>
              </w:rPr>
            </w:pPr>
            <w:r>
              <w:rPr>
                <w:rFonts w:hint="eastAsia" w:hAnsi="宋体"/>
                <w:color w:val="000000"/>
                <w:sz w:val="28"/>
                <w:szCs w:val="28"/>
              </w:rPr>
              <w:t>序号</w:t>
            </w:r>
          </w:p>
        </w:tc>
        <w:tc>
          <w:tcPr>
            <w:tcW w:w="2250" w:type="dxa"/>
            <w:tcBorders>
              <w:top w:val="single" w:color="auto" w:sz="12" w:space="0"/>
            </w:tcBorders>
          </w:tcPr>
          <w:p>
            <w:pPr>
              <w:pStyle w:val="10"/>
              <w:spacing w:line="400" w:lineRule="exact"/>
              <w:jc w:val="center"/>
              <w:rPr>
                <w:rFonts w:hAnsi="宋体"/>
                <w:color w:val="000000"/>
                <w:sz w:val="28"/>
                <w:szCs w:val="28"/>
              </w:rPr>
            </w:pPr>
            <w:r>
              <w:rPr>
                <w:rFonts w:hint="eastAsia" w:hAnsi="宋体"/>
                <w:color w:val="000000"/>
                <w:sz w:val="28"/>
                <w:szCs w:val="28"/>
              </w:rPr>
              <w:t>谈判文件条目号</w:t>
            </w:r>
          </w:p>
        </w:tc>
        <w:tc>
          <w:tcPr>
            <w:tcW w:w="1986" w:type="dxa"/>
            <w:tcBorders>
              <w:top w:val="single" w:color="auto" w:sz="12" w:space="0"/>
            </w:tcBorders>
          </w:tcPr>
          <w:p>
            <w:pPr>
              <w:pStyle w:val="10"/>
              <w:spacing w:line="400" w:lineRule="exact"/>
              <w:jc w:val="center"/>
              <w:rPr>
                <w:rFonts w:hAnsi="宋体"/>
                <w:color w:val="000000"/>
                <w:sz w:val="28"/>
                <w:szCs w:val="28"/>
              </w:rPr>
            </w:pPr>
            <w:r>
              <w:rPr>
                <w:rFonts w:hint="eastAsia" w:hAnsi="宋体"/>
                <w:color w:val="000000"/>
                <w:sz w:val="28"/>
                <w:szCs w:val="28"/>
              </w:rPr>
              <w:t>谈判文件商务要求</w:t>
            </w:r>
          </w:p>
        </w:tc>
        <w:tc>
          <w:tcPr>
            <w:tcW w:w="2118" w:type="dxa"/>
            <w:tcBorders>
              <w:top w:val="single" w:color="auto" w:sz="12" w:space="0"/>
            </w:tcBorders>
          </w:tcPr>
          <w:p>
            <w:pPr>
              <w:pStyle w:val="10"/>
              <w:spacing w:line="400" w:lineRule="exact"/>
              <w:jc w:val="center"/>
              <w:rPr>
                <w:rFonts w:hAnsi="宋体"/>
                <w:color w:val="000000"/>
                <w:sz w:val="28"/>
                <w:szCs w:val="28"/>
              </w:rPr>
            </w:pPr>
            <w:r>
              <w:rPr>
                <w:rFonts w:hint="eastAsia" w:hAnsi="宋体"/>
                <w:color w:val="000000"/>
                <w:sz w:val="28"/>
                <w:szCs w:val="28"/>
              </w:rPr>
              <w:t>谈判文件商务响应</w:t>
            </w:r>
          </w:p>
        </w:tc>
        <w:tc>
          <w:tcPr>
            <w:tcW w:w="1245" w:type="dxa"/>
            <w:tcBorders>
              <w:top w:val="single" w:color="auto" w:sz="12" w:space="0"/>
            </w:tcBorders>
          </w:tcPr>
          <w:p>
            <w:pPr>
              <w:pStyle w:val="10"/>
              <w:spacing w:line="400" w:lineRule="exact"/>
              <w:jc w:val="center"/>
              <w:rPr>
                <w:rFonts w:hAnsi="宋体"/>
                <w:color w:val="000000"/>
                <w:sz w:val="28"/>
                <w:szCs w:val="28"/>
              </w:rPr>
            </w:pPr>
            <w:r>
              <w:rPr>
                <w:rFonts w:hint="eastAsia" w:hAnsi="宋体"/>
                <w:color w:val="000000"/>
                <w:sz w:val="28"/>
                <w:szCs w:val="28"/>
              </w:rPr>
              <w:t>偏差说明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250" w:type="dxa"/>
          </w:tcPr>
          <w:p>
            <w:pPr>
              <w:pStyle w:val="10"/>
              <w:spacing w:line="400" w:lineRule="exact"/>
              <w:rPr>
                <w:rFonts w:hAnsi="宋体"/>
                <w:color w:val="000000"/>
                <w:sz w:val="28"/>
                <w:szCs w:val="28"/>
              </w:rPr>
            </w:pPr>
          </w:p>
        </w:tc>
        <w:tc>
          <w:tcPr>
            <w:tcW w:w="198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250" w:type="dxa"/>
          </w:tcPr>
          <w:p>
            <w:pPr>
              <w:pStyle w:val="10"/>
              <w:spacing w:line="400" w:lineRule="exact"/>
              <w:rPr>
                <w:rFonts w:hAnsi="宋体"/>
                <w:color w:val="000000"/>
                <w:sz w:val="28"/>
                <w:szCs w:val="28"/>
              </w:rPr>
            </w:pPr>
          </w:p>
        </w:tc>
        <w:tc>
          <w:tcPr>
            <w:tcW w:w="198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250" w:type="dxa"/>
          </w:tcPr>
          <w:p>
            <w:pPr>
              <w:pStyle w:val="10"/>
              <w:spacing w:line="400" w:lineRule="exact"/>
              <w:rPr>
                <w:rFonts w:hAnsi="宋体"/>
                <w:color w:val="000000"/>
                <w:sz w:val="28"/>
                <w:szCs w:val="28"/>
              </w:rPr>
            </w:pPr>
          </w:p>
        </w:tc>
        <w:tc>
          <w:tcPr>
            <w:tcW w:w="198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250" w:type="dxa"/>
          </w:tcPr>
          <w:p>
            <w:pPr>
              <w:pStyle w:val="10"/>
              <w:spacing w:line="400" w:lineRule="exact"/>
              <w:rPr>
                <w:rFonts w:hAnsi="宋体"/>
                <w:color w:val="000000"/>
                <w:sz w:val="28"/>
                <w:szCs w:val="28"/>
              </w:rPr>
            </w:pPr>
          </w:p>
        </w:tc>
        <w:tc>
          <w:tcPr>
            <w:tcW w:w="198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250" w:type="dxa"/>
          </w:tcPr>
          <w:p>
            <w:pPr>
              <w:pStyle w:val="10"/>
              <w:spacing w:line="400" w:lineRule="exact"/>
              <w:rPr>
                <w:rFonts w:hAnsi="宋体"/>
                <w:color w:val="000000"/>
                <w:sz w:val="28"/>
                <w:szCs w:val="28"/>
              </w:rPr>
            </w:pPr>
          </w:p>
        </w:tc>
        <w:tc>
          <w:tcPr>
            <w:tcW w:w="198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250" w:type="dxa"/>
          </w:tcPr>
          <w:p>
            <w:pPr>
              <w:pStyle w:val="10"/>
              <w:spacing w:line="400" w:lineRule="exact"/>
              <w:rPr>
                <w:rFonts w:hAnsi="宋体"/>
                <w:color w:val="000000"/>
                <w:sz w:val="28"/>
                <w:szCs w:val="28"/>
              </w:rPr>
            </w:pPr>
          </w:p>
        </w:tc>
        <w:tc>
          <w:tcPr>
            <w:tcW w:w="198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250" w:type="dxa"/>
          </w:tcPr>
          <w:p>
            <w:pPr>
              <w:pStyle w:val="10"/>
              <w:spacing w:line="400" w:lineRule="exact"/>
              <w:rPr>
                <w:rFonts w:hAnsi="宋体"/>
                <w:color w:val="000000"/>
                <w:sz w:val="28"/>
                <w:szCs w:val="28"/>
              </w:rPr>
            </w:pPr>
          </w:p>
        </w:tc>
        <w:tc>
          <w:tcPr>
            <w:tcW w:w="198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250" w:type="dxa"/>
          </w:tcPr>
          <w:p>
            <w:pPr>
              <w:pStyle w:val="10"/>
              <w:spacing w:line="400" w:lineRule="exact"/>
              <w:rPr>
                <w:rFonts w:hAnsi="宋体"/>
                <w:color w:val="000000"/>
                <w:sz w:val="28"/>
                <w:szCs w:val="28"/>
              </w:rPr>
            </w:pPr>
          </w:p>
        </w:tc>
        <w:tc>
          <w:tcPr>
            <w:tcW w:w="198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250" w:type="dxa"/>
          </w:tcPr>
          <w:p>
            <w:pPr>
              <w:pStyle w:val="10"/>
              <w:spacing w:line="400" w:lineRule="exact"/>
              <w:rPr>
                <w:rFonts w:hAnsi="宋体"/>
                <w:color w:val="000000"/>
                <w:sz w:val="28"/>
                <w:szCs w:val="28"/>
              </w:rPr>
            </w:pPr>
          </w:p>
        </w:tc>
        <w:tc>
          <w:tcPr>
            <w:tcW w:w="198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250" w:type="dxa"/>
          </w:tcPr>
          <w:p>
            <w:pPr>
              <w:pStyle w:val="10"/>
              <w:spacing w:line="400" w:lineRule="exact"/>
              <w:rPr>
                <w:rFonts w:hAnsi="宋体"/>
                <w:color w:val="000000"/>
                <w:sz w:val="28"/>
                <w:szCs w:val="28"/>
              </w:rPr>
            </w:pPr>
          </w:p>
        </w:tc>
        <w:tc>
          <w:tcPr>
            <w:tcW w:w="198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250" w:type="dxa"/>
          </w:tcPr>
          <w:p>
            <w:pPr>
              <w:pStyle w:val="10"/>
              <w:spacing w:line="400" w:lineRule="exact"/>
              <w:rPr>
                <w:rFonts w:hAnsi="宋体"/>
                <w:color w:val="000000"/>
                <w:sz w:val="28"/>
                <w:szCs w:val="28"/>
              </w:rPr>
            </w:pPr>
          </w:p>
        </w:tc>
        <w:tc>
          <w:tcPr>
            <w:tcW w:w="198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250" w:type="dxa"/>
          </w:tcPr>
          <w:p>
            <w:pPr>
              <w:pStyle w:val="10"/>
              <w:spacing w:line="400" w:lineRule="exact"/>
              <w:rPr>
                <w:rFonts w:hAnsi="宋体"/>
                <w:color w:val="000000"/>
                <w:sz w:val="28"/>
                <w:szCs w:val="28"/>
              </w:rPr>
            </w:pPr>
          </w:p>
        </w:tc>
        <w:tc>
          <w:tcPr>
            <w:tcW w:w="198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250" w:type="dxa"/>
          </w:tcPr>
          <w:p>
            <w:pPr>
              <w:pStyle w:val="10"/>
              <w:spacing w:line="400" w:lineRule="exact"/>
              <w:rPr>
                <w:rFonts w:hAnsi="宋体"/>
                <w:color w:val="000000"/>
                <w:sz w:val="28"/>
                <w:szCs w:val="28"/>
              </w:rPr>
            </w:pPr>
          </w:p>
        </w:tc>
        <w:tc>
          <w:tcPr>
            <w:tcW w:w="198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250" w:type="dxa"/>
          </w:tcPr>
          <w:p>
            <w:pPr>
              <w:pStyle w:val="10"/>
              <w:spacing w:line="400" w:lineRule="exact"/>
              <w:rPr>
                <w:rFonts w:hAnsi="宋体"/>
                <w:color w:val="000000"/>
                <w:sz w:val="28"/>
                <w:szCs w:val="28"/>
              </w:rPr>
            </w:pPr>
          </w:p>
        </w:tc>
        <w:tc>
          <w:tcPr>
            <w:tcW w:w="198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766" w:type="dxa"/>
            <w:tcBorders>
              <w:bottom w:val="single" w:color="auto" w:sz="12" w:space="0"/>
            </w:tcBorders>
          </w:tcPr>
          <w:p>
            <w:pPr>
              <w:pStyle w:val="10"/>
              <w:spacing w:line="400" w:lineRule="exact"/>
              <w:rPr>
                <w:rFonts w:hAnsi="宋体"/>
                <w:color w:val="000000"/>
                <w:sz w:val="28"/>
                <w:szCs w:val="28"/>
              </w:rPr>
            </w:pPr>
          </w:p>
        </w:tc>
        <w:tc>
          <w:tcPr>
            <w:tcW w:w="2250" w:type="dxa"/>
            <w:tcBorders>
              <w:bottom w:val="single" w:color="auto" w:sz="12" w:space="0"/>
            </w:tcBorders>
          </w:tcPr>
          <w:p>
            <w:pPr>
              <w:pStyle w:val="10"/>
              <w:spacing w:line="400" w:lineRule="exact"/>
              <w:rPr>
                <w:rFonts w:hAnsi="宋体"/>
                <w:color w:val="000000"/>
                <w:sz w:val="28"/>
                <w:szCs w:val="28"/>
              </w:rPr>
            </w:pPr>
          </w:p>
        </w:tc>
        <w:tc>
          <w:tcPr>
            <w:tcW w:w="1986" w:type="dxa"/>
            <w:tcBorders>
              <w:bottom w:val="single" w:color="auto" w:sz="12" w:space="0"/>
            </w:tcBorders>
          </w:tcPr>
          <w:p>
            <w:pPr>
              <w:pStyle w:val="10"/>
              <w:spacing w:line="400" w:lineRule="exact"/>
              <w:rPr>
                <w:rFonts w:hAnsi="宋体"/>
                <w:color w:val="000000"/>
                <w:sz w:val="28"/>
                <w:szCs w:val="28"/>
              </w:rPr>
            </w:pPr>
          </w:p>
        </w:tc>
        <w:tc>
          <w:tcPr>
            <w:tcW w:w="2118" w:type="dxa"/>
            <w:tcBorders>
              <w:bottom w:val="single" w:color="auto" w:sz="12" w:space="0"/>
            </w:tcBorders>
          </w:tcPr>
          <w:p>
            <w:pPr>
              <w:pStyle w:val="10"/>
              <w:spacing w:line="400" w:lineRule="exact"/>
              <w:rPr>
                <w:rFonts w:hAnsi="宋体"/>
                <w:color w:val="000000"/>
                <w:sz w:val="28"/>
                <w:szCs w:val="28"/>
              </w:rPr>
            </w:pPr>
          </w:p>
        </w:tc>
        <w:tc>
          <w:tcPr>
            <w:tcW w:w="1245" w:type="dxa"/>
            <w:tcBorders>
              <w:bottom w:val="single" w:color="auto" w:sz="12" w:space="0"/>
            </w:tcBorders>
          </w:tcPr>
          <w:p>
            <w:pPr>
              <w:pStyle w:val="10"/>
              <w:spacing w:line="400" w:lineRule="exact"/>
              <w:rPr>
                <w:rFonts w:hAnsi="宋体"/>
                <w:color w:val="000000"/>
                <w:sz w:val="28"/>
                <w:szCs w:val="28"/>
              </w:rPr>
            </w:pPr>
          </w:p>
        </w:tc>
      </w:tr>
    </w:tbl>
    <w:p>
      <w:pPr>
        <w:pStyle w:val="10"/>
        <w:spacing w:line="360" w:lineRule="auto"/>
        <w:jc w:val="center"/>
        <w:rPr>
          <w:rFonts w:hAnsi="宋体"/>
          <w:b/>
          <w:color w:val="000000"/>
          <w:sz w:val="28"/>
          <w:szCs w:val="28"/>
        </w:rPr>
      </w:pPr>
    </w:p>
    <w:p>
      <w:pPr>
        <w:pStyle w:val="10"/>
        <w:spacing w:line="360" w:lineRule="auto"/>
        <w:jc w:val="center"/>
        <w:rPr>
          <w:rFonts w:hAnsi="宋体"/>
          <w:b/>
          <w:color w:val="000000"/>
          <w:sz w:val="28"/>
          <w:szCs w:val="28"/>
        </w:rPr>
      </w:pPr>
    </w:p>
    <w:p>
      <w:pPr>
        <w:pStyle w:val="10"/>
        <w:spacing w:line="360" w:lineRule="auto"/>
        <w:jc w:val="center"/>
        <w:rPr>
          <w:rFonts w:hAnsi="宋体"/>
          <w:b/>
          <w:color w:val="000000"/>
          <w:sz w:val="28"/>
          <w:szCs w:val="28"/>
        </w:rPr>
      </w:pPr>
    </w:p>
    <w:p>
      <w:pPr>
        <w:pStyle w:val="10"/>
        <w:spacing w:line="360" w:lineRule="auto"/>
        <w:rPr>
          <w:rFonts w:hAnsi="宋体"/>
          <w:b/>
          <w:color w:val="000000"/>
          <w:sz w:val="28"/>
          <w:szCs w:val="28"/>
        </w:rPr>
      </w:pPr>
    </w:p>
    <w:p>
      <w:pPr>
        <w:pStyle w:val="10"/>
        <w:spacing w:line="360" w:lineRule="auto"/>
        <w:rPr>
          <w:rFonts w:hAnsi="宋体"/>
          <w:color w:val="000000"/>
          <w:sz w:val="28"/>
          <w:szCs w:val="28"/>
        </w:rPr>
      </w:pPr>
      <w:r>
        <w:rPr>
          <w:rFonts w:hint="eastAsia" w:hAnsi="宋体"/>
          <w:color w:val="000000"/>
          <w:sz w:val="28"/>
          <w:szCs w:val="28"/>
        </w:rPr>
        <w:t>授权代表签字：</w:t>
      </w:r>
      <w:r>
        <w:rPr>
          <w:rFonts w:hint="eastAsia" w:hAnsi="宋体"/>
          <w:color w:val="000000"/>
          <w:spacing w:val="15"/>
          <w:sz w:val="28"/>
          <w:szCs w:val="28"/>
        </w:rPr>
        <w:t>供应商（盖章）</w:t>
      </w:r>
    </w:p>
    <w:p>
      <w:pPr>
        <w:spacing w:line="360" w:lineRule="auto"/>
        <w:rPr>
          <w:rFonts w:ascii="宋体"/>
          <w:sz w:val="24"/>
        </w:rPr>
      </w:pPr>
    </w:p>
    <w:p>
      <w:pPr>
        <w:spacing w:line="360" w:lineRule="auto"/>
        <w:ind w:right="-122" w:rightChars="-58"/>
        <w:rPr>
          <w:rFonts w:ascii="宋体"/>
          <w:sz w:val="24"/>
        </w:rPr>
        <w:sectPr>
          <w:pgSz w:w="11906" w:h="16838"/>
          <w:pgMar w:top="1440" w:right="1797" w:bottom="1440" w:left="1797" w:header="851" w:footer="992" w:gutter="0"/>
          <w:cols w:space="720" w:num="1"/>
          <w:docGrid w:linePitch="312" w:charSpace="0"/>
        </w:sectPr>
      </w:pPr>
    </w:p>
    <w:p>
      <w:pPr>
        <w:spacing w:line="360" w:lineRule="auto"/>
        <w:ind w:firstLine="2891" w:firstLineChars="800"/>
        <w:rPr>
          <w:rFonts w:ascii="宋体" w:cs="宋体"/>
          <w:b/>
          <w:sz w:val="36"/>
          <w:szCs w:val="36"/>
        </w:rPr>
      </w:pPr>
      <w:r>
        <w:rPr>
          <w:rFonts w:hint="eastAsia" w:ascii="宋体" w:hAnsi="宋体" w:cs="宋体"/>
          <w:b/>
          <w:sz w:val="36"/>
          <w:szCs w:val="36"/>
        </w:rPr>
        <w:t>六资格的声明函</w:t>
      </w:r>
    </w:p>
    <w:p>
      <w:pPr>
        <w:pStyle w:val="46"/>
        <w:spacing w:line="336" w:lineRule="auto"/>
        <w:ind w:right="84" w:rightChars="40"/>
        <w:rPr>
          <w:rFonts w:ascii="宋体"/>
          <w:sz w:val="24"/>
          <w:szCs w:val="24"/>
        </w:rPr>
      </w:pPr>
      <w:r>
        <w:rPr>
          <w:rFonts w:hint="eastAsia" w:ascii="宋体" w:hAnsi="宋体"/>
          <w:sz w:val="24"/>
          <w:szCs w:val="24"/>
        </w:rPr>
        <w:t>铜仁市公共资源交易中心：</w:t>
      </w:r>
    </w:p>
    <w:p>
      <w:pPr>
        <w:pStyle w:val="46"/>
        <w:spacing w:line="336" w:lineRule="auto"/>
        <w:ind w:right="84" w:rightChars="40" w:firstLine="480" w:firstLineChars="200"/>
        <w:rPr>
          <w:rFonts w:ascii="宋体"/>
          <w:sz w:val="24"/>
          <w:szCs w:val="24"/>
        </w:rPr>
      </w:pPr>
      <w:r>
        <w:rPr>
          <w:rFonts w:hint="eastAsia" w:ascii="宋体" w:hAnsi="宋体"/>
          <w:sz w:val="24"/>
          <w:szCs w:val="24"/>
        </w:rPr>
        <w:t>关于贵方</w:t>
      </w:r>
      <w:r>
        <w:rPr>
          <w:rFonts w:hint="eastAsia" w:ascii="宋体" w:hAnsi="宋体"/>
          <w:sz w:val="24"/>
          <w:szCs w:val="24"/>
          <w:u w:val="single"/>
        </w:rPr>
        <w:t>　</w:t>
      </w:r>
      <w:r>
        <w:rPr>
          <w:rFonts w:ascii="宋体" w:hAnsi="宋体"/>
          <w:sz w:val="24"/>
          <w:szCs w:val="24"/>
          <w:u w:val="single"/>
        </w:rPr>
        <w:t xml:space="preserve"> </w:t>
      </w:r>
      <w:r>
        <w:rPr>
          <w:rFonts w:hint="eastAsia" w:ascii="宋体" w:hAnsi="宋体"/>
          <w:sz w:val="24"/>
          <w:szCs w:val="24"/>
          <w:u w:val="single"/>
        </w:rPr>
        <w:t>　</w:t>
      </w:r>
      <w:r>
        <w:rPr>
          <w:rFonts w:hint="eastAsia" w:ascii="宋体" w:hAnsi="宋体"/>
          <w:sz w:val="24"/>
          <w:szCs w:val="24"/>
        </w:rPr>
        <w:t>年</w:t>
      </w:r>
      <w:r>
        <w:rPr>
          <w:rFonts w:hint="eastAsia" w:ascii="宋体" w:hAnsi="宋体"/>
          <w:sz w:val="24"/>
          <w:szCs w:val="24"/>
          <w:u w:val="single"/>
        </w:rPr>
        <w:t>　　</w:t>
      </w:r>
      <w:r>
        <w:rPr>
          <w:rFonts w:hint="eastAsia" w:ascii="宋体" w:hAnsi="宋体"/>
          <w:sz w:val="24"/>
          <w:szCs w:val="24"/>
        </w:rPr>
        <w:t>月</w:t>
      </w:r>
      <w:r>
        <w:rPr>
          <w:rFonts w:hint="eastAsia" w:ascii="宋体" w:hAnsi="宋体"/>
          <w:sz w:val="24"/>
          <w:szCs w:val="24"/>
          <w:u w:val="single"/>
        </w:rPr>
        <w:t>　　</w:t>
      </w:r>
      <w:r>
        <w:rPr>
          <w:rFonts w:hint="eastAsia" w:ascii="宋体" w:hAnsi="宋体"/>
          <w:sz w:val="24"/>
          <w:szCs w:val="24"/>
        </w:rPr>
        <w:t>日发布关于“”（项目编号：）的采购公告，我方愿意参加谈判，并声明截至开标日：</w:t>
      </w:r>
    </w:p>
    <w:p>
      <w:pPr>
        <w:pStyle w:val="46"/>
        <w:spacing w:line="336" w:lineRule="auto"/>
        <w:ind w:right="84" w:rightChars="40" w:firstLine="480" w:firstLineChars="200"/>
        <w:rPr>
          <w:rFonts w:ascii="宋体"/>
          <w:sz w:val="24"/>
          <w:szCs w:val="24"/>
        </w:rPr>
      </w:pPr>
      <w:r>
        <w:rPr>
          <w:rFonts w:hint="eastAsia" w:ascii="宋体" w:hAnsi="宋体"/>
          <w:sz w:val="24"/>
          <w:szCs w:val="24"/>
        </w:rPr>
        <w:t>我方具备《中华人民共和国政府采购法》第二十二条所规定的条件，并已清楚采购文件的要求及有关文件规定。</w:t>
      </w:r>
    </w:p>
    <w:p>
      <w:pPr>
        <w:pStyle w:val="46"/>
        <w:spacing w:line="336" w:lineRule="auto"/>
        <w:ind w:right="84" w:rightChars="40" w:firstLine="480" w:firstLineChars="200"/>
        <w:rPr>
          <w:rFonts w:ascii="宋体"/>
          <w:sz w:val="24"/>
          <w:szCs w:val="24"/>
        </w:rPr>
      </w:pPr>
      <w:r>
        <w:rPr>
          <w:rFonts w:hint="eastAsia" w:ascii="宋体" w:hAnsi="宋体"/>
          <w:sz w:val="24"/>
          <w:szCs w:val="24"/>
        </w:rPr>
        <w:t>（一）</w:t>
      </w:r>
      <w:r>
        <w:rPr>
          <w:rFonts w:hint="eastAsia" w:hAnsi="宋体"/>
          <w:sz w:val="24"/>
          <w:szCs w:val="24"/>
        </w:rPr>
        <w:t>具有独立承担民事责任的能力，提供以下相关证照的原件扫描件（见附件）之一：</w:t>
      </w:r>
      <w:r>
        <w:rPr>
          <w:rFonts w:hAnsi="宋体"/>
          <w:sz w:val="24"/>
          <w:szCs w:val="24"/>
        </w:rPr>
        <w:t>1.</w:t>
      </w:r>
      <w:r>
        <w:rPr>
          <w:rFonts w:hint="eastAsia" w:hAnsi="宋体"/>
          <w:sz w:val="24"/>
          <w:szCs w:val="24"/>
        </w:rPr>
        <w:t>企业法人营业执照；</w:t>
      </w:r>
      <w:r>
        <w:rPr>
          <w:rFonts w:hAnsi="宋体"/>
          <w:sz w:val="24"/>
          <w:szCs w:val="24"/>
        </w:rPr>
        <w:t>2.</w:t>
      </w:r>
      <w:r>
        <w:rPr>
          <w:rFonts w:hint="eastAsia" w:hAnsi="宋体"/>
          <w:sz w:val="24"/>
          <w:szCs w:val="24"/>
        </w:rPr>
        <w:t>事业法人登记证；</w:t>
      </w:r>
      <w:r>
        <w:rPr>
          <w:rFonts w:hAnsi="宋体"/>
          <w:sz w:val="24"/>
          <w:szCs w:val="24"/>
        </w:rPr>
        <w:t>3.</w:t>
      </w:r>
      <w:r>
        <w:rPr>
          <w:rFonts w:hint="eastAsia" w:hAnsi="宋体"/>
          <w:sz w:val="24"/>
          <w:szCs w:val="24"/>
        </w:rPr>
        <w:t>其他组织的营业执照或执业许可证；</w:t>
      </w:r>
      <w:r>
        <w:rPr>
          <w:rFonts w:hAnsi="宋体"/>
          <w:sz w:val="24"/>
          <w:szCs w:val="24"/>
        </w:rPr>
        <w:t>4.</w:t>
      </w:r>
      <w:r>
        <w:rPr>
          <w:rFonts w:hint="eastAsia" w:hAnsi="宋体"/>
          <w:sz w:val="24"/>
          <w:szCs w:val="24"/>
        </w:rPr>
        <w:t>居民身份证等</w:t>
      </w:r>
      <w:r>
        <w:rPr>
          <w:rFonts w:hint="eastAsia" w:ascii="宋体" w:hAnsi="宋体"/>
          <w:sz w:val="24"/>
          <w:szCs w:val="24"/>
        </w:rPr>
        <w:t>；</w:t>
      </w:r>
    </w:p>
    <w:p>
      <w:pPr>
        <w:pStyle w:val="46"/>
        <w:spacing w:line="336" w:lineRule="auto"/>
        <w:ind w:right="84" w:rightChars="40" w:firstLine="480" w:firstLineChars="200"/>
        <w:rPr>
          <w:rFonts w:ascii="宋体"/>
          <w:sz w:val="24"/>
          <w:szCs w:val="24"/>
        </w:rPr>
      </w:pPr>
      <w:r>
        <w:rPr>
          <w:rFonts w:hint="eastAsia" w:ascii="宋体" w:hAnsi="宋体"/>
          <w:sz w:val="24"/>
          <w:szCs w:val="24"/>
        </w:rPr>
        <w:t>（二）具有良好的商业信誉和健全的财务会计制度；</w:t>
      </w:r>
    </w:p>
    <w:p>
      <w:pPr>
        <w:pStyle w:val="46"/>
        <w:spacing w:line="336" w:lineRule="auto"/>
        <w:ind w:right="84" w:rightChars="40" w:firstLine="480" w:firstLineChars="200"/>
        <w:rPr>
          <w:rFonts w:ascii="宋体"/>
          <w:sz w:val="24"/>
          <w:szCs w:val="24"/>
        </w:rPr>
      </w:pPr>
      <w:r>
        <w:rPr>
          <w:rFonts w:hint="eastAsia" w:ascii="宋体" w:hAnsi="宋体"/>
          <w:sz w:val="24"/>
          <w:szCs w:val="24"/>
        </w:rPr>
        <w:t>（三）具有履行合同所必需的设备和专业技术能力；</w:t>
      </w:r>
    </w:p>
    <w:p>
      <w:pPr>
        <w:pStyle w:val="46"/>
        <w:spacing w:line="336" w:lineRule="auto"/>
        <w:ind w:right="84" w:rightChars="40" w:firstLine="480" w:firstLineChars="200"/>
        <w:rPr>
          <w:rFonts w:ascii="宋体"/>
          <w:sz w:val="24"/>
          <w:szCs w:val="24"/>
        </w:rPr>
      </w:pPr>
      <w:r>
        <w:rPr>
          <w:rFonts w:hint="eastAsia" w:ascii="宋体" w:hAnsi="宋体"/>
          <w:sz w:val="24"/>
          <w:szCs w:val="24"/>
        </w:rPr>
        <w:t>（四）有依法缴纳税收和社会保障资金的良好记录；</w:t>
      </w:r>
    </w:p>
    <w:p>
      <w:pPr>
        <w:pStyle w:val="46"/>
        <w:spacing w:line="336" w:lineRule="auto"/>
        <w:ind w:right="84" w:rightChars="40" w:firstLine="480" w:firstLineChars="200"/>
        <w:rPr>
          <w:rFonts w:ascii="宋体"/>
          <w:sz w:val="24"/>
          <w:szCs w:val="24"/>
        </w:rPr>
      </w:pPr>
      <w:r>
        <w:rPr>
          <w:rFonts w:hint="eastAsia" w:ascii="宋体" w:hAnsi="宋体"/>
          <w:sz w:val="24"/>
          <w:szCs w:val="24"/>
        </w:rPr>
        <w:t>（五）参加政府采购活动前三年内，在经营活动中没有重大违法记录；</w:t>
      </w:r>
    </w:p>
    <w:p>
      <w:pPr>
        <w:pStyle w:val="46"/>
        <w:spacing w:line="336" w:lineRule="auto"/>
        <w:ind w:right="84" w:rightChars="40" w:firstLine="480" w:firstLineChars="200"/>
        <w:rPr>
          <w:rFonts w:ascii="宋体"/>
          <w:sz w:val="24"/>
          <w:szCs w:val="24"/>
        </w:rPr>
      </w:pPr>
      <w:r>
        <w:rPr>
          <w:rFonts w:hint="eastAsia" w:ascii="宋体" w:hAnsi="宋体"/>
          <w:sz w:val="24"/>
          <w:szCs w:val="24"/>
        </w:rPr>
        <w:t>（六）法律、行政法规规定的其他条件。</w:t>
      </w:r>
    </w:p>
    <w:p>
      <w:pPr>
        <w:pStyle w:val="46"/>
        <w:spacing w:line="336" w:lineRule="auto"/>
        <w:ind w:right="84" w:rightChars="40" w:firstLine="480" w:firstLineChars="200"/>
        <w:rPr>
          <w:rFonts w:ascii="宋体"/>
          <w:sz w:val="24"/>
          <w:szCs w:val="24"/>
        </w:rPr>
      </w:pPr>
      <w:r>
        <w:rPr>
          <w:rFonts w:hint="eastAsia" w:ascii="宋体" w:hAnsi="宋体"/>
          <w:sz w:val="24"/>
          <w:szCs w:val="24"/>
        </w:rPr>
        <w:t>本次采购活动中，如有违法、违规、弄虚作假行为，所造成的损失、不良后果及法律责任，一律由我方承担。</w:t>
      </w:r>
    </w:p>
    <w:p>
      <w:pPr>
        <w:pStyle w:val="46"/>
        <w:spacing w:line="336" w:lineRule="auto"/>
        <w:ind w:right="84" w:rightChars="40" w:firstLine="482" w:firstLineChars="200"/>
        <w:rPr>
          <w:rFonts w:ascii="宋体"/>
          <w:b/>
          <w:sz w:val="24"/>
          <w:szCs w:val="24"/>
        </w:rPr>
      </w:pPr>
      <w:r>
        <w:rPr>
          <w:rFonts w:hint="eastAsia" w:ascii="宋体" w:hAnsi="宋体"/>
          <w:b/>
          <w:sz w:val="24"/>
          <w:szCs w:val="24"/>
        </w:rPr>
        <w:t>特此声明！</w:t>
      </w:r>
    </w:p>
    <w:p>
      <w:pPr>
        <w:pStyle w:val="46"/>
        <w:spacing w:line="336" w:lineRule="auto"/>
        <w:ind w:right="84" w:rightChars="40"/>
        <w:rPr>
          <w:rFonts w:ascii="宋体"/>
          <w:sz w:val="24"/>
          <w:szCs w:val="24"/>
        </w:rPr>
      </w:pPr>
      <w:r>
        <w:rPr>
          <w:rFonts w:ascii="宋体" w:hAnsi="宋体"/>
          <w:sz w:val="24"/>
          <w:szCs w:val="24"/>
        </w:rPr>
        <w:t xml:space="preserve"> </w:t>
      </w:r>
    </w:p>
    <w:p>
      <w:pPr>
        <w:spacing w:line="360" w:lineRule="auto"/>
        <w:ind w:firstLine="3360" w:firstLineChars="1400"/>
        <w:rPr>
          <w:rFonts w:ascii="宋体" w:cs="宋体"/>
          <w:sz w:val="24"/>
          <w:szCs w:val="24"/>
        </w:rPr>
      </w:pPr>
      <w:r>
        <w:rPr>
          <w:rFonts w:hint="eastAsia" w:ascii="宋体" w:hAnsi="宋体" w:cs="宋体"/>
          <w:sz w:val="24"/>
          <w:szCs w:val="24"/>
        </w:rPr>
        <w:t>谈判响应供应商（全称并加盖公章）：</w:t>
      </w:r>
    </w:p>
    <w:p>
      <w:pPr>
        <w:pStyle w:val="46"/>
        <w:spacing w:line="336" w:lineRule="auto"/>
        <w:ind w:right="84" w:rightChars="40" w:firstLine="4080" w:firstLineChars="1700"/>
        <w:rPr>
          <w:rFonts w:ascii="宋体"/>
          <w:sz w:val="24"/>
          <w:szCs w:val="24"/>
        </w:rPr>
      </w:pPr>
      <w:r>
        <w:rPr>
          <w:rFonts w:hint="eastAsia" w:ascii="宋体" w:hAnsi="宋体"/>
          <w:sz w:val="24"/>
          <w:szCs w:val="24"/>
        </w:rPr>
        <w:t>日期：</w:t>
      </w:r>
      <w:r>
        <w:rPr>
          <w:rFonts w:ascii="宋体" w:hAnsi="宋体"/>
          <w:sz w:val="24"/>
          <w:szCs w:val="24"/>
        </w:rPr>
        <w:t xml:space="preserve">20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pStyle w:val="46"/>
        <w:spacing w:line="336" w:lineRule="auto"/>
        <w:ind w:right="84" w:rightChars="40"/>
        <w:rPr>
          <w:rFonts w:ascii="宋体"/>
          <w:sz w:val="24"/>
          <w:szCs w:val="24"/>
        </w:rPr>
      </w:pPr>
    </w:p>
    <w:p>
      <w:pPr>
        <w:pStyle w:val="46"/>
        <w:spacing w:line="336" w:lineRule="auto"/>
        <w:ind w:right="84" w:rightChars="40"/>
        <w:rPr>
          <w:rFonts w:ascii="宋体"/>
          <w:sz w:val="24"/>
          <w:szCs w:val="24"/>
        </w:rPr>
      </w:pPr>
    </w:p>
    <w:p>
      <w:pPr>
        <w:pStyle w:val="46"/>
        <w:spacing w:line="336" w:lineRule="auto"/>
        <w:ind w:right="84" w:rightChars="40"/>
        <w:rPr>
          <w:rFonts w:ascii="宋体"/>
          <w:sz w:val="24"/>
          <w:szCs w:val="24"/>
        </w:rPr>
      </w:pPr>
    </w:p>
    <w:p>
      <w:pPr>
        <w:pStyle w:val="46"/>
        <w:spacing w:line="336" w:lineRule="auto"/>
        <w:ind w:right="84" w:rightChars="40"/>
        <w:rPr>
          <w:rFonts w:ascii="宋体"/>
          <w:sz w:val="24"/>
          <w:szCs w:val="24"/>
        </w:rPr>
      </w:pPr>
      <w:r>
        <w:rPr>
          <w:rFonts w:hint="eastAsia" w:ascii="宋体" w:hAnsi="宋体"/>
          <w:sz w:val="24"/>
          <w:szCs w:val="24"/>
        </w:rPr>
        <w:t>说明：本格式文件内容不得擅自删改。</w:t>
      </w:r>
    </w:p>
    <w:p>
      <w:pPr>
        <w:spacing w:line="400" w:lineRule="exact"/>
        <w:jc w:val="center"/>
        <w:rPr>
          <w:rFonts w:ascii="宋体" w:cs="宋体"/>
          <w:b/>
          <w:bCs/>
          <w:sz w:val="24"/>
          <w:szCs w:val="24"/>
        </w:rPr>
      </w:pPr>
    </w:p>
    <w:p>
      <w:pPr>
        <w:spacing w:line="360" w:lineRule="auto"/>
        <w:jc w:val="center"/>
        <w:rPr>
          <w:rFonts w:ascii="宋体" w:cs="宋体"/>
          <w:b/>
          <w:bCs/>
          <w:sz w:val="36"/>
          <w:szCs w:val="36"/>
        </w:rPr>
      </w:pPr>
    </w:p>
    <w:p>
      <w:pPr>
        <w:spacing w:line="360" w:lineRule="auto"/>
        <w:jc w:val="center"/>
        <w:rPr>
          <w:rFonts w:ascii="宋体" w:cs="宋体"/>
          <w:b/>
          <w:bCs/>
          <w:sz w:val="36"/>
          <w:szCs w:val="36"/>
        </w:rPr>
      </w:pPr>
    </w:p>
    <w:p>
      <w:pPr>
        <w:spacing w:line="360" w:lineRule="auto"/>
        <w:jc w:val="center"/>
        <w:rPr>
          <w:rFonts w:ascii="宋体" w:cs="宋体"/>
          <w:b/>
          <w:bCs/>
          <w:sz w:val="36"/>
          <w:szCs w:val="36"/>
        </w:rPr>
      </w:pPr>
    </w:p>
    <w:p>
      <w:pPr>
        <w:spacing w:line="360" w:lineRule="auto"/>
        <w:rPr>
          <w:rFonts w:ascii="宋体" w:cs="宋体"/>
          <w:b/>
          <w:bCs/>
          <w:sz w:val="36"/>
          <w:szCs w:val="36"/>
        </w:rPr>
      </w:pPr>
    </w:p>
    <w:p>
      <w:pPr>
        <w:spacing w:line="360" w:lineRule="auto"/>
        <w:jc w:val="center"/>
        <w:rPr>
          <w:rFonts w:ascii="宋体" w:cs="宋体"/>
          <w:b/>
          <w:bCs/>
          <w:sz w:val="36"/>
          <w:szCs w:val="36"/>
        </w:rPr>
      </w:pPr>
      <w:r>
        <w:rPr>
          <w:rFonts w:hint="eastAsia" w:ascii="宋体" w:hAnsi="宋体" w:cs="宋体"/>
          <w:b/>
          <w:bCs/>
          <w:sz w:val="36"/>
          <w:szCs w:val="36"/>
        </w:rPr>
        <w:t>七法定代表人授权书</w:t>
      </w:r>
    </w:p>
    <w:p>
      <w:pPr>
        <w:spacing w:line="360" w:lineRule="auto"/>
        <w:jc w:val="center"/>
        <w:rPr>
          <w:rFonts w:ascii="宋体" w:cs="宋体"/>
          <w:bCs/>
          <w:sz w:val="28"/>
          <w:szCs w:val="28"/>
        </w:rPr>
      </w:pPr>
    </w:p>
    <w:p>
      <w:pPr>
        <w:spacing w:line="360" w:lineRule="auto"/>
        <w:rPr>
          <w:rFonts w:ascii="宋体" w:cs="宋体"/>
          <w:sz w:val="24"/>
          <w:szCs w:val="24"/>
        </w:rPr>
      </w:pPr>
      <w:r>
        <w:rPr>
          <w:rFonts w:hint="eastAsia" w:ascii="宋体" w:hAnsi="宋体" w:cs="宋体"/>
          <w:sz w:val="24"/>
          <w:szCs w:val="24"/>
          <w:u w:val="single"/>
        </w:rPr>
        <w:t>铜仁市公共资源交易中心</w:t>
      </w:r>
      <w:r>
        <w:rPr>
          <w:rFonts w:hint="eastAsia" w:ascii="宋体" w:hAnsi="宋体" w:cs="宋体"/>
          <w:sz w:val="24"/>
          <w:szCs w:val="24"/>
        </w:rPr>
        <w:t>：</w:t>
      </w:r>
    </w:p>
    <w:p>
      <w:pPr>
        <w:pStyle w:val="10"/>
        <w:snapToGrid w:val="0"/>
        <w:spacing w:line="360" w:lineRule="auto"/>
        <w:ind w:firstLine="480" w:firstLineChars="200"/>
        <w:jc w:val="left"/>
        <w:rPr>
          <w:rFonts w:cs="宋体"/>
          <w:sz w:val="24"/>
          <w:szCs w:val="24"/>
        </w:rPr>
      </w:pPr>
      <w:r>
        <w:rPr>
          <w:rFonts w:hint="eastAsia" w:hAnsi="宋体" w:cs="宋体"/>
          <w:sz w:val="24"/>
          <w:szCs w:val="24"/>
          <w:u w:val="single"/>
        </w:rPr>
        <w:t>（谈判响应供应商全称）</w:t>
      </w:r>
      <w:r>
        <w:rPr>
          <w:rFonts w:hint="eastAsia" w:hAnsi="宋体" w:cs="宋体"/>
          <w:sz w:val="24"/>
          <w:szCs w:val="24"/>
        </w:rPr>
        <w:t>法定代表人</w:t>
      </w:r>
      <w:r>
        <w:rPr>
          <w:rFonts w:hAnsi="宋体" w:cs="宋体"/>
          <w:sz w:val="24"/>
          <w:szCs w:val="24"/>
        </w:rPr>
        <w:t xml:space="preserve"> </w:t>
      </w:r>
      <w:r>
        <w:rPr>
          <w:rFonts w:hint="eastAsia" w:hAnsi="宋体" w:cs="宋体"/>
          <w:sz w:val="24"/>
          <w:szCs w:val="24"/>
        </w:rPr>
        <w:t>授权</w:t>
      </w:r>
      <w:r>
        <w:rPr>
          <w:rFonts w:hAnsi="宋体" w:cs="宋体"/>
          <w:sz w:val="24"/>
          <w:szCs w:val="24"/>
          <w:u w:val="single"/>
        </w:rPr>
        <w:t xml:space="preserve">  </w:t>
      </w:r>
      <w:r>
        <w:rPr>
          <w:rFonts w:hint="eastAsia" w:hAnsi="宋体" w:cs="宋体"/>
          <w:sz w:val="24"/>
          <w:szCs w:val="24"/>
          <w:u w:val="single"/>
        </w:rPr>
        <w:t>（谈判响应供应商代表姓名）</w:t>
      </w:r>
      <w:r>
        <w:rPr>
          <w:rFonts w:hint="eastAsia" w:hAnsi="宋体" w:cs="宋体"/>
          <w:sz w:val="24"/>
          <w:szCs w:val="24"/>
        </w:rPr>
        <w:t>为谈判响应供应商代表，代表本公司参加贵司组织的项目（项目编号）采购活动，全权代表本公司处理谈判响应过程的一切事宜，包括但不限于：（</w:t>
      </w:r>
      <w:r>
        <w:rPr>
          <w:rFonts w:hAnsi="宋体" w:cs="宋体"/>
          <w:sz w:val="24"/>
          <w:szCs w:val="24"/>
        </w:rPr>
        <w:t>1</w:t>
      </w:r>
      <w:r>
        <w:rPr>
          <w:rFonts w:hint="eastAsia" w:hAnsi="宋体" w:cs="宋体"/>
          <w:sz w:val="24"/>
          <w:szCs w:val="24"/>
        </w:rPr>
        <w:t>）签署、澄清、补正、修改、撤回、提交响应文件；（</w:t>
      </w:r>
      <w:r>
        <w:rPr>
          <w:rFonts w:hAnsi="宋体" w:cs="宋体"/>
          <w:sz w:val="24"/>
          <w:szCs w:val="24"/>
        </w:rPr>
        <w:t>2</w:t>
      </w:r>
      <w:r>
        <w:rPr>
          <w:rFonts w:hint="eastAsia" w:hAnsi="宋体" w:cs="宋体"/>
          <w:sz w:val="24"/>
          <w:szCs w:val="24"/>
        </w:rPr>
        <w:t>）签署并重新提交响应文件及报价；（</w:t>
      </w:r>
      <w:r>
        <w:rPr>
          <w:rFonts w:hAnsi="宋体" w:cs="宋体"/>
          <w:sz w:val="24"/>
          <w:szCs w:val="24"/>
        </w:rPr>
        <w:t>3</w:t>
      </w:r>
      <w:r>
        <w:rPr>
          <w:rFonts w:hint="eastAsia" w:hAnsi="宋体" w:cs="宋体"/>
          <w:sz w:val="24"/>
          <w:szCs w:val="24"/>
        </w:rPr>
        <w:t>）退出谈判；（</w:t>
      </w:r>
      <w:r>
        <w:rPr>
          <w:rFonts w:hAnsi="宋体" w:cs="宋体"/>
          <w:sz w:val="24"/>
          <w:szCs w:val="24"/>
        </w:rPr>
        <w:t>4</w:t>
      </w:r>
      <w:r>
        <w:rPr>
          <w:rFonts w:hint="eastAsia" w:hAnsi="宋体" w:cs="宋体"/>
          <w:sz w:val="24"/>
          <w:szCs w:val="24"/>
        </w:rPr>
        <w:t>）签订合同和处理有关事宜。供应商代表在采购过程中所签署的一切文件和处理与之有关的一切事务，本公司均予以认可并对此承担责任。供应商代表无转委托权。特此授权。</w:t>
      </w:r>
    </w:p>
    <w:p>
      <w:pPr>
        <w:pStyle w:val="10"/>
        <w:snapToGrid w:val="0"/>
        <w:spacing w:line="360" w:lineRule="auto"/>
        <w:ind w:firstLine="480" w:firstLineChars="200"/>
        <w:jc w:val="left"/>
        <w:rPr>
          <w:rFonts w:cs="宋体"/>
          <w:sz w:val="24"/>
          <w:szCs w:val="24"/>
        </w:rPr>
      </w:pPr>
      <w:r>
        <w:rPr>
          <w:rFonts w:hint="eastAsia" w:hAnsi="宋体" w:cs="宋体"/>
          <w:sz w:val="24"/>
          <w:szCs w:val="24"/>
        </w:rPr>
        <w:t>本授权书自出具之日起生效。</w:t>
      </w:r>
    </w:p>
    <w:p>
      <w:pPr>
        <w:spacing w:line="360" w:lineRule="auto"/>
        <w:rPr>
          <w:rFonts w:ascii="宋体" w:cs="宋体"/>
          <w:sz w:val="24"/>
          <w:szCs w:val="24"/>
        </w:rPr>
      </w:pPr>
      <w:r>
        <w:rPr>
          <w:rFonts w:hint="eastAsia" w:ascii="宋体" w:hAnsi="宋体" w:cs="宋体"/>
          <w:sz w:val="24"/>
          <w:szCs w:val="24"/>
        </w:rPr>
        <w:t>谈判响应供应商代表：</w:t>
      </w:r>
      <w:r>
        <w:rPr>
          <w:rFonts w:ascii="宋体" w:hAnsi="宋体" w:cs="宋体"/>
          <w:sz w:val="24"/>
          <w:szCs w:val="24"/>
        </w:rPr>
        <w:t xml:space="preserve">  </w:t>
      </w:r>
      <w:r>
        <w:rPr>
          <w:rFonts w:hint="eastAsia" w:ascii="宋体" w:hAnsi="宋体" w:cs="宋体"/>
          <w:sz w:val="24"/>
          <w:szCs w:val="24"/>
        </w:rPr>
        <w:t>性别：</w:t>
      </w:r>
      <w:r>
        <w:rPr>
          <w:rFonts w:ascii="宋体" w:hAnsi="宋体" w:cs="宋体"/>
          <w:sz w:val="24"/>
          <w:szCs w:val="24"/>
        </w:rPr>
        <w:t xml:space="preserve">  </w:t>
      </w:r>
      <w:r>
        <w:rPr>
          <w:rFonts w:hint="eastAsia" w:ascii="宋体" w:hAnsi="宋体" w:cs="宋体"/>
          <w:sz w:val="24"/>
          <w:szCs w:val="24"/>
        </w:rPr>
        <w:t>身份证号：</w:t>
      </w:r>
    </w:p>
    <w:p>
      <w:pPr>
        <w:spacing w:line="360" w:lineRule="auto"/>
        <w:rPr>
          <w:rFonts w:ascii="宋体" w:cs="宋体"/>
          <w:sz w:val="24"/>
          <w:szCs w:val="24"/>
        </w:rPr>
      </w:pPr>
      <w:r>
        <w:rPr>
          <w:rFonts w:hint="eastAsia" w:ascii="宋体" w:hAnsi="宋体" w:cs="宋体"/>
          <w:sz w:val="24"/>
          <w:szCs w:val="24"/>
        </w:rPr>
        <w:t>单位：</w:t>
      </w:r>
      <w:r>
        <w:rPr>
          <w:rFonts w:ascii="宋体" w:hAnsi="宋体" w:cs="宋体"/>
          <w:sz w:val="24"/>
          <w:szCs w:val="24"/>
        </w:rPr>
        <w:t xml:space="preserve">        </w:t>
      </w:r>
      <w:r>
        <w:rPr>
          <w:rFonts w:hint="eastAsia" w:ascii="宋体" w:hAnsi="宋体" w:cs="宋体"/>
          <w:sz w:val="24"/>
          <w:szCs w:val="24"/>
        </w:rPr>
        <w:t>部门：</w:t>
      </w:r>
      <w:r>
        <w:rPr>
          <w:rFonts w:ascii="宋体" w:hAnsi="宋体" w:cs="宋体"/>
          <w:sz w:val="24"/>
          <w:szCs w:val="24"/>
        </w:rPr>
        <w:t xml:space="preserve">          </w:t>
      </w:r>
      <w:r>
        <w:rPr>
          <w:rFonts w:hint="eastAsia" w:ascii="宋体" w:hAnsi="宋体" w:cs="宋体"/>
          <w:sz w:val="24"/>
          <w:szCs w:val="24"/>
        </w:rPr>
        <w:t>职务：</w:t>
      </w:r>
    </w:p>
    <w:p>
      <w:pPr>
        <w:spacing w:line="360" w:lineRule="auto"/>
        <w:rPr>
          <w:rFonts w:ascii="宋体" w:cs="宋体"/>
          <w:sz w:val="24"/>
          <w:szCs w:val="24"/>
          <w:u w:val="single"/>
        </w:rPr>
      </w:pPr>
      <w:r>
        <w:rPr>
          <w:rFonts w:hint="eastAsia" w:ascii="宋体" w:hAnsi="宋体" w:cs="宋体"/>
          <w:sz w:val="24"/>
          <w:szCs w:val="24"/>
        </w:rPr>
        <w:t>详细通讯地址：</w:t>
      </w:r>
      <w:r>
        <w:rPr>
          <w:rFonts w:ascii="宋体" w:hAnsi="宋体" w:cs="宋体"/>
          <w:sz w:val="24"/>
          <w:szCs w:val="24"/>
        </w:rPr>
        <w:t xml:space="preserve">   </w:t>
      </w:r>
      <w:r>
        <w:rPr>
          <w:rFonts w:hint="eastAsia" w:ascii="宋体" w:hAnsi="宋体" w:cs="宋体"/>
          <w:sz w:val="24"/>
          <w:szCs w:val="24"/>
        </w:rPr>
        <w:t>邮政编码</w:t>
      </w:r>
      <w:r>
        <w:rPr>
          <w:rFonts w:ascii="宋体" w:hAnsi="宋体" w:cs="宋体"/>
          <w:sz w:val="24"/>
          <w:szCs w:val="24"/>
        </w:rPr>
        <w:t xml:space="preserve">:    </w:t>
      </w:r>
      <w:r>
        <w:rPr>
          <w:rFonts w:hint="eastAsia" w:ascii="宋体" w:hAnsi="宋体" w:cs="宋体"/>
          <w:sz w:val="24"/>
          <w:szCs w:val="24"/>
        </w:rPr>
        <w:t>电话：</w:t>
      </w:r>
    </w:p>
    <w:p>
      <w:pPr>
        <w:spacing w:line="360" w:lineRule="auto"/>
        <w:rPr>
          <w:rFonts w:ascii="宋体" w:cs="宋体"/>
          <w:sz w:val="24"/>
          <w:szCs w:val="24"/>
        </w:rPr>
      </w:pPr>
      <w:r>
        <w:rPr>
          <w:rFonts w:hint="eastAsia" w:ascii="宋体" w:hAnsi="宋体" w:cs="宋体"/>
          <w:sz w:val="24"/>
          <w:szCs w:val="24"/>
        </w:rPr>
        <w:t>电子信箱：</w:t>
      </w:r>
    </w:p>
    <w:p>
      <w:pPr>
        <w:spacing w:line="360" w:lineRule="auto"/>
        <w:rPr>
          <w:rFonts w:ascii="宋体" w:cs="宋体"/>
          <w:sz w:val="24"/>
          <w:szCs w:val="24"/>
        </w:rPr>
      </w:pPr>
    </w:p>
    <w:p>
      <w:pPr>
        <w:spacing w:line="360" w:lineRule="auto"/>
        <w:rPr>
          <w:rFonts w:ascii="宋体" w:cs="宋体"/>
          <w:sz w:val="24"/>
          <w:szCs w:val="24"/>
        </w:rPr>
      </w:pPr>
      <w:r>
        <w:rPr>
          <w:rFonts w:hint="eastAsia" w:ascii="宋体" w:hAnsi="宋体" w:cs="宋体"/>
          <w:sz w:val="24"/>
          <w:szCs w:val="24"/>
        </w:rPr>
        <w:t>附：授权人身份证件（正反面）</w:t>
      </w:r>
    </w:p>
    <w:p>
      <w:pPr>
        <w:spacing w:line="360" w:lineRule="auto"/>
        <w:rPr>
          <w:rFonts w:ascii="宋体" w:cs="宋体"/>
          <w:sz w:val="24"/>
          <w:szCs w:val="24"/>
        </w:rPr>
      </w:pPr>
      <w:r>
        <w:rPr>
          <w:rFonts w:hint="eastAsia" w:ascii="宋体" w:hAnsi="宋体" w:cs="宋体"/>
          <w:sz w:val="24"/>
          <w:szCs w:val="24"/>
        </w:rPr>
        <w:t>被授权人身份证件（正反面）</w:t>
      </w:r>
    </w:p>
    <w:p>
      <w:pPr>
        <w:spacing w:line="360" w:lineRule="auto"/>
        <w:ind w:firstLine="4080" w:firstLineChars="1700"/>
        <w:rPr>
          <w:rFonts w:ascii="宋体" w:cs="宋体"/>
          <w:sz w:val="24"/>
          <w:szCs w:val="24"/>
        </w:rPr>
      </w:pPr>
      <w:r>
        <w:rPr>
          <w:rFonts w:hint="eastAsia" w:ascii="宋体" w:hAnsi="宋体" w:cs="宋体"/>
          <w:sz w:val="24"/>
          <w:szCs w:val="24"/>
        </w:rPr>
        <w:t>授权方</w:t>
      </w:r>
    </w:p>
    <w:p>
      <w:pPr>
        <w:spacing w:line="360" w:lineRule="auto"/>
        <w:ind w:firstLine="3960" w:firstLineChars="1650"/>
        <w:rPr>
          <w:rFonts w:ascii="宋体" w:cs="宋体"/>
          <w:sz w:val="24"/>
          <w:szCs w:val="24"/>
        </w:rPr>
      </w:pPr>
      <w:r>
        <w:rPr>
          <w:rFonts w:hint="eastAsia" w:ascii="宋体" w:hAnsi="宋体" w:cs="宋体"/>
          <w:sz w:val="24"/>
          <w:szCs w:val="24"/>
        </w:rPr>
        <w:t>谈判响应供应商（全称并加盖公章）：</w:t>
      </w:r>
    </w:p>
    <w:p>
      <w:pPr>
        <w:spacing w:line="360" w:lineRule="auto"/>
        <w:ind w:firstLine="3960" w:firstLineChars="1650"/>
        <w:rPr>
          <w:rFonts w:ascii="宋体" w:cs="宋体"/>
          <w:sz w:val="24"/>
          <w:szCs w:val="24"/>
        </w:rPr>
      </w:pPr>
      <w:r>
        <w:rPr>
          <w:rFonts w:hint="eastAsia" w:ascii="宋体" w:hAnsi="宋体" w:cs="宋体"/>
          <w:sz w:val="24"/>
          <w:szCs w:val="24"/>
        </w:rPr>
        <w:t>法定代表人签字：</w:t>
      </w:r>
    </w:p>
    <w:p>
      <w:pPr>
        <w:spacing w:line="360" w:lineRule="auto"/>
        <w:ind w:firstLine="4800" w:firstLineChars="2000"/>
        <w:rPr>
          <w:rFonts w:ascii="宋体" w:cs="宋体"/>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p>
    <w:p>
      <w:pPr>
        <w:spacing w:line="360" w:lineRule="auto"/>
        <w:rPr>
          <w:rFonts w:ascii="宋体" w:cs="宋体"/>
          <w:sz w:val="24"/>
          <w:szCs w:val="24"/>
        </w:rPr>
      </w:pPr>
    </w:p>
    <w:p>
      <w:pPr>
        <w:spacing w:line="360" w:lineRule="auto"/>
        <w:ind w:firstLine="4080" w:firstLineChars="1700"/>
        <w:rPr>
          <w:rFonts w:ascii="宋体" w:cs="宋体"/>
          <w:sz w:val="24"/>
          <w:szCs w:val="24"/>
        </w:rPr>
      </w:pPr>
      <w:r>
        <w:rPr>
          <w:rFonts w:hint="eastAsia" w:ascii="宋体" w:hAnsi="宋体" w:cs="宋体"/>
          <w:sz w:val="24"/>
          <w:szCs w:val="24"/>
        </w:rPr>
        <w:t>接受授权方</w:t>
      </w:r>
    </w:p>
    <w:p>
      <w:pPr>
        <w:spacing w:line="360" w:lineRule="auto"/>
        <w:ind w:firstLine="4800" w:firstLineChars="2000"/>
        <w:rPr>
          <w:rFonts w:ascii="宋体" w:cs="宋体"/>
          <w:sz w:val="24"/>
          <w:szCs w:val="24"/>
        </w:rPr>
      </w:pPr>
      <w:r>
        <w:rPr>
          <w:rFonts w:hint="eastAsia" w:ascii="宋体" w:hAnsi="宋体" w:cs="宋体"/>
          <w:sz w:val="24"/>
          <w:szCs w:val="24"/>
        </w:rPr>
        <w:t>谈判响应供应商代表签字：</w:t>
      </w:r>
    </w:p>
    <w:p>
      <w:pPr>
        <w:spacing w:line="360" w:lineRule="auto"/>
        <w:ind w:firstLine="4800" w:firstLineChars="2000"/>
        <w:rPr>
          <w:rFonts w:ascii="宋体" w:cs="宋体"/>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p>
    <w:p>
      <w:pPr>
        <w:spacing w:line="360" w:lineRule="auto"/>
        <w:rPr>
          <w:rFonts w:ascii="宋体" w:cs="宋体"/>
          <w:bCs/>
          <w:sz w:val="28"/>
          <w:szCs w:val="28"/>
        </w:rPr>
      </w:pPr>
    </w:p>
    <w:p>
      <w:pPr>
        <w:ind w:firstLine="1954" w:firstLineChars="695"/>
        <w:rPr>
          <w:rFonts w:ascii="宋体" w:cs="宋体"/>
          <w:b/>
          <w:sz w:val="28"/>
          <w:szCs w:val="28"/>
        </w:rPr>
      </w:pPr>
    </w:p>
    <w:p>
      <w:pPr>
        <w:ind w:firstLine="2512" w:firstLineChars="695"/>
        <w:rPr>
          <w:rFonts w:ascii="宋体" w:cs="宋体"/>
          <w:b/>
          <w:sz w:val="36"/>
          <w:szCs w:val="36"/>
        </w:rPr>
      </w:pPr>
      <w:r>
        <w:rPr>
          <w:rFonts w:hint="eastAsia" w:ascii="宋体" w:hAnsi="宋体" w:cs="宋体"/>
          <w:b/>
          <w:sz w:val="36"/>
          <w:szCs w:val="36"/>
        </w:rPr>
        <w:t>八</w:t>
      </w:r>
      <w:r>
        <w:rPr>
          <w:rFonts w:ascii="宋体" w:hAnsi="宋体" w:cs="宋体"/>
          <w:b/>
          <w:sz w:val="36"/>
          <w:szCs w:val="36"/>
        </w:rPr>
        <w:t xml:space="preserve"> </w:t>
      </w:r>
      <w:r>
        <w:rPr>
          <w:rFonts w:hint="eastAsia" w:ascii="宋体" w:hAnsi="宋体" w:cs="宋体"/>
          <w:b/>
          <w:sz w:val="36"/>
          <w:szCs w:val="36"/>
        </w:rPr>
        <w:t>资质文件要求</w:t>
      </w:r>
    </w:p>
    <w:p>
      <w:pPr>
        <w:pStyle w:val="10"/>
        <w:spacing w:line="360" w:lineRule="auto"/>
        <w:ind w:firstLine="840" w:firstLineChars="300"/>
        <w:rPr>
          <w:rFonts w:cs="宋体"/>
          <w:color w:val="000000"/>
          <w:sz w:val="28"/>
          <w:szCs w:val="28"/>
        </w:rPr>
      </w:pPr>
    </w:p>
    <w:p>
      <w:pPr>
        <w:pStyle w:val="10"/>
        <w:spacing w:line="360" w:lineRule="auto"/>
        <w:rPr>
          <w:rFonts w:cs="宋体"/>
          <w:b/>
          <w:color w:val="FF0000"/>
          <w:sz w:val="32"/>
          <w:szCs w:val="32"/>
        </w:rPr>
      </w:pPr>
      <w:r>
        <w:rPr>
          <w:rFonts w:hint="eastAsia" w:hAnsi="宋体" w:cs="宋体"/>
          <w:b/>
          <w:color w:val="FF0000"/>
          <w:sz w:val="32"/>
          <w:szCs w:val="32"/>
        </w:rPr>
        <w:t>以下资质文件的复印件需加盖鲜章装订在投标文件中：</w:t>
      </w:r>
    </w:p>
    <w:p>
      <w:pPr>
        <w:snapToGrid w:val="0"/>
        <w:spacing w:line="360" w:lineRule="auto"/>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）工商营业执照副本；</w:t>
      </w:r>
    </w:p>
    <w:p>
      <w:pPr>
        <w:snapToGrid w:val="0"/>
        <w:spacing w:line="360" w:lineRule="auto"/>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）税务登记证；（三证合一的，可不提供）</w:t>
      </w:r>
    </w:p>
    <w:p>
      <w:pPr>
        <w:snapToGrid w:val="0"/>
        <w:spacing w:line="360" w:lineRule="auto"/>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）组织机构代码证；（三证合一的，可不提供）</w:t>
      </w:r>
    </w:p>
    <w:p>
      <w:pPr>
        <w:snapToGrid w:val="0"/>
        <w:spacing w:line="360" w:lineRule="auto"/>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）法定代表人身份证或委托代理人持授权委托书及法人代表身份证、代理人身份证；</w:t>
      </w:r>
    </w:p>
    <w:p>
      <w:pPr>
        <w:snapToGrid w:val="0"/>
        <w:spacing w:line="360" w:lineRule="auto"/>
        <w:ind w:firstLine="480" w:firstLineChars="200"/>
        <w:rPr>
          <w:rFonts w:ascii="宋体" w:cs="宋体"/>
          <w:color w:val="333333"/>
          <w:sz w:val="22"/>
          <w:shd w:val="clear" w:color="auto" w:fill="FFFFFF"/>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w:t>
      </w:r>
      <w:r>
        <w:rPr>
          <w:rFonts w:hint="eastAsia" w:ascii="宋体" w:hAnsi="宋体" w:cs="宋体"/>
          <w:color w:val="333333"/>
          <w:sz w:val="22"/>
          <w:shd w:val="clear" w:color="auto" w:fill="FFFFFF"/>
        </w:rPr>
        <w:t>“信用中国”网站（</w:t>
      </w:r>
      <w:r>
        <w:rPr>
          <w:rFonts w:ascii="宋体" w:hAnsi="宋体" w:cs="宋体"/>
          <w:color w:val="333333"/>
          <w:sz w:val="22"/>
          <w:shd w:val="clear" w:color="auto" w:fill="FFFFFF"/>
        </w:rPr>
        <w:t xml:space="preserve">www.creditchina.gov.cn </w:t>
      </w:r>
      <w:r>
        <w:rPr>
          <w:rFonts w:hint="eastAsia" w:ascii="宋体" w:hAnsi="宋体" w:cs="宋体"/>
          <w:color w:val="333333"/>
          <w:sz w:val="22"/>
          <w:shd w:val="clear" w:color="auto" w:fill="FFFFFF"/>
        </w:rPr>
        <w:t>）和“中国政府采购网”中“政府采购严重违法失信行为记录名单”（</w:t>
      </w:r>
      <w:r>
        <w:rPr>
          <w:rFonts w:ascii="宋体" w:hAnsi="宋体" w:cs="宋体"/>
          <w:color w:val="333333"/>
          <w:sz w:val="22"/>
          <w:shd w:val="clear" w:color="auto" w:fill="FFFFFF"/>
        </w:rPr>
        <w:t xml:space="preserve">http://www.ccgp.gov.cn/search/cr/ </w:t>
      </w:r>
      <w:r>
        <w:rPr>
          <w:rFonts w:hint="eastAsia" w:ascii="宋体" w:hAnsi="宋体" w:cs="宋体"/>
          <w:color w:val="333333"/>
          <w:sz w:val="22"/>
          <w:shd w:val="clear" w:color="auto" w:fill="FFFFFF"/>
        </w:rPr>
        <w:t>）查询的信用记录情况（对列入失信被执行人、重大税收违法案件当事人名单、政府采购严重违法失信行为记录名单的供应商，应当拒绝其参与政府采购活动，如查询结果显示“没查到您要的信息”或“没有该企业的相关记录”，视为没有上述不良信用记录。）查询截止时间：报名时间至开标时间期间；信用信息查询记录和证据留存方式：投标人提供查询记录截图（制作于标书内）；</w:t>
      </w:r>
    </w:p>
    <w:p>
      <w:pPr>
        <w:snapToGrid w:val="0"/>
        <w:spacing w:line="360" w:lineRule="auto"/>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w:t>
      </w:r>
      <w:r>
        <w:rPr>
          <w:rFonts w:ascii="宋体" w:hAnsi="宋体" w:cs="宋体"/>
          <w:sz w:val="24"/>
          <w:szCs w:val="24"/>
        </w:rPr>
        <w:t>2019</w:t>
      </w:r>
      <w:r>
        <w:rPr>
          <w:rFonts w:hint="eastAsia" w:ascii="宋体" w:hAnsi="宋体" w:cs="宋体"/>
          <w:sz w:val="24"/>
          <w:szCs w:val="24"/>
        </w:rPr>
        <w:t>年任意一个月财务报表（含资产负债表及利润表）或银行资信证明或财务审计报告；</w:t>
      </w:r>
    </w:p>
    <w:p>
      <w:pPr>
        <w:snapToGrid w:val="0"/>
        <w:spacing w:line="360" w:lineRule="auto"/>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w:t>
      </w:r>
      <w:r>
        <w:rPr>
          <w:rFonts w:ascii="宋体" w:hAnsi="宋体" w:cs="宋体"/>
          <w:sz w:val="24"/>
          <w:szCs w:val="24"/>
        </w:rPr>
        <w:t>2019</w:t>
      </w:r>
      <w:r>
        <w:rPr>
          <w:rFonts w:hint="eastAsia" w:ascii="宋体" w:hAnsi="宋体" w:cs="宋体"/>
          <w:sz w:val="24"/>
          <w:szCs w:val="24"/>
        </w:rPr>
        <w:t>年任意一个月的缴纳社保的凭证；</w:t>
      </w:r>
    </w:p>
    <w:p>
      <w:pPr>
        <w:snapToGrid w:val="0"/>
        <w:spacing w:line="360" w:lineRule="auto"/>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w:t>
      </w:r>
      <w:r>
        <w:rPr>
          <w:rFonts w:ascii="宋体" w:hAnsi="宋体" w:cs="宋体"/>
          <w:sz w:val="24"/>
          <w:szCs w:val="24"/>
        </w:rPr>
        <w:t>2019</w:t>
      </w:r>
      <w:r>
        <w:rPr>
          <w:rFonts w:hint="eastAsia" w:ascii="宋体" w:hAnsi="宋体" w:cs="宋体"/>
          <w:sz w:val="24"/>
          <w:szCs w:val="24"/>
        </w:rPr>
        <w:t>年任意一个月的完税凭证。</w:t>
      </w:r>
    </w:p>
    <w:p>
      <w:pPr>
        <w:spacing w:line="360" w:lineRule="auto"/>
        <w:rPr>
          <w:rFonts w:ascii="宋体" w:cs="宋体"/>
          <w:sz w:val="24"/>
          <w:szCs w:val="24"/>
        </w:rPr>
      </w:pPr>
    </w:p>
    <w:p>
      <w:pPr>
        <w:spacing w:line="360" w:lineRule="auto"/>
        <w:rPr>
          <w:rFonts w:ascii="宋体" w:cs="宋体"/>
          <w:sz w:val="24"/>
          <w:szCs w:val="24"/>
        </w:rPr>
      </w:pPr>
    </w:p>
    <w:p>
      <w:pPr>
        <w:rPr>
          <w:rFonts w:ascii="宋体" w:cs="宋体"/>
          <w:sz w:val="24"/>
          <w:szCs w:val="24"/>
        </w:rPr>
      </w:pPr>
      <w:r>
        <w:rPr>
          <w:rFonts w:ascii="宋体" w:hAnsi="宋体" w:cs="宋体"/>
          <w:sz w:val="24"/>
          <w:szCs w:val="24"/>
        </w:rPr>
        <w:t xml:space="preserve">                        </w:t>
      </w:r>
    </w:p>
    <w:p>
      <w:pPr>
        <w:pStyle w:val="10"/>
        <w:rPr>
          <w:rFonts w:cs="宋体"/>
          <w:sz w:val="24"/>
          <w:szCs w:val="24"/>
        </w:rPr>
      </w:pPr>
    </w:p>
    <w:p>
      <w:pPr>
        <w:pStyle w:val="10"/>
        <w:rPr>
          <w:rFonts w:cs="宋体"/>
          <w:sz w:val="24"/>
          <w:szCs w:val="24"/>
        </w:rPr>
      </w:pPr>
    </w:p>
    <w:p>
      <w:pPr>
        <w:pStyle w:val="10"/>
        <w:rPr>
          <w:rFonts w:cs="宋体"/>
          <w:sz w:val="24"/>
          <w:szCs w:val="24"/>
        </w:rPr>
      </w:pPr>
    </w:p>
    <w:p>
      <w:pPr>
        <w:pStyle w:val="10"/>
        <w:rPr>
          <w:rFonts w:cs="宋体"/>
          <w:sz w:val="24"/>
          <w:szCs w:val="24"/>
        </w:rPr>
      </w:pPr>
    </w:p>
    <w:p>
      <w:pPr>
        <w:pStyle w:val="10"/>
        <w:rPr>
          <w:rFonts w:cs="宋体"/>
          <w:sz w:val="24"/>
          <w:szCs w:val="24"/>
        </w:rPr>
      </w:pPr>
    </w:p>
    <w:p>
      <w:pPr>
        <w:pStyle w:val="10"/>
        <w:rPr>
          <w:rFonts w:cs="宋体"/>
          <w:sz w:val="24"/>
          <w:szCs w:val="24"/>
        </w:rPr>
      </w:pPr>
    </w:p>
    <w:p>
      <w:pPr>
        <w:pStyle w:val="10"/>
        <w:rPr>
          <w:rFonts w:cs="宋体"/>
          <w:sz w:val="24"/>
          <w:szCs w:val="24"/>
        </w:rPr>
      </w:pPr>
    </w:p>
    <w:p>
      <w:pPr>
        <w:pStyle w:val="10"/>
        <w:rPr>
          <w:rFonts w:cs="宋体"/>
          <w:sz w:val="24"/>
          <w:szCs w:val="24"/>
        </w:rPr>
      </w:pPr>
    </w:p>
    <w:p>
      <w:pPr>
        <w:pStyle w:val="10"/>
        <w:rPr>
          <w:rFonts w:cs="宋体"/>
          <w:sz w:val="24"/>
          <w:szCs w:val="24"/>
        </w:rPr>
      </w:pPr>
    </w:p>
    <w:p>
      <w:pPr>
        <w:pStyle w:val="10"/>
        <w:rPr>
          <w:rFonts w:cs="宋体"/>
          <w:sz w:val="24"/>
          <w:szCs w:val="24"/>
        </w:rPr>
      </w:pPr>
    </w:p>
    <w:p>
      <w:pPr>
        <w:jc w:val="center"/>
        <w:rPr>
          <w:rFonts w:ascii="宋体"/>
          <w:b/>
          <w:color w:val="000000"/>
          <w:sz w:val="44"/>
          <w:szCs w:val="44"/>
        </w:rPr>
      </w:pPr>
      <w:r>
        <w:rPr>
          <w:rFonts w:hint="eastAsia" w:ascii="宋体" w:hAnsi="宋体"/>
          <w:b/>
          <w:color w:val="000000"/>
          <w:sz w:val="32"/>
          <w:szCs w:val="32"/>
        </w:rPr>
        <w:t>九售后服务承诺及方案</w:t>
      </w:r>
    </w:p>
    <w:p>
      <w:pPr>
        <w:spacing w:before="100" w:beforeAutospacing="1" w:after="100" w:afterAutospacing="1" w:line="360" w:lineRule="auto"/>
        <w:rPr>
          <w:rFonts w:asci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）售后服务承诺</w:t>
      </w:r>
    </w:p>
    <w:p>
      <w:pPr>
        <w:spacing w:before="100" w:beforeAutospacing="1" w:after="100" w:afterAutospacing="1" w:line="360" w:lineRule="auto"/>
        <w:rPr>
          <w:rFonts w:asci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）质量保证承诺书</w:t>
      </w:r>
    </w:p>
    <w:p>
      <w:pPr>
        <w:autoSpaceDE w:val="0"/>
        <w:autoSpaceDN w:val="0"/>
        <w:adjustRightInd w:val="0"/>
        <w:rPr>
          <w:rFonts w:asci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3</w:t>
      </w:r>
      <w:r>
        <w:rPr>
          <w:rFonts w:hint="eastAsia" w:ascii="宋体" w:hAnsi="宋体" w:cs="宋体"/>
          <w:color w:val="000000"/>
          <w:sz w:val="24"/>
          <w:szCs w:val="24"/>
        </w:rPr>
        <w:t>）按照国家验收标准执行</w:t>
      </w:r>
    </w:p>
    <w:p>
      <w:pPr>
        <w:spacing w:before="100" w:beforeAutospacing="1" w:after="100" w:afterAutospacing="1" w:line="360" w:lineRule="auto"/>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u w:val="single"/>
        </w:rPr>
      </w:pPr>
      <w:r>
        <w:rPr>
          <w:rFonts w:hint="eastAsia" w:ascii="宋体" w:hAnsi="宋体" w:cs="宋体"/>
          <w:color w:val="000000"/>
          <w:sz w:val="24"/>
          <w:szCs w:val="24"/>
        </w:rPr>
        <w:t>投标单位（盖章）：</w:t>
      </w:r>
    </w:p>
    <w:p>
      <w:pPr>
        <w:autoSpaceDE w:val="0"/>
        <w:autoSpaceDN w:val="0"/>
        <w:adjustRightInd w:val="0"/>
        <w:jc w:val="center"/>
        <w:rPr>
          <w:rFonts w:ascii="宋体" w:cs="宋体"/>
          <w:color w:val="000000"/>
          <w:sz w:val="24"/>
          <w:szCs w:val="24"/>
        </w:rPr>
      </w:pPr>
    </w:p>
    <w:p>
      <w:pPr>
        <w:autoSpaceDE w:val="0"/>
        <w:autoSpaceDN w:val="0"/>
        <w:adjustRightInd w:val="0"/>
        <w:jc w:val="center"/>
        <w:rPr>
          <w:rFonts w:ascii="宋体" w:cs="宋体"/>
          <w:color w:val="000000"/>
          <w:sz w:val="24"/>
          <w:szCs w:val="24"/>
          <w:u w:val="single"/>
        </w:rPr>
      </w:pPr>
      <w:r>
        <w:rPr>
          <w:rFonts w:hint="eastAsia" w:ascii="宋体" w:hAnsi="宋体" w:cs="宋体"/>
          <w:color w:val="000000"/>
          <w:sz w:val="24"/>
          <w:szCs w:val="24"/>
        </w:rPr>
        <w:t>法定代表（签字）：</w:t>
      </w:r>
    </w:p>
    <w:p>
      <w:pPr>
        <w:autoSpaceDE w:val="0"/>
        <w:autoSpaceDN w:val="0"/>
        <w:adjustRightInd w:val="0"/>
        <w:jc w:val="center"/>
        <w:rPr>
          <w:rFonts w:ascii="宋体" w:cs="宋体"/>
          <w:color w:val="000000"/>
          <w:sz w:val="24"/>
          <w:szCs w:val="24"/>
          <w:u w:val="single"/>
        </w:rPr>
      </w:pPr>
    </w:p>
    <w:p>
      <w:pPr>
        <w:ind w:firstLine="3000" w:firstLineChars="1250"/>
        <w:rPr>
          <w:rFonts w:ascii="宋体" w:cs="宋体"/>
          <w:color w:val="000000"/>
          <w:sz w:val="24"/>
          <w:szCs w:val="24"/>
        </w:rPr>
      </w:pPr>
      <w:r>
        <w:rPr>
          <w:rFonts w:hint="eastAsia" w:ascii="宋体" w:hAnsi="宋体" w:cs="宋体"/>
          <w:color w:val="000000"/>
          <w:sz w:val="24"/>
          <w:szCs w:val="24"/>
        </w:rPr>
        <w:t>日期：</w:t>
      </w:r>
      <w:r>
        <w:rPr>
          <w:rFonts w:ascii="宋体" w:hAnsi="宋体" w:cs="宋体"/>
          <w:color w:val="000000"/>
          <w:sz w:val="24"/>
          <w:szCs w:val="24"/>
        </w:rPr>
        <w:t xml:space="preserve">   </w:t>
      </w:r>
      <w:r>
        <w:rPr>
          <w:rFonts w:hint="eastAsia" w:ascii="宋体" w:hAnsi="宋体" w:cs="宋体"/>
          <w:color w:val="000000"/>
          <w:sz w:val="24"/>
          <w:szCs w:val="24"/>
        </w:rPr>
        <w:t>年</w:t>
      </w:r>
      <w:r>
        <w:rPr>
          <w:rFonts w:ascii="宋体" w:hAnsi="宋体" w:cs="宋体"/>
          <w:color w:val="000000"/>
          <w:sz w:val="24"/>
          <w:szCs w:val="24"/>
        </w:rPr>
        <w:t xml:space="preserve">  </w:t>
      </w:r>
      <w:r>
        <w:rPr>
          <w:rFonts w:hint="eastAsia" w:ascii="宋体" w:hAnsi="宋体" w:cs="宋体"/>
          <w:color w:val="000000"/>
          <w:sz w:val="24"/>
          <w:szCs w:val="24"/>
        </w:rPr>
        <w:t>月</w:t>
      </w:r>
      <w:r>
        <w:rPr>
          <w:rFonts w:ascii="宋体" w:hAnsi="宋体" w:cs="宋体"/>
          <w:color w:val="000000"/>
          <w:sz w:val="24"/>
          <w:szCs w:val="24"/>
        </w:rPr>
        <w:t xml:space="preserve">  </w:t>
      </w:r>
      <w:r>
        <w:rPr>
          <w:rFonts w:hint="eastAsia" w:ascii="宋体" w:hAnsi="宋体" w:cs="宋体"/>
          <w:color w:val="000000"/>
          <w:sz w:val="24"/>
          <w:szCs w:val="24"/>
        </w:rPr>
        <w:t>日</w:t>
      </w:r>
    </w:p>
    <w:p>
      <w:pPr>
        <w:tabs>
          <w:tab w:val="left" w:pos="2100"/>
          <w:tab w:val="center" w:pos="4201"/>
        </w:tabs>
        <w:spacing w:line="360" w:lineRule="auto"/>
        <w:ind w:firstLine="723" w:firstLineChars="300"/>
        <w:jc w:val="left"/>
        <w:rPr>
          <w:rFonts w:ascii="宋体" w:cs="宋体"/>
          <w:b/>
          <w:bCs/>
          <w:sz w:val="24"/>
          <w:szCs w:val="24"/>
        </w:rPr>
      </w:pPr>
    </w:p>
    <w:p>
      <w:pPr>
        <w:tabs>
          <w:tab w:val="left" w:pos="2100"/>
          <w:tab w:val="center" w:pos="4201"/>
        </w:tabs>
        <w:spacing w:line="360" w:lineRule="auto"/>
        <w:ind w:firstLine="723" w:firstLineChars="300"/>
        <w:jc w:val="left"/>
        <w:rPr>
          <w:rFonts w:ascii="宋体" w:cs="宋体"/>
          <w:b/>
          <w:bCs/>
          <w:sz w:val="24"/>
          <w:szCs w:val="24"/>
        </w:rPr>
      </w:pPr>
    </w:p>
    <w:p>
      <w:pPr>
        <w:spacing w:line="360" w:lineRule="auto"/>
        <w:jc w:val="center"/>
        <w:rPr>
          <w:rFonts w:ascii="宋体" w:cs="宋体"/>
          <w:b/>
          <w:bCs/>
          <w:sz w:val="36"/>
          <w:szCs w:val="36"/>
        </w:rPr>
      </w:pPr>
      <w:r>
        <w:rPr>
          <w:rFonts w:ascii="宋体" w:cs="宋体"/>
          <w:b/>
          <w:bCs/>
          <w:sz w:val="36"/>
          <w:szCs w:val="36"/>
        </w:rPr>
        <w:br w:type="page"/>
      </w:r>
    </w:p>
    <w:p>
      <w:pPr>
        <w:spacing w:line="360" w:lineRule="auto"/>
        <w:jc w:val="center"/>
        <w:rPr>
          <w:rFonts w:ascii="宋体" w:cs="宋体"/>
          <w:b/>
          <w:sz w:val="36"/>
          <w:szCs w:val="36"/>
        </w:rPr>
      </w:pPr>
      <w:r>
        <w:rPr>
          <w:rFonts w:hint="eastAsia" w:ascii="宋体" w:hAnsi="宋体" w:cs="宋体"/>
          <w:b/>
          <w:bCs/>
          <w:sz w:val="36"/>
          <w:szCs w:val="36"/>
        </w:rPr>
        <w:t>十</w:t>
      </w:r>
      <w:r>
        <w:rPr>
          <w:rFonts w:hint="eastAsia" w:ascii="宋体" w:hAnsi="宋体" w:cs="宋体"/>
          <w:b/>
          <w:sz w:val="36"/>
          <w:szCs w:val="36"/>
        </w:rPr>
        <w:t>中小企业声明函</w:t>
      </w:r>
    </w:p>
    <w:p>
      <w:pPr>
        <w:spacing w:line="360" w:lineRule="auto"/>
        <w:ind w:firstLine="560" w:firstLineChars="200"/>
        <w:rPr>
          <w:rFonts w:ascii="宋体" w:cs="宋体"/>
          <w:sz w:val="28"/>
          <w:szCs w:val="28"/>
        </w:rPr>
      </w:pPr>
    </w:p>
    <w:p>
      <w:pPr>
        <w:spacing w:line="360" w:lineRule="auto"/>
        <w:ind w:firstLine="480" w:firstLineChars="200"/>
        <w:rPr>
          <w:rFonts w:ascii="宋体" w:cs="宋体"/>
          <w:sz w:val="24"/>
          <w:szCs w:val="24"/>
        </w:rPr>
      </w:pPr>
      <w:r>
        <w:rPr>
          <w:rFonts w:hint="eastAsia" w:ascii="宋体" w:hAnsi="宋体" w:cs="宋体"/>
          <w:sz w:val="24"/>
          <w:szCs w:val="24"/>
        </w:rPr>
        <w:t>本公司郑重声明，根据《政府采购促进中小企业发展暂行办法》（财库〔</w:t>
      </w:r>
      <w:r>
        <w:rPr>
          <w:rFonts w:ascii="宋体" w:hAnsi="宋体" w:cs="宋体"/>
          <w:sz w:val="24"/>
          <w:szCs w:val="24"/>
        </w:rPr>
        <w:t>2011</w:t>
      </w:r>
      <w:r>
        <w:rPr>
          <w:rFonts w:hint="eastAsia" w:ascii="宋体" w:hAnsi="宋体" w:cs="宋体"/>
          <w:sz w:val="24"/>
          <w:szCs w:val="24"/>
        </w:rPr>
        <w:t>〕</w:t>
      </w:r>
      <w:r>
        <w:rPr>
          <w:rFonts w:ascii="宋体" w:hAnsi="宋体" w:cs="宋体"/>
          <w:sz w:val="24"/>
          <w:szCs w:val="24"/>
        </w:rPr>
        <w:t>181</w:t>
      </w:r>
      <w:r>
        <w:rPr>
          <w:rFonts w:hint="eastAsia" w:ascii="宋体" w:hAnsi="宋体" w:cs="宋体"/>
          <w:sz w:val="24"/>
          <w:szCs w:val="24"/>
        </w:rPr>
        <w:t>号）的规定，本公司为（请填写：中型、小型、微型）企业。即，本公司同时满足以下条件：</w:t>
      </w:r>
    </w:p>
    <w:p>
      <w:pPr>
        <w:spacing w:line="360"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根据《工业和信息化部、国家统计局、国家发展和改革委员会、财政部关于印发中小企业划型标准规定的通知》（工信部联企业〔</w:t>
      </w:r>
      <w:r>
        <w:rPr>
          <w:rFonts w:ascii="宋体" w:hAnsi="宋体" w:cs="宋体"/>
          <w:sz w:val="24"/>
          <w:szCs w:val="24"/>
        </w:rPr>
        <w:t>2011</w:t>
      </w:r>
      <w:r>
        <w:rPr>
          <w:rFonts w:hint="eastAsia" w:ascii="宋体" w:hAnsi="宋体" w:cs="宋体"/>
          <w:sz w:val="24"/>
          <w:szCs w:val="24"/>
        </w:rPr>
        <w:t>〕</w:t>
      </w:r>
      <w:r>
        <w:rPr>
          <w:rFonts w:ascii="宋体" w:hAnsi="宋体" w:cs="宋体"/>
          <w:sz w:val="24"/>
          <w:szCs w:val="24"/>
        </w:rPr>
        <w:t>300</w:t>
      </w:r>
      <w:r>
        <w:rPr>
          <w:rFonts w:hint="eastAsia" w:ascii="宋体" w:hAnsi="宋体" w:cs="宋体"/>
          <w:sz w:val="24"/>
          <w:szCs w:val="24"/>
        </w:rPr>
        <w:t>号）规定的划分标准，本公司为（请填写：中型、小型、微型）企业。</w:t>
      </w:r>
    </w:p>
    <w:p>
      <w:pPr>
        <w:spacing w:line="360" w:lineRule="auto"/>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本公司参加单位的项目采购活动提供本企业制造的货物，由本企业承担工程、提供服务，或者提供其他（请填写：中型、小型、微型）企业制造的货物（详见《报价明细表》）。本条所称货物不包括使用大型企业注册商标的货物。</w:t>
      </w:r>
    </w:p>
    <w:p>
      <w:pPr>
        <w:spacing w:line="360" w:lineRule="auto"/>
        <w:ind w:firstLine="480" w:firstLineChars="200"/>
        <w:rPr>
          <w:rFonts w:ascii="宋体" w:cs="宋体"/>
          <w:sz w:val="24"/>
          <w:szCs w:val="24"/>
        </w:rPr>
      </w:pPr>
      <w:r>
        <w:rPr>
          <w:rFonts w:hint="eastAsia" w:ascii="宋体" w:hAnsi="宋体" w:cs="宋体"/>
          <w:sz w:val="24"/>
          <w:szCs w:val="24"/>
        </w:rPr>
        <w:t>本公司对上述声明的真实性负责。如有虚假，将依法承担响应的责任。</w:t>
      </w:r>
      <w:r>
        <w:rPr>
          <w:rFonts w:ascii="宋体" w:hAnsi="宋体" w:cs="宋体"/>
          <w:sz w:val="24"/>
          <w:szCs w:val="24"/>
        </w:rPr>
        <w:t xml:space="preserve"> </w:t>
      </w:r>
    </w:p>
    <w:p>
      <w:pPr>
        <w:spacing w:line="360" w:lineRule="auto"/>
        <w:ind w:firstLine="435"/>
        <w:rPr>
          <w:rFonts w:ascii="宋体" w:cs="宋体"/>
          <w:sz w:val="24"/>
          <w:szCs w:val="24"/>
        </w:rPr>
      </w:pPr>
    </w:p>
    <w:p>
      <w:pPr>
        <w:spacing w:line="360" w:lineRule="auto"/>
        <w:ind w:firstLine="435"/>
        <w:rPr>
          <w:rFonts w:ascii="宋体" w:cs="宋体"/>
          <w:sz w:val="24"/>
          <w:szCs w:val="24"/>
        </w:rPr>
      </w:pPr>
    </w:p>
    <w:p>
      <w:pPr>
        <w:spacing w:line="360" w:lineRule="auto"/>
        <w:rPr>
          <w:rFonts w:ascii="宋体" w:cs="宋体"/>
          <w:sz w:val="24"/>
          <w:szCs w:val="24"/>
        </w:rPr>
      </w:pPr>
    </w:p>
    <w:p>
      <w:pPr>
        <w:spacing w:line="360" w:lineRule="auto"/>
        <w:ind w:firstLine="2772" w:firstLineChars="1155"/>
        <w:jc w:val="right"/>
        <w:rPr>
          <w:rFonts w:ascii="宋体" w:cs="宋体"/>
          <w:sz w:val="24"/>
          <w:szCs w:val="24"/>
        </w:rPr>
      </w:pPr>
      <w:r>
        <w:rPr>
          <w:rFonts w:hint="eastAsia" w:ascii="宋体" w:hAnsi="宋体" w:cs="宋体"/>
          <w:sz w:val="24"/>
          <w:szCs w:val="24"/>
        </w:rPr>
        <w:t>谈判响应供应商名称（盖章）：</w:t>
      </w:r>
    </w:p>
    <w:p>
      <w:pPr>
        <w:spacing w:line="360" w:lineRule="auto"/>
        <w:ind w:firstLine="435"/>
        <w:jc w:val="right"/>
        <w:rPr>
          <w:rFonts w:ascii="宋体" w:cs="宋体"/>
          <w:sz w:val="24"/>
          <w:szCs w:val="24"/>
        </w:rPr>
      </w:pPr>
      <w:r>
        <w:rPr>
          <w:rFonts w:ascii="宋体" w:hAnsi="宋体" w:cs="宋体"/>
          <w:sz w:val="24"/>
          <w:szCs w:val="24"/>
        </w:rPr>
        <w:t xml:space="preserve">                    </w:t>
      </w:r>
      <w:r>
        <w:rPr>
          <w:rFonts w:hint="eastAsia" w:ascii="宋体" w:hAnsi="宋体" w:cs="宋体"/>
          <w:sz w:val="24"/>
          <w:szCs w:val="24"/>
        </w:rPr>
        <w:t>日期：</w:t>
      </w:r>
    </w:p>
    <w:p>
      <w:pPr>
        <w:pStyle w:val="47"/>
        <w:spacing w:line="360" w:lineRule="auto"/>
        <w:jc w:val="center"/>
        <w:rPr>
          <w:rFonts w:ascii="宋体"/>
          <w:b/>
          <w:spacing w:val="6"/>
          <w:sz w:val="28"/>
          <w:szCs w:val="28"/>
        </w:rPr>
      </w:pPr>
    </w:p>
    <w:p>
      <w:pPr>
        <w:pStyle w:val="47"/>
        <w:spacing w:line="360" w:lineRule="auto"/>
        <w:jc w:val="center"/>
        <w:rPr>
          <w:rFonts w:ascii="宋体"/>
          <w:b/>
          <w:spacing w:val="6"/>
          <w:sz w:val="28"/>
          <w:szCs w:val="28"/>
        </w:rPr>
      </w:pPr>
    </w:p>
    <w:p>
      <w:pPr>
        <w:pStyle w:val="47"/>
        <w:spacing w:line="360" w:lineRule="auto"/>
        <w:jc w:val="center"/>
        <w:rPr>
          <w:rFonts w:ascii="宋体"/>
          <w:b/>
          <w:spacing w:val="6"/>
          <w:sz w:val="28"/>
          <w:szCs w:val="28"/>
        </w:rPr>
      </w:pPr>
    </w:p>
    <w:p>
      <w:pPr>
        <w:pStyle w:val="47"/>
        <w:spacing w:line="360" w:lineRule="auto"/>
        <w:jc w:val="center"/>
        <w:rPr>
          <w:rFonts w:ascii="宋体"/>
          <w:b/>
          <w:spacing w:val="6"/>
          <w:sz w:val="28"/>
          <w:szCs w:val="28"/>
        </w:rPr>
      </w:pPr>
    </w:p>
    <w:p>
      <w:pPr>
        <w:pStyle w:val="47"/>
        <w:spacing w:line="360" w:lineRule="auto"/>
        <w:jc w:val="center"/>
        <w:rPr>
          <w:rFonts w:ascii="宋体"/>
          <w:b/>
          <w:spacing w:val="6"/>
          <w:sz w:val="28"/>
          <w:szCs w:val="28"/>
        </w:rPr>
      </w:pPr>
    </w:p>
    <w:p>
      <w:pPr>
        <w:pStyle w:val="47"/>
        <w:spacing w:line="360" w:lineRule="auto"/>
        <w:jc w:val="center"/>
        <w:rPr>
          <w:rFonts w:ascii="宋体"/>
          <w:b/>
          <w:spacing w:val="6"/>
          <w:sz w:val="28"/>
          <w:szCs w:val="28"/>
        </w:rPr>
      </w:pPr>
      <w:r>
        <w:rPr>
          <w:rFonts w:hint="eastAsia" w:ascii="宋体" w:hAnsi="宋体"/>
          <w:b/>
          <w:spacing w:val="6"/>
          <w:sz w:val="28"/>
          <w:szCs w:val="28"/>
        </w:rPr>
        <w:t>备注：如不是享受此优惠，响应文件可以不做此项。</w:t>
      </w:r>
    </w:p>
    <w:p>
      <w:pPr>
        <w:pStyle w:val="47"/>
        <w:spacing w:line="360" w:lineRule="auto"/>
        <w:jc w:val="center"/>
        <w:rPr>
          <w:rFonts w:ascii="宋体"/>
          <w:b/>
          <w:spacing w:val="6"/>
          <w:sz w:val="28"/>
          <w:szCs w:val="28"/>
        </w:rPr>
      </w:pPr>
    </w:p>
    <w:p>
      <w:pPr>
        <w:widowControl/>
        <w:jc w:val="left"/>
        <w:rPr>
          <w:rFonts w:ascii="宋体"/>
          <w:b/>
          <w:spacing w:val="6"/>
          <w:kern w:val="0"/>
          <w:sz w:val="28"/>
          <w:szCs w:val="28"/>
        </w:rPr>
      </w:pPr>
      <w:r>
        <w:rPr>
          <w:rFonts w:ascii="宋体"/>
          <w:b/>
          <w:spacing w:val="6"/>
          <w:sz w:val="28"/>
          <w:szCs w:val="28"/>
        </w:rPr>
        <w:br w:type="page"/>
      </w:r>
    </w:p>
    <w:p>
      <w:pPr>
        <w:pStyle w:val="47"/>
        <w:spacing w:line="360" w:lineRule="auto"/>
        <w:jc w:val="center"/>
        <w:rPr>
          <w:rFonts w:ascii="宋体"/>
          <w:b/>
          <w:spacing w:val="6"/>
          <w:sz w:val="28"/>
          <w:szCs w:val="28"/>
        </w:rPr>
      </w:pPr>
    </w:p>
    <w:p>
      <w:pPr>
        <w:pStyle w:val="47"/>
        <w:spacing w:line="360" w:lineRule="auto"/>
        <w:jc w:val="center"/>
        <w:rPr>
          <w:rFonts w:ascii="宋体"/>
          <w:b/>
          <w:spacing w:val="6"/>
          <w:sz w:val="28"/>
          <w:szCs w:val="28"/>
        </w:rPr>
      </w:pPr>
      <w:r>
        <w:rPr>
          <w:rFonts w:hint="eastAsia" w:ascii="宋体" w:hAnsi="宋体"/>
          <w:b/>
          <w:spacing w:val="6"/>
          <w:sz w:val="28"/>
          <w:szCs w:val="28"/>
        </w:rPr>
        <w:t>残疾人福利性单位声明函</w:t>
      </w:r>
    </w:p>
    <w:p>
      <w:pPr>
        <w:pStyle w:val="47"/>
        <w:spacing w:line="360" w:lineRule="auto"/>
        <w:jc w:val="center"/>
        <w:rPr>
          <w:rFonts w:ascii="宋体"/>
          <w:b/>
          <w:spacing w:val="6"/>
          <w:sz w:val="28"/>
          <w:szCs w:val="28"/>
        </w:rPr>
      </w:pPr>
    </w:p>
    <w:p>
      <w:pPr>
        <w:pStyle w:val="47"/>
        <w:spacing w:line="588" w:lineRule="exact"/>
        <w:ind w:firstLine="504" w:firstLineChars="200"/>
        <w:rPr>
          <w:rFonts w:ascii="宋体"/>
          <w:spacing w:val="6"/>
          <w:sz w:val="24"/>
          <w:szCs w:val="24"/>
        </w:rPr>
      </w:pPr>
      <w:r>
        <w:rPr>
          <w:rFonts w:hint="eastAsia" w:ascii="宋体" w:hAnsi="宋体"/>
          <w:spacing w:val="6"/>
          <w:sz w:val="24"/>
          <w:szCs w:val="24"/>
        </w:rPr>
        <w:t>本单位郑重声明，根据《财政部</w:t>
      </w:r>
      <w:r>
        <w:rPr>
          <w:rFonts w:ascii="宋体" w:hAnsi="宋体"/>
          <w:spacing w:val="6"/>
          <w:sz w:val="24"/>
          <w:szCs w:val="24"/>
        </w:rPr>
        <w:t xml:space="preserve"> </w:t>
      </w:r>
      <w:r>
        <w:rPr>
          <w:rFonts w:hint="eastAsia" w:ascii="宋体" w:hAnsi="宋体"/>
          <w:spacing w:val="6"/>
          <w:sz w:val="24"/>
          <w:szCs w:val="24"/>
        </w:rPr>
        <w:t>民政部</w:t>
      </w:r>
      <w:r>
        <w:rPr>
          <w:rFonts w:ascii="宋体" w:hAnsi="宋体"/>
          <w:spacing w:val="6"/>
          <w:sz w:val="24"/>
          <w:szCs w:val="24"/>
        </w:rPr>
        <w:t xml:space="preserve"> </w:t>
      </w:r>
      <w:r>
        <w:rPr>
          <w:rFonts w:hint="eastAsia" w:ascii="宋体" w:hAnsi="宋体"/>
          <w:spacing w:val="6"/>
          <w:sz w:val="24"/>
          <w:szCs w:val="24"/>
        </w:rPr>
        <w:t>中国残疾人联合会关于促进残疾人就业政府采购政策的通知》（财库〔</w:t>
      </w:r>
      <w:r>
        <w:rPr>
          <w:rFonts w:ascii="宋体" w:hAnsi="宋体"/>
          <w:spacing w:val="6"/>
          <w:sz w:val="24"/>
          <w:szCs w:val="24"/>
        </w:rPr>
        <w:t>2017</w:t>
      </w:r>
      <w:r>
        <w:rPr>
          <w:rFonts w:hint="eastAsia" w:ascii="宋体" w:hAnsi="宋体"/>
          <w:spacing w:val="6"/>
          <w:sz w:val="24"/>
          <w:szCs w:val="24"/>
        </w:rPr>
        <w:t>〕</w:t>
      </w:r>
      <w:r>
        <w:rPr>
          <w:rFonts w:ascii="宋体" w:hAnsi="宋体"/>
          <w:spacing w:val="6"/>
          <w:sz w:val="24"/>
          <w:szCs w:val="24"/>
        </w:rPr>
        <w:t xml:space="preserve"> 141</w:t>
      </w:r>
      <w:r>
        <w:rPr>
          <w:rFonts w:hint="eastAsia" w:ascii="宋体" w:hAnsi="宋体"/>
          <w:spacing w:val="6"/>
          <w:sz w:val="24"/>
          <w:szCs w:val="24"/>
        </w:rPr>
        <w:t>号）的规定，本单位为符合条件的残疾人福利性单位，且本单位参加</w:t>
      </w:r>
      <w:r>
        <w:rPr>
          <w:rFonts w:ascii="宋体" w:hAnsi="宋体"/>
          <w:spacing w:val="6"/>
          <w:sz w:val="24"/>
          <w:szCs w:val="24"/>
        </w:rPr>
        <w:t>______</w:t>
      </w:r>
      <w:r>
        <w:rPr>
          <w:rFonts w:hint="eastAsia" w:ascii="宋体" w:hAnsi="宋体"/>
          <w:spacing w:val="6"/>
          <w:sz w:val="24"/>
          <w:szCs w:val="24"/>
        </w:rPr>
        <w:t>单位的</w:t>
      </w:r>
      <w:r>
        <w:rPr>
          <w:rFonts w:ascii="宋体" w:hAnsi="宋体"/>
          <w:spacing w:val="6"/>
          <w:sz w:val="24"/>
          <w:szCs w:val="24"/>
        </w:rPr>
        <w:t>______</w:t>
      </w:r>
      <w:r>
        <w:rPr>
          <w:rFonts w:hint="eastAsia" w:ascii="宋体" w:hAnsi="宋体"/>
          <w:spacing w:val="6"/>
          <w:sz w:val="24"/>
          <w:szCs w:val="24"/>
        </w:rPr>
        <w:t>项目采购活动提供本单位制造的货物（由本单位承担工程</w:t>
      </w:r>
      <w:r>
        <w:rPr>
          <w:rFonts w:ascii="宋体" w:hAnsi="宋体"/>
          <w:spacing w:val="6"/>
          <w:sz w:val="24"/>
          <w:szCs w:val="24"/>
        </w:rPr>
        <w:t>/</w:t>
      </w:r>
      <w:r>
        <w:rPr>
          <w:rFonts w:hint="eastAsia" w:ascii="宋体" w:hAnsi="宋体"/>
          <w:spacing w:val="6"/>
          <w:sz w:val="24"/>
          <w:szCs w:val="24"/>
        </w:rPr>
        <w:t>提供服务），或者提供其他残疾人福利性单位制造的货物（不包括使用非残疾人福利性单位注册商标的货物）。</w:t>
      </w:r>
    </w:p>
    <w:p>
      <w:pPr>
        <w:pStyle w:val="47"/>
        <w:spacing w:line="588" w:lineRule="exact"/>
        <w:ind w:firstLine="504" w:firstLineChars="200"/>
        <w:rPr>
          <w:rFonts w:ascii="宋体"/>
          <w:spacing w:val="6"/>
          <w:sz w:val="24"/>
          <w:szCs w:val="24"/>
        </w:rPr>
      </w:pPr>
      <w:r>
        <w:rPr>
          <w:rFonts w:hint="eastAsia" w:ascii="宋体" w:hAnsi="宋体"/>
          <w:spacing w:val="6"/>
          <w:sz w:val="24"/>
          <w:szCs w:val="24"/>
        </w:rPr>
        <w:t>本单位对上述声明的真实性负责。如有虚假，将依法承担相应责任。</w:t>
      </w:r>
    </w:p>
    <w:p>
      <w:pPr>
        <w:pStyle w:val="47"/>
        <w:spacing w:line="360" w:lineRule="auto"/>
        <w:ind w:firstLine="504" w:firstLineChars="200"/>
        <w:rPr>
          <w:rFonts w:ascii="宋体"/>
          <w:color w:val="993300"/>
          <w:spacing w:val="6"/>
          <w:sz w:val="24"/>
        </w:rPr>
      </w:pPr>
    </w:p>
    <w:p>
      <w:pPr>
        <w:pStyle w:val="47"/>
        <w:tabs>
          <w:tab w:val="left" w:pos="4860"/>
        </w:tabs>
        <w:spacing w:line="360" w:lineRule="auto"/>
        <w:ind w:right="1560" w:firstLine="504" w:firstLineChars="200"/>
        <w:jc w:val="center"/>
        <w:rPr>
          <w:rFonts w:ascii="宋体"/>
          <w:spacing w:val="6"/>
          <w:sz w:val="24"/>
        </w:rPr>
      </w:pPr>
    </w:p>
    <w:p>
      <w:pPr>
        <w:pStyle w:val="47"/>
        <w:tabs>
          <w:tab w:val="left" w:pos="4860"/>
        </w:tabs>
        <w:spacing w:line="360" w:lineRule="auto"/>
        <w:ind w:right="1560" w:firstLine="504" w:firstLineChars="200"/>
        <w:jc w:val="center"/>
        <w:rPr>
          <w:rFonts w:ascii="宋体"/>
          <w:spacing w:val="6"/>
          <w:sz w:val="24"/>
        </w:rPr>
      </w:pPr>
    </w:p>
    <w:p>
      <w:pPr>
        <w:adjustRightInd w:val="0"/>
        <w:snapToGrid w:val="0"/>
        <w:spacing w:beforeLines="50" w:afterLines="50" w:line="360" w:lineRule="auto"/>
        <w:jc w:val="right"/>
        <w:rPr>
          <w:rFonts w:ascii="宋体" w:cs="Arial"/>
          <w:sz w:val="24"/>
        </w:rPr>
      </w:pPr>
      <w:r>
        <w:rPr>
          <w:rFonts w:hint="eastAsia" w:ascii="宋体" w:hAnsi="宋体"/>
          <w:sz w:val="24"/>
        </w:rPr>
        <w:t>日期：</w:t>
      </w:r>
      <w:r>
        <w:rPr>
          <w:rFonts w:ascii="宋体" w:hAnsi="宋体" w:cs="Arial"/>
          <w:sz w:val="24"/>
        </w:rPr>
        <w:t xml:space="preserve">20  </w:t>
      </w:r>
      <w:r>
        <w:rPr>
          <w:rFonts w:hint="eastAsia" w:ascii="宋体" w:hAnsi="宋体" w:cs="Arial"/>
          <w:sz w:val="24"/>
        </w:rPr>
        <w:t>年</w:t>
      </w:r>
      <w:r>
        <w:rPr>
          <w:rFonts w:ascii="宋体" w:hAnsi="宋体" w:cs="Arial"/>
          <w:sz w:val="24"/>
        </w:rPr>
        <w:t xml:space="preserve">   </w:t>
      </w:r>
      <w:r>
        <w:rPr>
          <w:rFonts w:hint="eastAsia" w:ascii="宋体" w:hAnsi="宋体" w:cs="Arial"/>
          <w:sz w:val="24"/>
        </w:rPr>
        <w:t>月</w:t>
      </w:r>
      <w:r>
        <w:rPr>
          <w:rFonts w:ascii="宋体" w:hAnsi="宋体" w:cs="Arial"/>
          <w:sz w:val="24"/>
        </w:rPr>
        <w:t xml:space="preserve">   </w:t>
      </w:r>
      <w:r>
        <w:rPr>
          <w:rFonts w:hint="eastAsia" w:ascii="宋体" w:hAnsi="宋体" w:cs="Arial"/>
          <w:sz w:val="24"/>
        </w:rPr>
        <w:t>日</w:t>
      </w:r>
    </w:p>
    <w:p>
      <w:pPr>
        <w:adjustRightInd w:val="0"/>
        <w:snapToGrid w:val="0"/>
        <w:spacing w:beforeLines="50" w:afterLines="50" w:line="360" w:lineRule="auto"/>
        <w:jc w:val="right"/>
        <w:rPr>
          <w:rFonts w:ascii="宋体" w:cs="Arial"/>
          <w:sz w:val="24"/>
        </w:rPr>
      </w:pPr>
    </w:p>
    <w:p>
      <w:pPr>
        <w:adjustRightInd w:val="0"/>
        <w:snapToGrid w:val="0"/>
        <w:spacing w:beforeLines="50" w:afterLines="50" w:line="360" w:lineRule="auto"/>
        <w:jc w:val="right"/>
        <w:rPr>
          <w:rFonts w:ascii="宋体" w:cs="Arial"/>
          <w:sz w:val="24"/>
        </w:rPr>
      </w:pPr>
    </w:p>
    <w:p>
      <w:pPr>
        <w:adjustRightInd w:val="0"/>
        <w:snapToGrid w:val="0"/>
        <w:spacing w:beforeLines="50" w:afterLines="50" w:line="360" w:lineRule="auto"/>
        <w:jc w:val="both"/>
        <w:rPr>
          <w:rFonts w:ascii="宋体" w:cs="Arial"/>
          <w:sz w:val="24"/>
        </w:rPr>
      </w:pPr>
    </w:p>
    <w:p>
      <w:pPr>
        <w:adjustRightInd w:val="0"/>
        <w:snapToGrid w:val="0"/>
        <w:spacing w:beforeLines="50" w:afterLines="50" w:line="360" w:lineRule="auto"/>
        <w:jc w:val="right"/>
        <w:rPr>
          <w:rFonts w:ascii="宋体" w:cs="Arial"/>
          <w:sz w:val="24"/>
        </w:rPr>
      </w:pPr>
    </w:p>
    <w:p>
      <w:pPr>
        <w:adjustRightInd w:val="0"/>
        <w:snapToGrid w:val="0"/>
        <w:spacing w:beforeLines="50" w:afterLines="50" w:line="360" w:lineRule="auto"/>
        <w:jc w:val="right"/>
        <w:rPr>
          <w:rFonts w:ascii="宋体" w:cs="Arial"/>
          <w:sz w:val="24"/>
        </w:rPr>
      </w:pPr>
    </w:p>
    <w:p>
      <w:pPr>
        <w:adjustRightInd w:val="0"/>
        <w:snapToGrid w:val="0"/>
        <w:spacing w:beforeLines="50" w:afterLines="50" w:line="360" w:lineRule="auto"/>
        <w:jc w:val="right"/>
        <w:rPr>
          <w:rFonts w:ascii="宋体" w:cs="Arial"/>
          <w:sz w:val="24"/>
        </w:rPr>
      </w:pPr>
    </w:p>
    <w:p>
      <w:pPr>
        <w:adjustRightInd w:val="0"/>
        <w:snapToGrid w:val="0"/>
        <w:spacing w:beforeLines="50" w:afterLines="50" w:line="360" w:lineRule="auto"/>
        <w:jc w:val="right"/>
        <w:rPr>
          <w:rFonts w:ascii="宋体" w:cs="Arial"/>
          <w:sz w:val="24"/>
        </w:rPr>
      </w:pPr>
    </w:p>
    <w:p>
      <w:pPr>
        <w:pStyle w:val="47"/>
        <w:spacing w:line="360" w:lineRule="auto"/>
        <w:jc w:val="center"/>
        <w:rPr>
          <w:rFonts w:ascii="宋体"/>
          <w:b/>
          <w:spacing w:val="6"/>
          <w:sz w:val="28"/>
          <w:szCs w:val="28"/>
        </w:rPr>
      </w:pPr>
      <w:r>
        <w:rPr>
          <w:rFonts w:hint="eastAsia" w:ascii="宋体" w:hAnsi="宋体"/>
          <w:b/>
          <w:spacing w:val="6"/>
          <w:sz w:val="28"/>
          <w:szCs w:val="28"/>
        </w:rPr>
        <w:t>备注：如不是享受此优惠，响应文件可以不做此项。</w:t>
      </w:r>
    </w:p>
    <w:p>
      <w:pPr>
        <w:adjustRightInd w:val="0"/>
        <w:snapToGrid w:val="0"/>
        <w:spacing w:beforeLines="50" w:afterLines="50" w:line="360" w:lineRule="auto"/>
        <w:jc w:val="center"/>
        <w:rPr>
          <w:b/>
          <w:sz w:val="36"/>
          <w:szCs w:val="36"/>
        </w:rPr>
      </w:pPr>
      <w:r>
        <w:rPr>
          <w:rFonts w:hint="eastAsia"/>
          <w:b/>
          <w:sz w:val="36"/>
          <w:szCs w:val="36"/>
        </w:rPr>
        <w:t>制造商中小企业声明函</w:t>
      </w:r>
    </w:p>
    <w:p>
      <w:pPr>
        <w:spacing w:line="360" w:lineRule="auto"/>
        <w:ind w:firstLine="480" w:firstLineChars="200"/>
        <w:rPr>
          <w:rFonts w:ascii="宋体"/>
          <w:sz w:val="24"/>
        </w:rPr>
      </w:pPr>
      <w:r>
        <w:rPr>
          <w:rFonts w:hint="eastAsia" w:ascii="宋体" w:hAnsi="宋体"/>
          <w:sz w:val="24"/>
        </w:rPr>
        <w:t>本公司郑重声明，根据《政府采购促进中小企业发展暂行办法》（财库</w:t>
      </w:r>
      <w:r>
        <w:rPr>
          <w:rFonts w:ascii="宋体" w:hAnsi="宋体"/>
          <w:sz w:val="24"/>
        </w:rPr>
        <w:t>[2011]181</w:t>
      </w:r>
      <w:r>
        <w:rPr>
          <w:rFonts w:hint="eastAsia" w:ascii="宋体" w:hAnsi="宋体"/>
          <w:sz w:val="24"/>
        </w:rPr>
        <w:t>号）的规定和《工业和信息化部、国家统计局、国家发展和改革委员会、财政部关于印发中小企业划型标准规定的通知》（工信部联企业</w:t>
      </w:r>
      <w:r>
        <w:rPr>
          <w:rFonts w:ascii="宋体" w:hAnsi="宋体"/>
          <w:sz w:val="24"/>
        </w:rPr>
        <w:t xml:space="preserve">[2011]300 </w:t>
      </w:r>
      <w:r>
        <w:rPr>
          <w:rFonts w:hint="eastAsia" w:ascii="宋体" w:hAnsi="宋体"/>
          <w:sz w:val="24"/>
        </w:rPr>
        <w:t>号）规定的划分标准：</w:t>
      </w:r>
    </w:p>
    <w:p>
      <w:pPr>
        <w:spacing w:line="360" w:lineRule="auto"/>
        <w:ind w:firstLine="480" w:firstLineChars="200"/>
        <w:rPr>
          <w:rFonts w:ascii="宋体"/>
          <w:sz w:val="24"/>
        </w:rPr>
      </w:pPr>
      <w:r>
        <w:rPr>
          <w:rFonts w:hint="eastAsia" w:ascii="宋体" w:hAnsi="宋体"/>
          <w:sz w:val="24"/>
        </w:rPr>
        <w:t>第四条第项行业，本公司为（请填写：中型、小型、微型）企业。</w:t>
      </w:r>
    </w:p>
    <w:p>
      <w:pPr>
        <w:spacing w:line="360" w:lineRule="auto"/>
        <w:ind w:firstLine="480" w:firstLineChars="200"/>
        <w:rPr>
          <w:rFonts w:ascii="宋体"/>
          <w:sz w:val="24"/>
        </w:rPr>
      </w:pPr>
      <w:r>
        <w:rPr>
          <w:rFonts w:hint="eastAsia" w:ascii="宋体" w:hAnsi="宋体"/>
          <w:sz w:val="24"/>
        </w:rPr>
        <w:t>本公司对上述声明的真实性负责。如有虚假，将依法承担相应责任。</w:t>
      </w:r>
    </w:p>
    <w:p>
      <w:pPr>
        <w:spacing w:line="360" w:lineRule="auto"/>
        <w:ind w:firstLine="480" w:firstLineChars="200"/>
        <w:jc w:val="center"/>
        <w:rPr>
          <w:rFonts w:ascii="宋体"/>
          <w:sz w:val="24"/>
        </w:rPr>
      </w:pPr>
    </w:p>
    <w:p>
      <w:pPr>
        <w:spacing w:line="360" w:lineRule="auto"/>
        <w:ind w:firstLine="480" w:firstLineChars="200"/>
        <w:jc w:val="right"/>
        <w:rPr>
          <w:rFonts w:ascii="宋体"/>
          <w:b/>
          <w:sz w:val="24"/>
        </w:rPr>
      </w:pPr>
      <w:r>
        <w:rPr>
          <w:rFonts w:ascii="宋体" w:hAnsi="宋体"/>
          <w:sz w:val="24"/>
        </w:rPr>
        <w:t xml:space="preserve"> </w:t>
      </w:r>
      <w:r>
        <w:rPr>
          <w:rFonts w:hint="eastAsia" w:ascii="宋体" w:hAnsi="宋体"/>
          <w:sz w:val="24"/>
        </w:rPr>
        <w:t>企业名称（单位盖</w:t>
      </w:r>
      <w:r>
        <w:rPr>
          <w:rFonts w:hint="eastAsia"/>
          <w:spacing w:val="4"/>
          <w:sz w:val="24"/>
        </w:rPr>
        <w:t>公章</w:t>
      </w:r>
      <w:r>
        <w:rPr>
          <w:rFonts w:hint="eastAsia" w:ascii="宋体" w:hAnsi="宋体"/>
          <w:sz w:val="24"/>
        </w:rPr>
        <w:t>）：</w:t>
      </w:r>
    </w:p>
    <w:p>
      <w:pPr>
        <w:spacing w:line="360" w:lineRule="auto"/>
        <w:ind w:firstLine="482" w:firstLineChars="200"/>
        <w:rPr>
          <w:rFonts w:ascii="宋体"/>
          <w:b/>
          <w:sz w:val="24"/>
        </w:rPr>
      </w:pPr>
      <w:r>
        <w:rPr>
          <w:rFonts w:hint="eastAsia" w:ascii="宋体" w:hAnsi="宋体"/>
          <w:b/>
          <w:sz w:val="24"/>
        </w:rPr>
        <w:t>中小企业声明函注意事项：</w:t>
      </w:r>
    </w:p>
    <w:p>
      <w:pPr>
        <w:spacing w:line="360" w:lineRule="auto"/>
        <w:ind w:firstLine="480" w:firstLineChars="200"/>
        <w:rPr>
          <w:rFonts w:ascii="宋体"/>
          <w:sz w:val="24"/>
        </w:rPr>
      </w:pPr>
      <w:r>
        <w:rPr>
          <w:rFonts w:ascii="宋体" w:hAnsi="宋体"/>
          <w:sz w:val="24"/>
        </w:rPr>
        <w:t>1.</w:t>
      </w:r>
      <w:r>
        <w:rPr>
          <w:rFonts w:hint="eastAsia" w:ascii="宋体" w:hAnsi="宋体"/>
          <w:sz w:val="24"/>
        </w:rPr>
        <w:t>供应商在此声明函未勾选“中型、小型、微型”其中之一的，将视为非中小企业，不能享受价格扣除。</w:t>
      </w:r>
    </w:p>
    <w:p>
      <w:pPr>
        <w:spacing w:line="360" w:lineRule="auto"/>
        <w:ind w:firstLine="480" w:firstLineChars="200"/>
        <w:rPr>
          <w:rFonts w:ascii="宋体"/>
          <w:sz w:val="24"/>
        </w:rPr>
      </w:pPr>
      <w:r>
        <w:rPr>
          <w:rFonts w:ascii="宋体" w:hAnsi="宋体"/>
          <w:sz w:val="24"/>
        </w:rPr>
        <w:t>2.</w:t>
      </w:r>
      <w:r>
        <w:rPr>
          <w:rFonts w:hint="eastAsia" w:ascii="宋体" w:hAnsi="宋体"/>
          <w:sz w:val="24"/>
        </w:rPr>
        <w:t>供应商提供其他制造商（生产厂家）制作的货物投标，需要同时提供《中小企业声明函》及《制造商中小企业声明函》（其中《中小企业声明函》加盖供应商公章，《制造商中小企业声明函》加盖制造商公章），中小企业优惠标准以制造商企业类型为准。具有多个制造商的货物须提供相应制造商的《制造商中小企业声明函》。提供资料不齐全的视为非中小企业。</w:t>
      </w:r>
    </w:p>
    <w:p>
      <w:pPr>
        <w:spacing w:line="360" w:lineRule="auto"/>
        <w:ind w:firstLine="480" w:firstLineChars="200"/>
        <w:rPr>
          <w:rFonts w:ascii="宋体"/>
          <w:sz w:val="24"/>
        </w:rPr>
      </w:pPr>
      <w:r>
        <w:rPr>
          <w:rFonts w:ascii="宋体" w:hAnsi="宋体"/>
          <w:sz w:val="24"/>
        </w:rPr>
        <w:t>3.</w:t>
      </w:r>
      <w:r>
        <w:rPr>
          <w:rFonts w:hint="eastAsia" w:ascii="宋体" w:hAnsi="宋体"/>
          <w:sz w:val="24"/>
        </w:rPr>
        <w:t>供应商提供自己制造的货物投标，则提供《中小企业声明函》。</w:t>
      </w:r>
    </w:p>
    <w:p>
      <w:pPr>
        <w:autoSpaceDE w:val="0"/>
        <w:autoSpaceDN w:val="0"/>
        <w:adjustRightInd w:val="0"/>
        <w:spacing w:line="360" w:lineRule="auto"/>
        <w:ind w:firstLine="480" w:firstLineChars="200"/>
        <w:jc w:val="left"/>
        <w:rPr>
          <w:rFonts w:ascii="宋体"/>
          <w:sz w:val="24"/>
        </w:rPr>
      </w:pPr>
      <w:r>
        <w:rPr>
          <w:rFonts w:ascii="宋体" w:hAnsi="宋体"/>
          <w:sz w:val="24"/>
        </w:rPr>
        <w:t>4</w:t>
      </w:r>
      <w:r>
        <w:rPr>
          <w:rFonts w:hint="eastAsia" w:ascii="宋体" w:hAnsi="宋体"/>
          <w:sz w:val="24"/>
        </w:rPr>
        <w:t>．供应商中小企业标准：零售业：从业人员</w:t>
      </w:r>
      <w:r>
        <w:rPr>
          <w:rFonts w:ascii="宋体" w:hAnsi="宋体"/>
          <w:sz w:val="24"/>
        </w:rPr>
        <w:t>300</w:t>
      </w:r>
      <w:r>
        <w:rPr>
          <w:rFonts w:hint="eastAsia" w:ascii="宋体" w:hAnsi="宋体"/>
          <w:sz w:val="24"/>
        </w:rPr>
        <w:t>人以下或营业收入</w:t>
      </w:r>
      <w:r>
        <w:rPr>
          <w:rFonts w:ascii="宋体" w:hAnsi="宋体"/>
          <w:sz w:val="24"/>
        </w:rPr>
        <w:t>20000</w:t>
      </w:r>
      <w:r>
        <w:rPr>
          <w:rFonts w:hint="eastAsia" w:ascii="宋体" w:hAnsi="宋体"/>
          <w:sz w:val="24"/>
        </w:rPr>
        <w:t>万元以下的为中小微型企业。其中，从业人员</w:t>
      </w:r>
      <w:r>
        <w:rPr>
          <w:rFonts w:ascii="宋体" w:hAnsi="宋体"/>
          <w:sz w:val="24"/>
        </w:rPr>
        <w:t>50</w:t>
      </w:r>
      <w:r>
        <w:rPr>
          <w:rFonts w:hint="eastAsia" w:ascii="宋体" w:hAnsi="宋体"/>
          <w:sz w:val="24"/>
        </w:rPr>
        <w:t>人及以上，且营业收入</w:t>
      </w:r>
      <w:r>
        <w:rPr>
          <w:rFonts w:ascii="宋体" w:hAnsi="宋体"/>
          <w:sz w:val="24"/>
        </w:rPr>
        <w:t>500</w:t>
      </w:r>
      <w:r>
        <w:rPr>
          <w:rFonts w:hint="eastAsia" w:ascii="宋体" w:hAnsi="宋体"/>
          <w:sz w:val="24"/>
        </w:rPr>
        <w:t>万元及以上的为中型企业；从业人员</w:t>
      </w:r>
      <w:r>
        <w:rPr>
          <w:rFonts w:ascii="宋体" w:hAnsi="宋体"/>
          <w:sz w:val="24"/>
        </w:rPr>
        <w:t>10</w:t>
      </w:r>
      <w:r>
        <w:rPr>
          <w:rFonts w:hint="eastAsia" w:ascii="宋体" w:hAnsi="宋体"/>
          <w:sz w:val="24"/>
        </w:rPr>
        <w:t>人及以上，且营业收入</w:t>
      </w:r>
      <w:r>
        <w:rPr>
          <w:rFonts w:ascii="宋体" w:hAnsi="宋体"/>
          <w:sz w:val="24"/>
        </w:rPr>
        <w:t>100</w:t>
      </w:r>
      <w:r>
        <w:rPr>
          <w:rFonts w:hint="eastAsia" w:ascii="宋体" w:hAnsi="宋体"/>
          <w:sz w:val="24"/>
        </w:rPr>
        <w:t>万元及以上的为小型企业；从业人员</w:t>
      </w:r>
      <w:r>
        <w:rPr>
          <w:rFonts w:ascii="宋体" w:hAnsi="宋体"/>
          <w:sz w:val="24"/>
        </w:rPr>
        <w:t>10</w:t>
      </w:r>
      <w:r>
        <w:rPr>
          <w:rFonts w:hint="eastAsia" w:ascii="宋体" w:hAnsi="宋体"/>
          <w:sz w:val="24"/>
        </w:rPr>
        <w:t>人以下或营业收入</w:t>
      </w:r>
      <w:r>
        <w:rPr>
          <w:rFonts w:ascii="宋体" w:hAnsi="宋体"/>
          <w:sz w:val="24"/>
        </w:rPr>
        <w:t>100</w:t>
      </w:r>
      <w:r>
        <w:rPr>
          <w:rFonts w:hint="eastAsia" w:ascii="宋体" w:hAnsi="宋体"/>
          <w:sz w:val="24"/>
        </w:rPr>
        <w:t>万元以下的为微型企业。</w:t>
      </w:r>
    </w:p>
    <w:p>
      <w:pPr>
        <w:autoSpaceDE w:val="0"/>
        <w:autoSpaceDN w:val="0"/>
        <w:adjustRightInd w:val="0"/>
        <w:spacing w:line="360" w:lineRule="auto"/>
        <w:ind w:firstLine="480" w:firstLineChars="200"/>
        <w:jc w:val="left"/>
        <w:rPr>
          <w:rFonts w:ascii="宋体"/>
          <w:sz w:val="24"/>
        </w:rPr>
      </w:pPr>
      <w:r>
        <w:rPr>
          <w:rFonts w:ascii="宋体" w:hAnsi="宋体"/>
          <w:sz w:val="24"/>
        </w:rPr>
        <w:t>5.</w:t>
      </w:r>
      <w:r>
        <w:rPr>
          <w:rFonts w:hint="eastAsia" w:ascii="宋体" w:hAnsi="宋体"/>
          <w:sz w:val="24"/>
        </w:rPr>
        <w:t>制造商中小企业标准：工业（含制造业）：从业人员</w:t>
      </w:r>
      <w:r>
        <w:rPr>
          <w:rFonts w:ascii="宋体" w:hAnsi="宋体"/>
          <w:sz w:val="24"/>
        </w:rPr>
        <w:t>1000</w:t>
      </w:r>
      <w:r>
        <w:rPr>
          <w:rFonts w:hint="eastAsia" w:ascii="宋体" w:hAnsi="宋体"/>
          <w:sz w:val="24"/>
        </w:rPr>
        <w:t>人以下或营业收入</w:t>
      </w:r>
      <w:r>
        <w:rPr>
          <w:rFonts w:ascii="宋体" w:hAnsi="宋体"/>
          <w:sz w:val="24"/>
        </w:rPr>
        <w:t>40000</w:t>
      </w:r>
      <w:r>
        <w:rPr>
          <w:rFonts w:hint="eastAsia" w:ascii="宋体" w:hAnsi="宋体"/>
          <w:sz w:val="24"/>
        </w:rPr>
        <w:t>万元以下的为中小微型企业。其中，从业人员</w:t>
      </w:r>
      <w:r>
        <w:rPr>
          <w:rFonts w:ascii="宋体" w:hAnsi="宋体"/>
          <w:sz w:val="24"/>
        </w:rPr>
        <w:t>300</w:t>
      </w:r>
      <w:r>
        <w:rPr>
          <w:rFonts w:hint="eastAsia" w:ascii="宋体" w:hAnsi="宋体"/>
          <w:sz w:val="24"/>
        </w:rPr>
        <w:t>人及以上，且营业收入</w:t>
      </w:r>
      <w:r>
        <w:rPr>
          <w:rFonts w:ascii="宋体" w:hAnsi="宋体"/>
          <w:sz w:val="24"/>
        </w:rPr>
        <w:t>2000</w:t>
      </w:r>
      <w:r>
        <w:rPr>
          <w:rFonts w:hint="eastAsia" w:ascii="宋体" w:hAnsi="宋体"/>
          <w:sz w:val="24"/>
        </w:rPr>
        <w:t>万元及以上的为中型企业；从业人员</w:t>
      </w:r>
      <w:r>
        <w:rPr>
          <w:rFonts w:ascii="宋体" w:hAnsi="宋体"/>
          <w:sz w:val="24"/>
        </w:rPr>
        <w:t>20</w:t>
      </w:r>
      <w:r>
        <w:rPr>
          <w:rFonts w:hint="eastAsia" w:ascii="宋体" w:hAnsi="宋体"/>
          <w:sz w:val="24"/>
        </w:rPr>
        <w:t>人及以上，且营业收入</w:t>
      </w:r>
      <w:r>
        <w:rPr>
          <w:rFonts w:ascii="宋体" w:hAnsi="宋体"/>
          <w:sz w:val="24"/>
        </w:rPr>
        <w:t>300</w:t>
      </w:r>
      <w:r>
        <w:rPr>
          <w:rFonts w:hint="eastAsia" w:ascii="宋体" w:hAnsi="宋体"/>
          <w:sz w:val="24"/>
        </w:rPr>
        <w:t>万元及以上的为小型企业；从业人员</w:t>
      </w:r>
      <w:r>
        <w:rPr>
          <w:rFonts w:ascii="宋体" w:hAnsi="宋体"/>
          <w:sz w:val="24"/>
        </w:rPr>
        <w:t>20</w:t>
      </w:r>
      <w:r>
        <w:rPr>
          <w:rFonts w:hint="eastAsia" w:ascii="宋体" w:hAnsi="宋体"/>
          <w:sz w:val="24"/>
        </w:rPr>
        <w:t>人以下或营业收入</w:t>
      </w:r>
      <w:r>
        <w:rPr>
          <w:rFonts w:ascii="宋体" w:hAnsi="宋体"/>
          <w:sz w:val="24"/>
        </w:rPr>
        <w:t>300</w:t>
      </w:r>
      <w:r>
        <w:rPr>
          <w:rFonts w:hint="eastAsia" w:ascii="宋体" w:hAnsi="宋体"/>
          <w:sz w:val="24"/>
        </w:rPr>
        <w:t>万元以下的为微型企业。</w:t>
      </w:r>
    </w:p>
    <w:p>
      <w:pPr>
        <w:adjustRightInd w:val="0"/>
        <w:snapToGrid w:val="0"/>
        <w:spacing w:beforeLines="50" w:afterLines="50" w:line="360" w:lineRule="auto"/>
        <w:ind w:firstLine="480" w:firstLineChars="200"/>
        <w:rPr>
          <w:rFonts w:ascii="宋体"/>
          <w:sz w:val="24"/>
        </w:rPr>
      </w:pPr>
      <w:r>
        <w:rPr>
          <w:rFonts w:ascii="宋体" w:hAnsi="宋体"/>
          <w:sz w:val="24"/>
        </w:rPr>
        <w:t>6.</w:t>
      </w:r>
      <w:r>
        <w:rPr>
          <w:rFonts w:hint="eastAsia" w:ascii="宋体" w:hAnsi="宋体"/>
          <w:sz w:val="24"/>
        </w:rPr>
        <w:t>关于企业从业人员的认定，供应商应该真实填写（格式自拟）。</w:t>
      </w:r>
    </w:p>
    <w:p>
      <w:pPr>
        <w:pStyle w:val="47"/>
        <w:spacing w:line="360" w:lineRule="auto"/>
        <w:jc w:val="center"/>
        <w:rPr>
          <w:sz w:val="24"/>
          <w:szCs w:val="24"/>
        </w:rPr>
      </w:pPr>
      <w:r>
        <w:rPr>
          <w:rFonts w:hint="eastAsia" w:ascii="宋体" w:hAnsi="宋体"/>
          <w:b/>
          <w:spacing w:val="6"/>
          <w:sz w:val="28"/>
          <w:szCs w:val="28"/>
        </w:rPr>
        <w:t>备注：如不是享受此优惠，响应文件可以不做此项。</w:t>
      </w: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rPr>
    </w:pPr>
    <w:r>
      <w:pict>
        <v:shape id="文本框 4" o:spid="_x0000_s409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0.5pt" joinstyle="miter"/>
          <v:imagedata o:title=""/>
          <o:lock v:ext="edit"/>
          <v:textbox inset="0mm,0mm,0mm,0mm" style="mso-fit-shape-to-text:t;">
            <w:txbxContent>
              <w:p>
                <w:pPr>
                  <w:pStyle w:val="12"/>
                </w:pPr>
                <w:r>
                  <w:t xml:space="preserve">                                             </w:t>
                </w:r>
                <w:r>
                  <w:rPr>
                    <w:rFonts w:ascii="宋体" w:hAnsi="宋体"/>
                  </w:rPr>
                  <w:t xml:space="preserve"> </w:t>
                </w:r>
                <w:r>
                  <w:rPr>
                    <w:rStyle w:val="21"/>
                    <w:rFonts w:hint="eastAsia" w:ascii="宋体" w:hAnsi="宋体"/>
                  </w:rPr>
                  <w:t>第</w:t>
                </w:r>
                <w:r>
                  <w:rPr>
                    <w:rStyle w:val="21"/>
                    <w:rFonts w:ascii="宋体" w:hAnsi="宋体"/>
                  </w:rPr>
                  <w:fldChar w:fldCharType="begin"/>
                </w:r>
                <w:r>
                  <w:rPr>
                    <w:rStyle w:val="21"/>
                    <w:rFonts w:ascii="宋体" w:hAnsi="宋体"/>
                  </w:rPr>
                  <w:instrText xml:space="preserve"> PAGE </w:instrText>
                </w:r>
                <w:r>
                  <w:rPr>
                    <w:rStyle w:val="21"/>
                    <w:rFonts w:ascii="宋体" w:hAnsi="宋体"/>
                  </w:rPr>
                  <w:fldChar w:fldCharType="separate"/>
                </w:r>
                <w:r>
                  <w:rPr>
                    <w:rStyle w:val="21"/>
                    <w:rFonts w:ascii="宋体" w:hAnsi="宋体"/>
                  </w:rPr>
                  <w:t>47</w:t>
                </w:r>
                <w:r>
                  <w:rPr>
                    <w:rStyle w:val="21"/>
                    <w:rFonts w:ascii="宋体" w:hAnsi="宋体"/>
                  </w:rPr>
                  <w:fldChar w:fldCharType="end"/>
                </w:r>
                <w:r>
                  <w:rPr>
                    <w:rStyle w:val="21"/>
                    <w:rFonts w:hint="eastAsia" w:ascii="宋体" w:hAnsi="宋体"/>
                  </w:rPr>
                  <w:t>页，共</w:t>
                </w:r>
                <w:r>
                  <w:rPr>
                    <w:rStyle w:val="21"/>
                    <w:rFonts w:ascii="宋体" w:hAnsi="宋体"/>
                  </w:rPr>
                  <w:fldChar w:fldCharType="begin"/>
                </w:r>
                <w:r>
                  <w:rPr>
                    <w:rStyle w:val="21"/>
                    <w:rFonts w:ascii="宋体" w:hAnsi="宋体"/>
                  </w:rPr>
                  <w:instrText xml:space="preserve"> NUMPAGES </w:instrText>
                </w:r>
                <w:r>
                  <w:rPr>
                    <w:rStyle w:val="21"/>
                    <w:rFonts w:ascii="宋体" w:hAnsi="宋体"/>
                  </w:rPr>
                  <w:fldChar w:fldCharType="separate"/>
                </w:r>
                <w:r>
                  <w:rPr>
                    <w:rStyle w:val="21"/>
                    <w:rFonts w:ascii="宋体" w:hAnsi="宋体"/>
                  </w:rPr>
                  <w:t>54</w:t>
                </w:r>
                <w:r>
                  <w:rPr>
                    <w:rStyle w:val="21"/>
                    <w:rFonts w:ascii="宋体" w:hAnsi="宋体"/>
                  </w:rPr>
                  <w:fldChar w:fldCharType="end"/>
                </w:r>
                <w:r>
                  <w:rPr>
                    <w:rStyle w:val="21"/>
                    <w:rFonts w:hint="eastAsia" w:ascii="宋体" w:hAnsi="宋体"/>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7A7F51"/>
    <w:multiLevelType w:val="singleLevel"/>
    <w:tmpl w:val="A17A7F51"/>
    <w:lvl w:ilvl="0" w:tentative="0">
      <w:start w:val="14"/>
      <w:numFmt w:val="decimal"/>
      <w:suff w:val="nothing"/>
      <w:lvlText w:val="%1、"/>
      <w:lvlJc w:val="left"/>
      <w:rPr>
        <w:rFonts w:cs="Times New Roman"/>
      </w:rPr>
    </w:lvl>
  </w:abstractNum>
  <w:abstractNum w:abstractNumId="1">
    <w:nsid w:val="D7E87F51"/>
    <w:multiLevelType w:val="singleLevel"/>
    <w:tmpl w:val="D7E87F51"/>
    <w:lvl w:ilvl="0" w:tentative="0">
      <w:start w:val="4"/>
      <w:numFmt w:val="decimal"/>
      <w:suff w:val="nothing"/>
      <w:lvlText w:val="%1、"/>
      <w:lvlJc w:val="left"/>
    </w:lvl>
  </w:abstractNum>
  <w:abstractNum w:abstractNumId="2">
    <w:nsid w:val="0D86A176"/>
    <w:multiLevelType w:val="singleLevel"/>
    <w:tmpl w:val="0D86A176"/>
    <w:lvl w:ilvl="0" w:tentative="0">
      <w:start w:val="8"/>
      <w:numFmt w:val="decimal"/>
      <w:lvlText w:val="%1."/>
      <w:lvlJc w:val="left"/>
      <w:pPr>
        <w:tabs>
          <w:tab w:val="left" w:pos="312"/>
        </w:tabs>
      </w:pPr>
    </w:lvl>
  </w:abstractNum>
  <w:abstractNum w:abstractNumId="3">
    <w:nsid w:val="59A303B5"/>
    <w:multiLevelType w:val="singleLevel"/>
    <w:tmpl w:val="59A303B5"/>
    <w:lvl w:ilvl="0" w:tentative="0">
      <w:start w:val="1"/>
      <w:numFmt w:val="chineseCounting"/>
      <w:suff w:val="space"/>
      <w:lvlText w:val="第%1章"/>
      <w:lvlJc w:val="left"/>
      <w:rPr>
        <w:rFonts w:cs="Times New Roman"/>
      </w:rPr>
    </w:lvl>
  </w:abstractNum>
  <w:abstractNum w:abstractNumId="4">
    <w:nsid w:val="661A2D24"/>
    <w:multiLevelType w:val="singleLevel"/>
    <w:tmpl w:val="661A2D24"/>
    <w:lvl w:ilvl="0" w:tentative="0">
      <w:start w:val="1"/>
      <w:numFmt w:val="decimal"/>
      <w:suff w:val="space"/>
      <w:lvlText w:val="（%1）"/>
      <w:lvlJc w:val="left"/>
    </w:lvl>
  </w:abstractNum>
  <w:abstractNum w:abstractNumId="5">
    <w:nsid w:val="6D4B874E"/>
    <w:multiLevelType w:val="singleLevel"/>
    <w:tmpl w:val="6D4B874E"/>
    <w:lvl w:ilvl="0" w:tentative="0">
      <w:start w:val="1"/>
      <w:numFmt w:val="chineseCounting"/>
      <w:suff w:val="nothing"/>
      <w:lvlText w:val="%1、"/>
      <w:lvlJc w:val="left"/>
      <w:rPr>
        <w:rFonts w:hint="eastAsia"/>
      </w:r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2CE5F42"/>
    <w:rsid w:val="000850F7"/>
    <w:rsid w:val="00095D58"/>
    <w:rsid w:val="00127694"/>
    <w:rsid w:val="001E2375"/>
    <w:rsid w:val="00317ABF"/>
    <w:rsid w:val="00346112"/>
    <w:rsid w:val="00425708"/>
    <w:rsid w:val="00444C04"/>
    <w:rsid w:val="0045654B"/>
    <w:rsid w:val="004D03A4"/>
    <w:rsid w:val="005F70B5"/>
    <w:rsid w:val="00706106"/>
    <w:rsid w:val="007239D0"/>
    <w:rsid w:val="007575B4"/>
    <w:rsid w:val="007B64F0"/>
    <w:rsid w:val="007B69ED"/>
    <w:rsid w:val="008A1BB7"/>
    <w:rsid w:val="008A2669"/>
    <w:rsid w:val="008C07E6"/>
    <w:rsid w:val="008E1F31"/>
    <w:rsid w:val="00902AFD"/>
    <w:rsid w:val="009515C7"/>
    <w:rsid w:val="0098369D"/>
    <w:rsid w:val="009B78EA"/>
    <w:rsid w:val="009E2F13"/>
    <w:rsid w:val="00B24BC5"/>
    <w:rsid w:val="00B51951"/>
    <w:rsid w:val="00C24AB3"/>
    <w:rsid w:val="00C74E8A"/>
    <w:rsid w:val="00D041BE"/>
    <w:rsid w:val="00D603C7"/>
    <w:rsid w:val="00D876BA"/>
    <w:rsid w:val="00DB4540"/>
    <w:rsid w:val="00E26312"/>
    <w:rsid w:val="00F578C3"/>
    <w:rsid w:val="00FB6073"/>
    <w:rsid w:val="016E1924"/>
    <w:rsid w:val="01BD2F7F"/>
    <w:rsid w:val="030B10E2"/>
    <w:rsid w:val="03472C7B"/>
    <w:rsid w:val="039C7140"/>
    <w:rsid w:val="03BC0BB4"/>
    <w:rsid w:val="03E0753A"/>
    <w:rsid w:val="03E37908"/>
    <w:rsid w:val="04265F4D"/>
    <w:rsid w:val="053F79C6"/>
    <w:rsid w:val="05BA5170"/>
    <w:rsid w:val="06152897"/>
    <w:rsid w:val="06237958"/>
    <w:rsid w:val="062A6104"/>
    <w:rsid w:val="068D6720"/>
    <w:rsid w:val="06D53274"/>
    <w:rsid w:val="06DF4E1E"/>
    <w:rsid w:val="06F13466"/>
    <w:rsid w:val="072845CC"/>
    <w:rsid w:val="073C66D3"/>
    <w:rsid w:val="07C56878"/>
    <w:rsid w:val="081362D2"/>
    <w:rsid w:val="08B01E55"/>
    <w:rsid w:val="0A4C7A6E"/>
    <w:rsid w:val="0AE161E4"/>
    <w:rsid w:val="0B26648F"/>
    <w:rsid w:val="0BF91D86"/>
    <w:rsid w:val="0C8C1C48"/>
    <w:rsid w:val="0CA816AE"/>
    <w:rsid w:val="0D8E0546"/>
    <w:rsid w:val="0D964419"/>
    <w:rsid w:val="0DB12A42"/>
    <w:rsid w:val="0DB96612"/>
    <w:rsid w:val="0E2C6833"/>
    <w:rsid w:val="108841A1"/>
    <w:rsid w:val="10DA5AFE"/>
    <w:rsid w:val="111E2C27"/>
    <w:rsid w:val="127F2B23"/>
    <w:rsid w:val="12C76565"/>
    <w:rsid w:val="13DF5F22"/>
    <w:rsid w:val="13E85FEA"/>
    <w:rsid w:val="145C5ADE"/>
    <w:rsid w:val="14945C55"/>
    <w:rsid w:val="14A93333"/>
    <w:rsid w:val="14FC5918"/>
    <w:rsid w:val="15483C31"/>
    <w:rsid w:val="155C7F52"/>
    <w:rsid w:val="16781199"/>
    <w:rsid w:val="167F6486"/>
    <w:rsid w:val="16A7676D"/>
    <w:rsid w:val="16B215C7"/>
    <w:rsid w:val="17637FC7"/>
    <w:rsid w:val="19E8184D"/>
    <w:rsid w:val="1A6B7366"/>
    <w:rsid w:val="1A6D0D59"/>
    <w:rsid w:val="1A6F5706"/>
    <w:rsid w:val="1B62217A"/>
    <w:rsid w:val="1BFB3FAF"/>
    <w:rsid w:val="1C767556"/>
    <w:rsid w:val="1C9D20D0"/>
    <w:rsid w:val="1D0A3DE6"/>
    <w:rsid w:val="1DCF1712"/>
    <w:rsid w:val="1E026D60"/>
    <w:rsid w:val="1F34132B"/>
    <w:rsid w:val="1F595F0F"/>
    <w:rsid w:val="206329B4"/>
    <w:rsid w:val="21A85808"/>
    <w:rsid w:val="21B64C5D"/>
    <w:rsid w:val="21CD20FD"/>
    <w:rsid w:val="22033BF2"/>
    <w:rsid w:val="22110F2D"/>
    <w:rsid w:val="223111BA"/>
    <w:rsid w:val="22B45077"/>
    <w:rsid w:val="22BC6D42"/>
    <w:rsid w:val="23247D0E"/>
    <w:rsid w:val="234036C3"/>
    <w:rsid w:val="235F124E"/>
    <w:rsid w:val="235F1FFC"/>
    <w:rsid w:val="23B3245C"/>
    <w:rsid w:val="23F6312E"/>
    <w:rsid w:val="2477165B"/>
    <w:rsid w:val="24841291"/>
    <w:rsid w:val="249E22F6"/>
    <w:rsid w:val="24CF3BE5"/>
    <w:rsid w:val="24E04502"/>
    <w:rsid w:val="24FF02C4"/>
    <w:rsid w:val="25B657A5"/>
    <w:rsid w:val="25F96402"/>
    <w:rsid w:val="26214A16"/>
    <w:rsid w:val="26B579AA"/>
    <w:rsid w:val="2759223E"/>
    <w:rsid w:val="27F73757"/>
    <w:rsid w:val="28015113"/>
    <w:rsid w:val="281828B6"/>
    <w:rsid w:val="28BD51CB"/>
    <w:rsid w:val="292204A3"/>
    <w:rsid w:val="29794772"/>
    <w:rsid w:val="2A1F02A3"/>
    <w:rsid w:val="2A524406"/>
    <w:rsid w:val="2AAB6C94"/>
    <w:rsid w:val="2AB64BB2"/>
    <w:rsid w:val="2AE92C3F"/>
    <w:rsid w:val="2B517664"/>
    <w:rsid w:val="2B8F1234"/>
    <w:rsid w:val="2C0B3AF9"/>
    <w:rsid w:val="2C95235A"/>
    <w:rsid w:val="2D243674"/>
    <w:rsid w:val="2D9A7D90"/>
    <w:rsid w:val="2DFC2088"/>
    <w:rsid w:val="2F330861"/>
    <w:rsid w:val="2F512B3C"/>
    <w:rsid w:val="2FA52290"/>
    <w:rsid w:val="300F4CAE"/>
    <w:rsid w:val="301B6820"/>
    <w:rsid w:val="320E3EED"/>
    <w:rsid w:val="32431D01"/>
    <w:rsid w:val="32882CCA"/>
    <w:rsid w:val="33057FD2"/>
    <w:rsid w:val="33AD6A1A"/>
    <w:rsid w:val="33D85A6E"/>
    <w:rsid w:val="34A455FE"/>
    <w:rsid w:val="34B123D2"/>
    <w:rsid w:val="3505548C"/>
    <w:rsid w:val="352208E1"/>
    <w:rsid w:val="35F96296"/>
    <w:rsid w:val="360F1B43"/>
    <w:rsid w:val="36752691"/>
    <w:rsid w:val="38966207"/>
    <w:rsid w:val="38CD0C5B"/>
    <w:rsid w:val="38F86F78"/>
    <w:rsid w:val="395813D7"/>
    <w:rsid w:val="3A0B7784"/>
    <w:rsid w:val="3A800B2A"/>
    <w:rsid w:val="3AF84CD2"/>
    <w:rsid w:val="3B011B2F"/>
    <w:rsid w:val="3B5C2C83"/>
    <w:rsid w:val="3B9F2D9B"/>
    <w:rsid w:val="3C367BE0"/>
    <w:rsid w:val="3D911101"/>
    <w:rsid w:val="3E572726"/>
    <w:rsid w:val="3E820DEB"/>
    <w:rsid w:val="3EA668B7"/>
    <w:rsid w:val="3EB164F7"/>
    <w:rsid w:val="3F3707D5"/>
    <w:rsid w:val="3F3F6BA6"/>
    <w:rsid w:val="3F640960"/>
    <w:rsid w:val="3FC46C51"/>
    <w:rsid w:val="400544E9"/>
    <w:rsid w:val="40467725"/>
    <w:rsid w:val="40D506D3"/>
    <w:rsid w:val="41DC4761"/>
    <w:rsid w:val="42531724"/>
    <w:rsid w:val="427329C9"/>
    <w:rsid w:val="42837C4F"/>
    <w:rsid w:val="42CE5F42"/>
    <w:rsid w:val="42F13F09"/>
    <w:rsid w:val="43201D59"/>
    <w:rsid w:val="434E049A"/>
    <w:rsid w:val="43526100"/>
    <w:rsid w:val="439B0E33"/>
    <w:rsid w:val="441113EA"/>
    <w:rsid w:val="441865F4"/>
    <w:rsid w:val="44A56369"/>
    <w:rsid w:val="44BB715B"/>
    <w:rsid w:val="461923FE"/>
    <w:rsid w:val="462A19D5"/>
    <w:rsid w:val="464A406F"/>
    <w:rsid w:val="470622D8"/>
    <w:rsid w:val="47576231"/>
    <w:rsid w:val="47C16A3D"/>
    <w:rsid w:val="485876AC"/>
    <w:rsid w:val="4896454D"/>
    <w:rsid w:val="48DB4BFD"/>
    <w:rsid w:val="4AA21396"/>
    <w:rsid w:val="4AEF29D1"/>
    <w:rsid w:val="4B146ED4"/>
    <w:rsid w:val="4B572829"/>
    <w:rsid w:val="4BA120AC"/>
    <w:rsid w:val="4C0F3B0B"/>
    <w:rsid w:val="4C1E0EE7"/>
    <w:rsid w:val="4C57092C"/>
    <w:rsid w:val="4CB03DF2"/>
    <w:rsid w:val="4D284B33"/>
    <w:rsid w:val="4E722AF7"/>
    <w:rsid w:val="4E955D92"/>
    <w:rsid w:val="4EAE04CE"/>
    <w:rsid w:val="4F0E0B14"/>
    <w:rsid w:val="4F333070"/>
    <w:rsid w:val="4F6A47EF"/>
    <w:rsid w:val="4F7960DA"/>
    <w:rsid w:val="4FD473DE"/>
    <w:rsid w:val="4FE20CB3"/>
    <w:rsid w:val="4FEB2DAC"/>
    <w:rsid w:val="50063BF0"/>
    <w:rsid w:val="501B75DB"/>
    <w:rsid w:val="50285164"/>
    <w:rsid w:val="506E538B"/>
    <w:rsid w:val="50921D59"/>
    <w:rsid w:val="51755602"/>
    <w:rsid w:val="51824127"/>
    <w:rsid w:val="52574E27"/>
    <w:rsid w:val="52C96555"/>
    <w:rsid w:val="53162274"/>
    <w:rsid w:val="538B41EE"/>
    <w:rsid w:val="53B93D8B"/>
    <w:rsid w:val="53BA1105"/>
    <w:rsid w:val="556245B2"/>
    <w:rsid w:val="55A3246E"/>
    <w:rsid w:val="55C21614"/>
    <w:rsid w:val="56453E17"/>
    <w:rsid w:val="5652542E"/>
    <w:rsid w:val="567605AD"/>
    <w:rsid w:val="570D63C0"/>
    <w:rsid w:val="5748727C"/>
    <w:rsid w:val="581D5988"/>
    <w:rsid w:val="58BB0843"/>
    <w:rsid w:val="58DC7F1A"/>
    <w:rsid w:val="58DD794A"/>
    <w:rsid w:val="58E81D3E"/>
    <w:rsid w:val="59287934"/>
    <w:rsid w:val="5A5C12D3"/>
    <w:rsid w:val="5AA1013B"/>
    <w:rsid w:val="5AC9608B"/>
    <w:rsid w:val="5ADF296C"/>
    <w:rsid w:val="5B716076"/>
    <w:rsid w:val="5BC94413"/>
    <w:rsid w:val="5C9275F7"/>
    <w:rsid w:val="5DC75E66"/>
    <w:rsid w:val="5E456CAE"/>
    <w:rsid w:val="5EE20C2B"/>
    <w:rsid w:val="5F332C47"/>
    <w:rsid w:val="60305C73"/>
    <w:rsid w:val="60BD7B9C"/>
    <w:rsid w:val="60C27580"/>
    <w:rsid w:val="62E105E3"/>
    <w:rsid w:val="634B27CE"/>
    <w:rsid w:val="63E0063F"/>
    <w:rsid w:val="63FF047E"/>
    <w:rsid w:val="64387C39"/>
    <w:rsid w:val="64A21E48"/>
    <w:rsid w:val="64A830EE"/>
    <w:rsid w:val="65837101"/>
    <w:rsid w:val="65882BFB"/>
    <w:rsid w:val="6596271A"/>
    <w:rsid w:val="65BF6566"/>
    <w:rsid w:val="66AA484F"/>
    <w:rsid w:val="670A3D62"/>
    <w:rsid w:val="677D2B2E"/>
    <w:rsid w:val="677F2732"/>
    <w:rsid w:val="67F03A97"/>
    <w:rsid w:val="693C1668"/>
    <w:rsid w:val="69C11B41"/>
    <w:rsid w:val="69CD61A0"/>
    <w:rsid w:val="6A513444"/>
    <w:rsid w:val="6C073A43"/>
    <w:rsid w:val="6E064B16"/>
    <w:rsid w:val="6E164193"/>
    <w:rsid w:val="6E9A5852"/>
    <w:rsid w:val="6EC7127D"/>
    <w:rsid w:val="6EF203D2"/>
    <w:rsid w:val="6FC92BBC"/>
    <w:rsid w:val="6FED26E2"/>
    <w:rsid w:val="70FF42DF"/>
    <w:rsid w:val="7111551A"/>
    <w:rsid w:val="71162D06"/>
    <w:rsid w:val="729560FF"/>
    <w:rsid w:val="72BD7072"/>
    <w:rsid w:val="72D82C08"/>
    <w:rsid w:val="73AA72FF"/>
    <w:rsid w:val="73D83E71"/>
    <w:rsid w:val="749B6D7F"/>
    <w:rsid w:val="756B2E5F"/>
    <w:rsid w:val="76AC1673"/>
    <w:rsid w:val="76C504FC"/>
    <w:rsid w:val="7703700D"/>
    <w:rsid w:val="772D77E1"/>
    <w:rsid w:val="77454752"/>
    <w:rsid w:val="7775400C"/>
    <w:rsid w:val="78537B41"/>
    <w:rsid w:val="785E4CAD"/>
    <w:rsid w:val="78F57830"/>
    <w:rsid w:val="79E56670"/>
    <w:rsid w:val="7A142FB2"/>
    <w:rsid w:val="7AE61212"/>
    <w:rsid w:val="7B5602A8"/>
    <w:rsid w:val="7B583E7B"/>
    <w:rsid w:val="7B7576CF"/>
    <w:rsid w:val="7BB64652"/>
    <w:rsid w:val="7BFD0D2D"/>
    <w:rsid w:val="7C4E04D0"/>
    <w:rsid w:val="7C593239"/>
    <w:rsid w:val="7C5A58D0"/>
    <w:rsid w:val="7D610F07"/>
    <w:rsid w:val="7DD31031"/>
    <w:rsid w:val="7E14607B"/>
    <w:rsid w:val="7E4329DA"/>
    <w:rsid w:val="7EBF2607"/>
    <w:rsid w:val="7EE11A05"/>
    <w:rsid w:val="7F933E2E"/>
    <w:rsid w:val="7FF44B3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99"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20" w:semiHidden="0" w:name="Emphasis" w:locked="1"/>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99"/>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qFormat/>
    <w:uiPriority w:val="99"/>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99"/>
    <w:pPr>
      <w:autoSpaceDE w:val="0"/>
      <w:autoSpaceDN w:val="0"/>
      <w:adjustRightInd w:val="0"/>
      <w:snapToGrid w:val="0"/>
      <w:spacing w:line="360" w:lineRule="auto"/>
      <w:ind w:firstLine="200" w:firstLineChars="200"/>
      <w:jc w:val="both"/>
    </w:pPr>
    <w:rPr>
      <w:rFonts w:ascii="宋体" w:hAnsi="Times New Roman" w:eastAsia="宋体" w:cs="Times New Roman"/>
      <w:kern w:val="0"/>
      <w:sz w:val="24"/>
      <w:szCs w:val="22"/>
      <w:lang w:val="en-US" w:eastAsia="zh-CN" w:bidi="ar-SA"/>
    </w:rPr>
  </w:style>
  <w:style w:type="paragraph" w:styleId="5">
    <w:name w:val="List 3"/>
    <w:basedOn w:val="1"/>
    <w:qFormat/>
    <w:uiPriority w:val="99"/>
    <w:pPr>
      <w:ind w:left="1260" w:hanging="420"/>
    </w:pPr>
    <w:rPr>
      <w:rFonts w:ascii="Times New Roman" w:hAnsi="Times New Roman"/>
      <w:szCs w:val="20"/>
    </w:rPr>
  </w:style>
  <w:style w:type="paragraph" w:styleId="6">
    <w:name w:val="Normal Indent"/>
    <w:basedOn w:val="1"/>
    <w:qFormat/>
    <w:uiPriority w:val="99"/>
    <w:pPr>
      <w:ind w:firstLine="420"/>
    </w:pPr>
    <w:rPr>
      <w:rFonts w:ascii="宋体" w:hAnsi="宋体"/>
      <w:kern w:val="0"/>
      <w:sz w:val="20"/>
      <w:szCs w:val="20"/>
    </w:rPr>
  </w:style>
  <w:style w:type="paragraph" w:styleId="7">
    <w:name w:val="caption"/>
    <w:basedOn w:val="1"/>
    <w:next w:val="1"/>
    <w:qFormat/>
    <w:uiPriority w:val="99"/>
    <w:rPr>
      <w:rFonts w:ascii="Arial" w:hAnsi="Arial" w:eastAsia="黑体"/>
      <w:sz w:val="20"/>
    </w:rPr>
  </w:style>
  <w:style w:type="paragraph" w:styleId="8">
    <w:name w:val="annotation text"/>
    <w:basedOn w:val="1"/>
    <w:link w:val="26"/>
    <w:qFormat/>
    <w:uiPriority w:val="99"/>
    <w:pPr>
      <w:jc w:val="left"/>
    </w:pPr>
  </w:style>
  <w:style w:type="paragraph" w:styleId="9">
    <w:name w:val="Body Text"/>
    <w:basedOn w:val="1"/>
    <w:link w:val="27"/>
    <w:qFormat/>
    <w:uiPriority w:val="99"/>
    <w:pPr>
      <w:spacing w:after="120"/>
    </w:pPr>
    <w:rPr>
      <w:szCs w:val="24"/>
    </w:rPr>
  </w:style>
  <w:style w:type="paragraph" w:styleId="10">
    <w:name w:val="Plain Text"/>
    <w:basedOn w:val="1"/>
    <w:link w:val="28"/>
    <w:qFormat/>
    <w:uiPriority w:val="99"/>
    <w:rPr>
      <w:rFonts w:ascii="宋体" w:hAnsi="Courier New"/>
      <w:kern w:val="0"/>
      <w:sz w:val="20"/>
      <w:szCs w:val="20"/>
    </w:rPr>
  </w:style>
  <w:style w:type="paragraph" w:styleId="11">
    <w:name w:val="Body Text Indent 2"/>
    <w:basedOn w:val="1"/>
    <w:link w:val="29"/>
    <w:qFormat/>
    <w:uiPriority w:val="99"/>
    <w:pPr>
      <w:spacing w:after="120" w:line="480" w:lineRule="auto"/>
      <w:ind w:left="420" w:leftChars="200"/>
    </w:pPr>
    <w:rPr>
      <w:szCs w:val="24"/>
    </w:rPr>
  </w:style>
  <w:style w:type="paragraph" w:styleId="12">
    <w:name w:val="footer"/>
    <w:basedOn w:val="1"/>
    <w:link w:val="30"/>
    <w:qFormat/>
    <w:uiPriority w:val="99"/>
    <w:pPr>
      <w:tabs>
        <w:tab w:val="center" w:pos="4153"/>
        <w:tab w:val="right" w:pos="8306"/>
      </w:tabs>
      <w:snapToGrid w:val="0"/>
      <w:jc w:val="left"/>
    </w:pPr>
    <w:rPr>
      <w:sz w:val="18"/>
      <w:szCs w:val="18"/>
    </w:rPr>
  </w:style>
  <w:style w:type="paragraph" w:styleId="13">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99"/>
    <w:rPr>
      <w:rFonts w:ascii="Times New Roman" w:hAnsi="Times New Roman"/>
      <w:szCs w:val="24"/>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32"/>
    <w:qFormat/>
    <w:uiPriority w:val="99"/>
    <w:pPr>
      <w:spacing w:before="240" w:after="60"/>
      <w:jc w:val="center"/>
      <w:outlineLvl w:val="0"/>
    </w:pPr>
    <w:rPr>
      <w:rFonts w:ascii="Cambria" w:hAnsi="Cambria"/>
      <w:b/>
      <w:bCs/>
      <w:sz w:val="32"/>
      <w:szCs w:val="32"/>
    </w:rPr>
  </w:style>
  <w:style w:type="table" w:styleId="18">
    <w:name w:val="Table Grid"/>
    <w:basedOn w:val="1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99"/>
    <w:rPr>
      <w:rFonts w:cs="Times New Roman"/>
      <w:b/>
      <w:bCs/>
    </w:rPr>
  </w:style>
  <w:style w:type="character" w:styleId="21">
    <w:name w:val="page number"/>
    <w:basedOn w:val="19"/>
    <w:qFormat/>
    <w:uiPriority w:val="99"/>
    <w:rPr>
      <w:rFonts w:cs="Times New Roman"/>
    </w:rPr>
  </w:style>
  <w:style w:type="character" w:styleId="22">
    <w:name w:val="Hyperlink"/>
    <w:basedOn w:val="19"/>
    <w:qFormat/>
    <w:uiPriority w:val="99"/>
    <w:rPr>
      <w:rFonts w:cs="Times New Roman"/>
      <w:color w:val="0000FF"/>
      <w:u w:val="single"/>
    </w:rPr>
  </w:style>
  <w:style w:type="character" w:styleId="23">
    <w:name w:val="annotation reference"/>
    <w:basedOn w:val="19"/>
    <w:qFormat/>
    <w:uiPriority w:val="99"/>
    <w:rPr>
      <w:rFonts w:cs="Times New Roman"/>
      <w:sz w:val="21"/>
      <w:szCs w:val="21"/>
    </w:rPr>
  </w:style>
  <w:style w:type="character" w:customStyle="1" w:styleId="24">
    <w:name w:val="Heading 1 Char"/>
    <w:basedOn w:val="19"/>
    <w:link w:val="3"/>
    <w:qFormat/>
    <w:locked/>
    <w:uiPriority w:val="99"/>
    <w:rPr>
      <w:rFonts w:ascii="Calibri" w:hAnsi="Calibri" w:cs="Times New Roman"/>
      <w:b/>
      <w:bCs/>
      <w:kern w:val="44"/>
      <w:sz w:val="44"/>
      <w:szCs w:val="44"/>
    </w:rPr>
  </w:style>
  <w:style w:type="character" w:customStyle="1" w:styleId="25">
    <w:name w:val="Heading 2 Char"/>
    <w:basedOn w:val="19"/>
    <w:link w:val="4"/>
    <w:semiHidden/>
    <w:qFormat/>
    <w:locked/>
    <w:uiPriority w:val="99"/>
    <w:rPr>
      <w:rFonts w:ascii="Cambria" w:hAnsi="Cambria" w:eastAsia="宋体" w:cs="Times New Roman"/>
      <w:b/>
      <w:bCs/>
      <w:sz w:val="32"/>
      <w:szCs w:val="32"/>
    </w:rPr>
  </w:style>
  <w:style w:type="character" w:customStyle="1" w:styleId="26">
    <w:name w:val="Comment Text Char"/>
    <w:basedOn w:val="19"/>
    <w:link w:val="8"/>
    <w:semiHidden/>
    <w:qFormat/>
    <w:locked/>
    <w:uiPriority w:val="99"/>
    <w:rPr>
      <w:rFonts w:ascii="Calibri" w:hAnsi="Calibri" w:cs="Times New Roman"/>
    </w:rPr>
  </w:style>
  <w:style w:type="character" w:customStyle="1" w:styleId="27">
    <w:name w:val="Body Text Char"/>
    <w:basedOn w:val="19"/>
    <w:link w:val="9"/>
    <w:semiHidden/>
    <w:qFormat/>
    <w:locked/>
    <w:uiPriority w:val="99"/>
    <w:rPr>
      <w:rFonts w:ascii="Calibri" w:hAnsi="Calibri" w:cs="Times New Roman"/>
    </w:rPr>
  </w:style>
  <w:style w:type="character" w:customStyle="1" w:styleId="28">
    <w:name w:val="Plain Text Char"/>
    <w:basedOn w:val="19"/>
    <w:link w:val="10"/>
    <w:semiHidden/>
    <w:qFormat/>
    <w:locked/>
    <w:uiPriority w:val="99"/>
    <w:rPr>
      <w:rFonts w:ascii="宋体" w:hAnsi="Courier New" w:cs="Courier New"/>
      <w:sz w:val="21"/>
      <w:szCs w:val="21"/>
    </w:rPr>
  </w:style>
  <w:style w:type="character" w:customStyle="1" w:styleId="29">
    <w:name w:val="Body Text Indent 2 Char"/>
    <w:basedOn w:val="19"/>
    <w:link w:val="11"/>
    <w:semiHidden/>
    <w:qFormat/>
    <w:locked/>
    <w:uiPriority w:val="99"/>
    <w:rPr>
      <w:rFonts w:ascii="Calibri" w:hAnsi="Calibri" w:cs="Times New Roman"/>
    </w:rPr>
  </w:style>
  <w:style w:type="character" w:customStyle="1" w:styleId="30">
    <w:name w:val="Footer Char"/>
    <w:basedOn w:val="19"/>
    <w:link w:val="12"/>
    <w:semiHidden/>
    <w:qFormat/>
    <w:locked/>
    <w:uiPriority w:val="99"/>
    <w:rPr>
      <w:rFonts w:ascii="Calibri" w:hAnsi="Calibri" w:cs="Times New Roman"/>
      <w:sz w:val="18"/>
      <w:szCs w:val="18"/>
    </w:rPr>
  </w:style>
  <w:style w:type="character" w:customStyle="1" w:styleId="31">
    <w:name w:val="Header Char"/>
    <w:basedOn w:val="19"/>
    <w:link w:val="13"/>
    <w:semiHidden/>
    <w:qFormat/>
    <w:locked/>
    <w:uiPriority w:val="99"/>
    <w:rPr>
      <w:rFonts w:ascii="Calibri" w:hAnsi="Calibri" w:cs="Times New Roman"/>
      <w:sz w:val="18"/>
      <w:szCs w:val="18"/>
    </w:rPr>
  </w:style>
  <w:style w:type="character" w:customStyle="1" w:styleId="32">
    <w:name w:val="Title Char"/>
    <w:basedOn w:val="19"/>
    <w:link w:val="16"/>
    <w:qFormat/>
    <w:locked/>
    <w:uiPriority w:val="99"/>
    <w:rPr>
      <w:rFonts w:ascii="Cambria" w:hAnsi="Cambria" w:cs="Times New Roman"/>
      <w:b/>
      <w:bCs/>
      <w:sz w:val="32"/>
      <w:szCs w:val="32"/>
    </w:rPr>
  </w:style>
  <w:style w:type="paragraph" w:customStyle="1" w:styleId="33">
    <w:name w:val="Char Char Char Char Char Char"/>
    <w:basedOn w:val="1"/>
    <w:qFormat/>
    <w:uiPriority w:val="99"/>
    <w:rPr>
      <w:rFonts w:ascii="Times New Roman" w:hAnsi="Times New Roman"/>
      <w:szCs w:val="24"/>
    </w:rPr>
  </w:style>
  <w:style w:type="paragraph" w:customStyle="1" w:styleId="34">
    <w:name w:val="Default"/>
    <w:qFormat/>
    <w:uiPriority w:val="99"/>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customStyle="1" w:styleId="35">
    <w:name w:val="正文+宋体"/>
    <w:basedOn w:val="15"/>
    <w:qFormat/>
    <w:uiPriority w:val="99"/>
    <w:pPr>
      <w:shd w:val="clear" w:color="auto" w:fill="FFFFFF"/>
      <w:spacing w:before="0" w:beforeAutospacing="0" w:after="0" w:afterAutospacing="0"/>
      <w:ind w:firstLine="480" w:firstLineChars="200"/>
    </w:pPr>
    <w:rPr>
      <w:kern w:val="2"/>
    </w:rPr>
  </w:style>
  <w:style w:type="paragraph" w:customStyle="1" w:styleId="36">
    <w:name w:val="Char Char Char Char Char Char Char"/>
    <w:basedOn w:val="1"/>
    <w:qFormat/>
    <w:uiPriority w:val="99"/>
    <w:rPr>
      <w:rFonts w:ascii="Times New Roman" w:hAnsi="Times New Roman"/>
      <w:szCs w:val="24"/>
    </w:rPr>
  </w:style>
  <w:style w:type="paragraph" w:customStyle="1" w:styleId="37">
    <w:name w:val="表头文本"/>
    <w:basedOn w:val="1"/>
    <w:qFormat/>
    <w:uiPriority w:val="99"/>
    <w:pPr>
      <w:autoSpaceDE w:val="0"/>
      <w:autoSpaceDN w:val="0"/>
      <w:adjustRightInd w:val="0"/>
      <w:jc w:val="center"/>
    </w:pPr>
    <w:rPr>
      <w:rFonts w:ascii="Times New Roman" w:hAnsi="Times New Roman"/>
      <w:b/>
      <w:kern w:val="0"/>
      <w:sz w:val="24"/>
      <w:szCs w:val="20"/>
    </w:rPr>
  </w:style>
  <w:style w:type="paragraph" w:customStyle="1" w:styleId="38">
    <w:name w:val="样式3"/>
    <w:basedOn w:val="10"/>
    <w:qFormat/>
    <w:uiPriority w:val="99"/>
    <w:pPr>
      <w:spacing w:line="240" w:lineRule="atLeast"/>
      <w:outlineLvl w:val="0"/>
    </w:pPr>
    <w:rPr>
      <w:sz w:val="28"/>
    </w:rPr>
  </w:style>
  <w:style w:type="paragraph" w:customStyle="1" w:styleId="39">
    <w:name w:val="p0"/>
    <w:basedOn w:val="1"/>
    <w:qFormat/>
    <w:uiPriority w:val="99"/>
    <w:pPr>
      <w:widowControl/>
    </w:pPr>
    <w:rPr>
      <w:kern w:val="0"/>
      <w:szCs w:val="21"/>
    </w:rPr>
  </w:style>
  <w:style w:type="paragraph" w:customStyle="1" w:styleId="40">
    <w:name w:val="列出段落1"/>
    <w:basedOn w:val="1"/>
    <w:qFormat/>
    <w:uiPriority w:val="99"/>
    <w:pPr>
      <w:ind w:firstLine="420" w:firstLineChars="200"/>
    </w:pPr>
  </w:style>
  <w:style w:type="character" w:customStyle="1" w:styleId="41">
    <w:name w:val="font01"/>
    <w:basedOn w:val="19"/>
    <w:qFormat/>
    <w:uiPriority w:val="99"/>
    <w:rPr>
      <w:rFonts w:ascii="宋体" w:hAnsi="宋体" w:eastAsia="宋体" w:cs="宋体"/>
      <w:color w:val="000000"/>
      <w:sz w:val="20"/>
      <w:szCs w:val="20"/>
      <w:u w:val="none"/>
    </w:rPr>
  </w:style>
  <w:style w:type="character" w:customStyle="1" w:styleId="42">
    <w:name w:val="font21"/>
    <w:basedOn w:val="19"/>
    <w:qFormat/>
    <w:uiPriority w:val="99"/>
    <w:rPr>
      <w:rFonts w:ascii="宋体" w:hAnsi="宋体" w:eastAsia="宋体" w:cs="宋体"/>
      <w:color w:val="000000"/>
      <w:sz w:val="20"/>
      <w:szCs w:val="20"/>
      <w:u w:val="none"/>
    </w:rPr>
  </w:style>
  <w:style w:type="paragraph" w:styleId="43">
    <w:name w:val="List Paragraph"/>
    <w:basedOn w:val="1"/>
    <w:qFormat/>
    <w:uiPriority w:val="99"/>
    <w:pPr>
      <w:ind w:firstLine="420" w:firstLineChars="200"/>
    </w:pPr>
  </w:style>
  <w:style w:type="character" w:customStyle="1" w:styleId="44">
    <w:name w:val="font11"/>
    <w:basedOn w:val="19"/>
    <w:qFormat/>
    <w:uiPriority w:val="99"/>
    <w:rPr>
      <w:rFonts w:ascii="宋体" w:hAnsi="宋体" w:eastAsia="宋体" w:cs="宋体"/>
      <w:color w:val="000000"/>
      <w:sz w:val="20"/>
      <w:szCs w:val="20"/>
      <w:u w:val="none"/>
    </w:rPr>
  </w:style>
  <w:style w:type="paragraph" w:styleId="45">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6">
    <w:name w:val="正文_0_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7">
    <w:name w:val="Normal_22"/>
    <w:qFormat/>
    <w:uiPriority w:val="99"/>
    <w:rPr>
      <w:rFonts w:ascii="Times New Roman" w:hAnsi="Times New Roman" w:eastAsia="宋体" w:cs="Times New Roman"/>
      <w:kern w:val="0"/>
      <w:sz w:val="21"/>
      <w:szCs w:val="20"/>
      <w:lang w:val="en-US" w:eastAsia="zh-CN" w:bidi="ar-SA"/>
    </w:rPr>
  </w:style>
  <w:style w:type="character" w:customStyle="1" w:styleId="48">
    <w:name w:val="font51"/>
    <w:basedOn w:val="19"/>
    <w:qFormat/>
    <w:uiPriority w:val="99"/>
    <w:rPr>
      <w:rFonts w:ascii="宋体" w:hAnsi="宋体" w:eastAsia="宋体" w:cs="宋体"/>
      <w:color w:val="000000"/>
      <w:sz w:val="24"/>
      <w:szCs w:val="24"/>
      <w:u w:val="none"/>
    </w:rPr>
  </w:style>
  <w:style w:type="character" w:customStyle="1" w:styleId="49">
    <w:name w:val="font41"/>
    <w:basedOn w:val="19"/>
    <w:qFormat/>
    <w:uiPriority w:val="99"/>
    <w:rPr>
      <w:rFonts w:ascii="宋体" w:hAnsi="宋体" w:eastAsia="宋体" w:cs="宋体"/>
      <w:color w:val="000000"/>
      <w:sz w:val="24"/>
      <w:szCs w:val="24"/>
      <w:u w:val="single"/>
    </w:rPr>
  </w:style>
  <w:style w:type="character" w:customStyle="1" w:styleId="50">
    <w:name w:val="font112"/>
    <w:basedOn w:val="19"/>
    <w:qFormat/>
    <w:uiPriority w:val="99"/>
    <w:rPr>
      <w:rFonts w:ascii="Arial" w:hAnsi="Arial" w:cs="Arial"/>
      <w:color w:val="000000"/>
      <w:sz w:val="22"/>
      <w:szCs w:val="22"/>
      <w:u w:val="none"/>
    </w:rPr>
  </w:style>
  <w:style w:type="paragraph" w:customStyle="1" w:styleId="51">
    <w:name w:val="样式 首行缩进:  0 字符"/>
    <w:basedOn w:val="1"/>
    <w:qFormat/>
    <w:uiPriority w:val="99"/>
    <w:pPr>
      <w:spacing w:line="360" w:lineRule="auto"/>
      <w:ind w:firstLine="200" w:firstLineChars="200"/>
    </w:pPr>
    <w:rPr>
      <w:rFonts w:ascii="Arial" w:hAnsi="Arial" w:cs="宋体"/>
      <w:sz w:val="24"/>
      <w:szCs w:val="20"/>
    </w:rPr>
  </w:style>
  <w:style w:type="character" w:customStyle="1" w:styleId="52">
    <w:name w:val="font101"/>
    <w:basedOn w:val="19"/>
    <w:qFormat/>
    <w:uiPriority w:val="99"/>
    <w:rPr>
      <w:rFonts w:ascii="宋体" w:hAnsi="宋体" w:eastAsia="宋体" w:cs="宋体"/>
      <w:color w:val="000000"/>
      <w:sz w:val="20"/>
      <w:szCs w:val="20"/>
      <w:u w:val="none"/>
    </w:rPr>
  </w:style>
  <w:style w:type="character" w:customStyle="1" w:styleId="53">
    <w:name w:val="font31"/>
    <w:basedOn w:val="19"/>
    <w:qFormat/>
    <w:uiPriority w:val="0"/>
    <w:rPr>
      <w:rFonts w:hint="eastAsia" w:ascii="宋体" w:hAnsi="宋体" w:eastAsia="宋体" w:cs="宋体"/>
      <w:b/>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铜仁鑫源科技</Company>
  <Pages>63</Pages>
  <Words>32281</Words>
  <Characters>34285</Characters>
  <Lines>0</Lines>
  <Paragraphs>0</Paragraphs>
  <TotalTime>7</TotalTime>
  <ScaleCrop>false</ScaleCrop>
  <LinksUpToDate>false</LinksUpToDate>
  <CharactersWithSpaces>36174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2019-12-09T05:43:00Z</dcterms:created>
  <dc:creator>Administrator</dc:creator>
  <cp:lastModifiedBy>Administrator</cp:lastModifiedBy>
  <cp:lastPrinted>2019-08-02T05:41:00Z</cp:lastPrinted>
  <dcterms:modified xsi:type="dcterms:W3CDTF">2019-12-30T07:17:42Z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